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开展深圳龙华文旅推介会（香港）</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深圳市文化广电旅游体育局印发的《深圳市文化广电旅游体育局落实〈关于释放旅游消费潜力推动旅游业高质量发展的若干措施〉工作方案》第二条第二款第八项和第二条第五款第3项，联合港澳推进与“一带一路”沿线国家和地区的文体旅游交流合作，打造粤港澳大湾区文体旅游消费品牌。加大在香港、澳门的旅游营销力度，继续在境外投放深圳旅游形象广告，提升深圳入境游份额。2026年11月，</w:t>
      </w:r>
      <w:r>
        <w:rPr>
          <w:rFonts w:hint="eastAsia" w:ascii="仿宋_GB2312" w:hAnsi="仿宋_GB2312" w:eastAsia="仿宋_GB2312" w:cs="仿宋_GB2312"/>
          <w:b w:val="0"/>
          <w:bCs w:val="0"/>
          <w:color w:val="auto"/>
          <w:kern w:val="0"/>
          <w:sz w:val="32"/>
          <w:szCs w:val="32"/>
          <w:highlight w:val="none"/>
          <w:lang w:val="en-US" w:eastAsia="zh-CN" w:bidi="ar-SA"/>
        </w:rPr>
        <w:t>APEC第三十三次领导人非正式会议将在深圳举行，为深港融合发展提供了重要的国际舞台。在此背景下，深港文旅体产业合作迎来战略机遇期。拟</w:t>
      </w:r>
      <w:r>
        <w:rPr>
          <w:rFonts w:hint="eastAsia" w:ascii="仿宋_GB2312" w:hAnsi="仿宋_GB2312" w:eastAsia="仿宋_GB2312" w:cs="仿宋_GB2312"/>
          <w:sz w:val="32"/>
          <w:szCs w:val="32"/>
          <w:highlight w:val="none"/>
          <w:lang w:val="en-US" w:eastAsia="zh-CN"/>
        </w:rPr>
        <w:t>通过组织开展深圳龙华文旅推介会（香港），打响龙华区文旅品牌，推动深港跨境消费融合。</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2026年5</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spacing w:line="560" w:lineRule="exact"/>
        <w:ind w:firstLine="640" w:firstLineChars="200"/>
        <w:jc w:val="left"/>
        <w:rPr>
          <w:rFonts w:hint="eastAsia" w:ascii="楷体_GB2312" w:hAnsi="楷体_GB2312" w:eastAsia="楷体_GB2312" w:cs="楷体_GB2312"/>
          <w:sz w:val="32"/>
          <w:szCs w:val="32"/>
        </w:rPr>
      </w:pPr>
      <w:r>
        <w:rPr>
          <w:rFonts w:hint="eastAsia" w:ascii="仿宋_GB2312" w:hAnsi="仿宋_GB2312" w:eastAsia="仿宋_GB2312" w:cs="仿宋_GB2312"/>
          <w:sz w:val="32"/>
          <w:szCs w:val="32"/>
          <w:highlight w:val="none"/>
          <w:lang w:val="en-US" w:eastAsia="zh-CN"/>
        </w:rPr>
        <w:t>举办深圳龙华文旅推介会（香港）。</w:t>
      </w:r>
      <w:r>
        <w:rPr>
          <w:rFonts w:hint="eastAsia" w:ascii="仿宋_GB2312" w:hAnsi="仿宋" w:eastAsia="仿宋_GB2312" w:cs="仿宋"/>
          <w:b w:val="0"/>
          <w:bCs w:val="0"/>
          <w:color w:val="auto"/>
          <w:kern w:val="2"/>
          <w:sz w:val="32"/>
          <w:szCs w:val="32"/>
          <w:lang w:val="en-US" w:eastAsia="zh-CN" w:bidi="ar-SA"/>
        </w:rPr>
        <w:t>邀请香港当地文化、体育、旅游、时尚、商协会等领域相关负责人、专业人士、艺术家出席，</w:t>
      </w:r>
      <w:r>
        <w:rPr>
          <w:rFonts w:hint="eastAsia" w:ascii="仿宋_GB2312" w:hAnsi="仿宋_GB2312" w:eastAsia="仿宋_GB2312" w:cs="仿宋_GB2312"/>
          <w:kern w:val="2"/>
          <w:sz w:val="32"/>
          <w:szCs w:val="32"/>
          <w:lang w:val="en-US" w:eastAsia="zh-CN" w:bidi="ar-SA"/>
        </w:rPr>
        <w:t>推介龙华区文化体育旅游资源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2"/>
          <w:sz w:val="32"/>
          <w:szCs w:val="32"/>
          <w:lang w:val="en-US" w:eastAsia="zh-CN" w:bidi="ar-SA"/>
        </w:rPr>
        <w:t>进一步促进两地的合作交流，推动龙华和香港文体旅商产业资源深度对接，</w:t>
      </w:r>
      <w:r>
        <w:rPr>
          <w:rFonts w:hint="eastAsia" w:ascii="仿宋_GB2312" w:hAnsi="仿宋_GB2312" w:eastAsia="仿宋_GB2312" w:cs="仿宋_GB2312"/>
          <w:sz w:val="32"/>
          <w:szCs w:val="32"/>
          <w:highlight w:val="none"/>
          <w:lang w:val="en-US" w:eastAsia="zh-CN"/>
        </w:rPr>
        <w:t>推动深港跨境融合。</w:t>
      </w:r>
    </w:p>
    <w:p>
      <w:pPr>
        <w:numPr>
          <w:ilvl w:val="0"/>
          <w:numId w:val="2"/>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香港场地租赁和搭建。</w:t>
      </w:r>
      <w:r>
        <w:rPr>
          <w:rFonts w:hint="eastAsia" w:ascii="仿宋_GB2312" w:eastAsia="仿宋_GB2312" w:cs="Times New Roman"/>
          <w:color w:val="auto"/>
          <w:kern w:val="2"/>
          <w:sz w:val="32"/>
          <w:szCs w:val="32"/>
          <w:highlight w:val="none"/>
          <w:lang w:val="en-US" w:eastAsia="zh-CN" w:bidi="ar-SA"/>
        </w:rPr>
        <w:t>负责租赁香港商场约580平方米的</w:t>
      </w:r>
      <w:r>
        <w:rPr>
          <w:rFonts w:hint="eastAsia" w:ascii="仿宋_GB2312" w:hAnsi="仿宋_GB2312" w:eastAsia="仿宋_GB2312" w:cs="仿宋_GB2312"/>
          <w:b w:val="0"/>
          <w:bCs w:val="0"/>
          <w:color w:val="auto"/>
          <w:spacing w:val="0"/>
          <w:sz w:val="32"/>
          <w:szCs w:val="32"/>
          <w:lang w:eastAsia="zh-CN"/>
        </w:rPr>
        <w:t>推介</w:t>
      </w:r>
      <w:r>
        <w:rPr>
          <w:rFonts w:hint="eastAsia" w:ascii="仿宋_GB2312" w:hAnsi="仿宋_GB2312" w:eastAsia="仿宋_GB2312" w:cs="仿宋_GB2312"/>
          <w:b w:val="0"/>
          <w:bCs w:val="0"/>
          <w:color w:val="auto"/>
          <w:spacing w:val="0"/>
          <w:sz w:val="32"/>
          <w:szCs w:val="32"/>
        </w:rPr>
        <w:t>场地</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color w:val="auto"/>
          <w:spacing w:val="9"/>
          <w:sz w:val="32"/>
          <w:szCs w:val="32"/>
        </w:rPr>
        <w:t>租用</w:t>
      </w:r>
      <w:r>
        <w:rPr>
          <w:rFonts w:hint="eastAsia" w:ascii="仿宋_GB2312" w:hAnsi="仿宋_GB2312" w:eastAsia="仿宋_GB2312" w:cs="仿宋_GB2312"/>
          <w:color w:val="auto"/>
          <w:sz w:val="32"/>
          <w:szCs w:val="32"/>
        </w:rPr>
        <w:t>LED</w:t>
      </w:r>
      <w:r>
        <w:rPr>
          <w:rFonts w:hint="eastAsia" w:ascii="仿宋_GB2312" w:hAnsi="仿宋_GB2312" w:eastAsia="仿宋_GB2312" w:cs="仿宋_GB2312"/>
          <w:color w:val="auto"/>
          <w:spacing w:val="8"/>
          <w:sz w:val="32"/>
          <w:szCs w:val="32"/>
        </w:rPr>
        <w:t>屏</w:t>
      </w:r>
      <w:r>
        <w:rPr>
          <w:rFonts w:hint="eastAsia" w:ascii="仿宋_GB2312" w:hAnsi="仿宋_GB2312" w:eastAsia="仿宋_GB2312" w:cs="仿宋_GB2312"/>
          <w:color w:val="auto"/>
          <w:spacing w:val="7"/>
          <w:sz w:val="32"/>
          <w:szCs w:val="32"/>
        </w:rPr>
        <w:t>幕</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3m*8m</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5m*10m的舞台、</w:t>
      </w:r>
      <w:r>
        <w:rPr>
          <w:rFonts w:hint="eastAsia" w:ascii="仿宋_GB2312" w:hAnsi="仿宋_GB2312" w:eastAsia="仿宋_GB2312" w:cs="仿宋_GB2312"/>
          <w:color w:val="auto"/>
          <w:spacing w:val="9"/>
          <w:sz w:val="32"/>
          <w:szCs w:val="32"/>
        </w:rPr>
        <w:t>整套</w:t>
      </w:r>
      <w:r>
        <w:rPr>
          <w:rFonts w:hint="eastAsia" w:ascii="仿宋_GB2312" w:hAnsi="仿宋_GB2312" w:eastAsia="仿宋_GB2312" w:cs="仿宋_GB2312"/>
          <w:color w:val="auto"/>
          <w:spacing w:val="9"/>
          <w:sz w:val="32"/>
          <w:szCs w:val="32"/>
          <w:lang w:eastAsia="zh-CN"/>
        </w:rPr>
        <w:t>灯光、</w:t>
      </w:r>
      <w:r>
        <w:rPr>
          <w:rFonts w:hint="eastAsia" w:ascii="仿宋_GB2312" w:hAnsi="仿宋_GB2312" w:eastAsia="仿宋_GB2312" w:cs="仿宋_GB2312"/>
          <w:color w:val="auto"/>
          <w:spacing w:val="9"/>
          <w:sz w:val="32"/>
          <w:szCs w:val="32"/>
        </w:rPr>
        <w:t>音响系统（包括控制台、音箱、麦克风</w:t>
      </w:r>
      <w:r>
        <w:rPr>
          <w:rFonts w:hint="eastAsia" w:ascii="仿宋_GB2312" w:hAnsi="仿宋_GB2312" w:eastAsia="仿宋_GB2312" w:cs="仿宋_GB2312"/>
          <w:color w:val="auto"/>
          <w:spacing w:val="9"/>
          <w:sz w:val="32"/>
          <w:szCs w:val="32"/>
          <w:lang w:eastAsia="zh-CN"/>
        </w:rPr>
        <w:t>、麦架</w:t>
      </w:r>
      <w:r>
        <w:rPr>
          <w:rFonts w:hint="eastAsia" w:ascii="仿宋_GB2312" w:hAnsi="仿宋_GB2312" w:eastAsia="仿宋_GB2312" w:cs="仿宋_GB2312"/>
          <w:color w:val="auto"/>
          <w:spacing w:val="9"/>
          <w:sz w:val="32"/>
          <w:szCs w:val="32"/>
        </w:rPr>
        <w:t>等</w:t>
      </w:r>
      <w:r>
        <w:rPr>
          <w:rFonts w:hint="eastAsia" w:ascii="仿宋_GB2312" w:hAnsi="仿宋_GB2312" w:eastAsia="仿宋_GB2312" w:cs="仿宋_GB2312"/>
          <w:color w:val="auto"/>
          <w:spacing w:val="1"/>
          <w:sz w:val="32"/>
          <w:szCs w:val="32"/>
        </w:rPr>
        <w:t>)</w:t>
      </w:r>
      <w:r>
        <w:rPr>
          <w:rFonts w:hint="eastAsia" w:ascii="仿宋_GB2312" w:hAnsi="仿宋_GB2312" w:eastAsia="仿宋_GB2312" w:cs="仿宋_GB2312"/>
          <w:color w:val="auto"/>
          <w:spacing w:val="6"/>
          <w:sz w:val="32"/>
          <w:szCs w:val="32"/>
        </w:rPr>
        <w:t>等</w:t>
      </w:r>
      <w:r>
        <w:rPr>
          <w:rFonts w:hint="eastAsia" w:ascii="仿宋_GB2312" w:hAnsi="仿宋_GB2312" w:eastAsia="仿宋_GB2312" w:cs="仿宋_GB2312"/>
          <w:color w:val="auto"/>
          <w:spacing w:val="6"/>
          <w:sz w:val="32"/>
          <w:szCs w:val="32"/>
          <w:lang w:eastAsia="zh-CN"/>
        </w:rPr>
        <w:t>设备</w:t>
      </w:r>
      <w:r>
        <w:rPr>
          <w:rFonts w:hint="eastAsia" w:ascii="仿宋_GB2312" w:hAnsi="仿宋_GB2312" w:eastAsia="仿宋_GB2312" w:cs="仿宋_GB2312"/>
          <w:b w:val="0"/>
          <w:bCs w:val="0"/>
          <w:color w:val="auto"/>
          <w:spacing w:val="0"/>
          <w:sz w:val="32"/>
          <w:szCs w:val="32"/>
          <w:lang w:eastAsia="zh-CN"/>
        </w:rPr>
        <w:t>。</w:t>
      </w:r>
      <w:r>
        <w:rPr>
          <w:rFonts w:hint="eastAsia" w:ascii="仿宋_GB2312" w:eastAsia="仿宋_GB2312" w:cs="Times New Roman"/>
          <w:color w:val="auto"/>
          <w:kern w:val="2"/>
          <w:sz w:val="32"/>
          <w:szCs w:val="32"/>
          <w:highlight w:val="none"/>
          <w:lang w:val="en-US" w:eastAsia="zh-CN" w:bidi="ar-SA"/>
        </w:rPr>
        <w:t>负责活动舞台区、坐席区布置的设计、制作和搭建及拆卸工作。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2.活动策划：提供完整详尽、可操作性强的项目实施方案，对活动现场进行专业督导，组织统筹团队工作人员，负责活动现场人员安全管理责任</w:t>
      </w:r>
      <w:r>
        <w:rPr>
          <w:rFonts w:hint="eastAsia" w:ascii="仿宋_GB2312" w:hAnsi="等线" w:eastAsia="仿宋_GB2312" w:cs="Times New Roman"/>
          <w:color w:val="auto"/>
          <w:kern w:val="2"/>
          <w:sz w:val="32"/>
          <w:szCs w:val="32"/>
          <w:highlight w:val="none"/>
          <w:lang w:val="en-US" w:eastAsia="zh-CN" w:bidi="ar-SA"/>
        </w:rPr>
        <w:t>，确保</w:t>
      </w:r>
      <w:r>
        <w:rPr>
          <w:rFonts w:hint="eastAsia" w:ascii="仿宋_GB2312" w:eastAsia="仿宋_GB2312" w:cs="Times New Roman"/>
          <w:color w:val="auto"/>
          <w:kern w:val="2"/>
          <w:sz w:val="32"/>
          <w:szCs w:val="32"/>
          <w:highlight w:val="none"/>
          <w:lang w:val="en-US" w:eastAsia="zh-CN" w:bidi="ar-SA"/>
        </w:rPr>
        <w:t>活动</w:t>
      </w:r>
      <w:r>
        <w:rPr>
          <w:rFonts w:hint="eastAsia" w:ascii="仿宋_GB2312" w:hAnsi="等线" w:eastAsia="仿宋_GB2312" w:cs="Times New Roman"/>
          <w:color w:val="auto"/>
          <w:kern w:val="2"/>
          <w:sz w:val="32"/>
          <w:szCs w:val="32"/>
          <w:highlight w:val="none"/>
          <w:lang w:val="en-US" w:eastAsia="zh-CN" w:bidi="ar-SA"/>
        </w:rPr>
        <w:t>顺利进行</w:t>
      </w:r>
      <w:r>
        <w:rPr>
          <w:rFonts w:hint="eastAsia" w:ascii="仿宋_GB2312" w:eastAsia="仿宋_GB2312" w:cs="Times New Roman"/>
          <w:color w:val="auto"/>
          <w:kern w:val="2"/>
          <w:sz w:val="32"/>
          <w:szCs w:val="32"/>
          <w:highlight w:val="no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eastAsia="仿宋_GB2312" w:cs="Times New Roman"/>
          <w:color w:val="auto"/>
          <w:kern w:val="2"/>
          <w:sz w:val="32"/>
          <w:szCs w:val="32"/>
          <w:highlight w:val="none"/>
          <w:lang w:val="en-US" w:eastAsia="zh-CN" w:bidi="ar-SA"/>
        </w:rPr>
        <w:t>3.</w:t>
      </w:r>
      <w:r>
        <w:rPr>
          <w:rFonts w:hint="eastAsia" w:ascii="仿宋_GB2312" w:hAnsi="仿宋" w:eastAsia="仿宋_GB2312" w:cs="仿宋"/>
          <w:color w:val="auto"/>
          <w:sz w:val="32"/>
          <w:szCs w:val="32"/>
          <w:lang w:val="en-US" w:eastAsia="zh-CN"/>
        </w:rPr>
        <w:t>嘉宾、媒体邀请和嘉宾资料收集、整理：负责</w:t>
      </w:r>
      <w:r>
        <w:rPr>
          <w:rFonts w:hint="eastAsia" w:ascii="仿宋_GB2312" w:hAnsi="仿宋" w:eastAsia="仿宋_GB2312" w:cs="仿宋"/>
          <w:b w:val="0"/>
          <w:bCs w:val="0"/>
          <w:color w:val="auto"/>
          <w:kern w:val="2"/>
          <w:sz w:val="32"/>
          <w:szCs w:val="32"/>
          <w:lang w:val="en-US" w:eastAsia="zh-CN" w:bidi="ar-SA"/>
        </w:rPr>
        <w:t>邀请香港当地文化、体育、旅游、时尚、商协会等领域相关负责人、专业人士、艺术家、媒体出席交流会，做好嘉宾资料收集、整理。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lang w:val="en-US" w:eastAsia="zh-CN" w:bidi="ar-SA"/>
        </w:rPr>
        <w:t>4.</w:t>
      </w:r>
      <w:r>
        <w:rPr>
          <w:rFonts w:hint="eastAsia" w:ascii="仿宋_GB2312" w:eastAsia="仿宋_GB2312" w:cs="Times New Roman"/>
          <w:color w:val="auto"/>
          <w:kern w:val="2"/>
          <w:sz w:val="32"/>
          <w:szCs w:val="32"/>
          <w:highlight w:val="none"/>
          <w:lang w:val="en-US" w:eastAsia="zh-CN" w:bidi="ar-SA"/>
        </w:rPr>
        <w:t>工作人员：活动需配置不少于6名执行人员、</w:t>
      </w:r>
      <w:r>
        <w:rPr>
          <w:rFonts w:hint="eastAsia" w:ascii="仿宋_GB2312" w:eastAsia="仿宋_GB2312" w:cs="Times New Roman"/>
          <w:color w:val="auto"/>
          <w:kern w:val="2"/>
          <w:sz w:val="32"/>
          <w:szCs w:val="32"/>
          <w:highlight w:val="none"/>
          <w:lang w:val="en" w:eastAsia="zh-CN" w:bidi="ar-SA"/>
        </w:rPr>
        <w:t>１名灯光师、</w:t>
      </w:r>
      <w:r>
        <w:rPr>
          <w:rFonts w:hint="eastAsia" w:ascii="仿宋_GB2312" w:eastAsia="仿宋_GB2312" w:cs="Times New Roman"/>
          <w:color w:val="auto"/>
          <w:kern w:val="2"/>
          <w:sz w:val="32"/>
          <w:szCs w:val="32"/>
          <w:highlight w:val="none"/>
          <w:lang w:val="en-US" w:eastAsia="zh-CN" w:bidi="ar-SA"/>
        </w:rPr>
        <w:t>2名摄影摄像师、1名主持人、1名音频、视频控制师（带电脑、控台）；</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5.</w:t>
      </w:r>
      <w:r>
        <w:rPr>
          <w:rFonts w:hint="eastAsia" w:ascii="仿宋_GB2312" w:hAnsi="仿宋" w:eastAsia="仿宋_GB2312" w:cs="仿宋"/>
          <w:b w:val="0"/>
          <w:bCs w:val="0"/>
          <w:color w:val="auto"/>
          <w:kern w:val="2"/>
          <w:sz w:val="32"/>
          <w:szCs w:val="32"/>
          <w:lang w:val="en-US" w:eastAsia="zh-CN" w:bidi="ar-SA"/>
        </w:rPr>
        <w:t>活动物料设计、布置</w:t>
      </w:r>
      <w:r>
        <w:rPr>
          <w:rFonts w:hint="eastAsia" w:ascii="仿宋_GB2312" w:eastAsia="仿宋_GB2312" w:cs="Times New Roman"/>
          <w:color w:val="auto"/>
          <w:kern w:val="2"/>
          <w:sz w:val="32"/>
          <w:szCs w:val="32"/>
          <w:highlight w:val="none"/>
          <w:lang w:val="en-US" w:eastAsia="zh-CN" w:bidi="ar-SA"/>
        </w:rPr>
        <w:t>：负责活动物料（活动主KV、PPT、海报、指示牌、讲台KT版等）、邀请函、活动议程、龙华日历卡片、手卡、背贴等的设计、印刷、制作。</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6.活动设备、物料运输</w:t>
      </w:r>
      <w:r>
        <w:rPr>
          <w:rFonts w:hint="default" w:ascii="仿宋_GB2312" w:eastAsia="仿宋_GB2312" w:cs="Times New Roman"/>
          <w:color w:val="auto"/>
          <w:kern w:val="2"/>
          <w:sz w:val="32"/>
          <w:szCs w:val="32"/>
          <w:highlight w:val="none"/>
          <w:lang w:val="en-US" w:eastAsia="zh-CN" w:bidi="ar-SA"/>
        </w:rPr>
        <w:t>4</w:t>
      </w:r>
      <w:r>
        <w:rPr>
          <w:rFonts w:hint="eastAsia" w:ascii="仿宋_GB2312" w:eastAsia="仿宋_GB2312" w:cs="Times New Roman"/>
          <w:color w:val="auto"/>
          <w:kern w:val="2"/>
          <w:sz w:val="32"/>
          <w:szCs w:val="32"/>
          <w:highlight w:val="none"/>
          <w:lang w:val="en-US" w:eastAsia="zh-CN" w:bidi="ar-SA"/>
        </w:rPr>
        <w:t>车。</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7.其他要求：保障活动现场搭建及</w:t>
      </w:r>
      <w:r>
        <w:rPr>
          <w:rFonts w:hint="eastAsia" w:ascii="仿宋_GB2312" w:hAnsi="等线" w:eastAsia="仿宋_GB2312" w:cs="Times New Roman"/>
          <w:color w:val="auto"/>
          <w:kern w:val="2"/>
          <w:sz w:val="32"/>
          <w:szCs w:val="32"/>
          <w:highlight w:val="none"/>
          <w:lang w:val="en-US" w:eastAsia="zh-CN" w:bidi="ar-SA"/>
        </w:rPr>
        <w:t>器材运输</w:t>
      </w:r>
      <w:r>
        <w:rPr>
          <w:rFonts w:hint="eastAsia" w:ascii="仿宋_GB2312" w:eastAsia="仿宋_GB2312" w:cs="Times New Roman"/>
          <w:color w:val="auto"/>
          <w:kern w:val="2"/>
          <w:sz w:val="32"/>
          <w:szCs w:val="32"/>
          <w:highlight w:val="none"/>
          <w:lang w:val="en-US" w:eastAsia="zh-CN" w:bidi="ar-SA"/>
        </w:rPr>
        <w:t>安全，</w:t>
      </w:r>
      <w:r>
        <w:rPr>
          <w:rFonts w:hint="eastAsia" w:ascii="仿宋_GB2312" w:eastAsia="仿宋_GB2312" w:cs="Times New Roman"/>
          <w:color w:val="auto"/>
          <w:kern w:val="2"/>
          <w:sz w:val="32"/>
          <w:szCs w:val="32"/>
          <w:highlight w:val="none"/>
          <w:lang w:val="en" w:eastAsia="zh-CN" w:bidi="ar-SA"/>
        </w:rPr>
        <w:t>配置</w:t>
      </w:r>
      <w:r>
        <w:rPr>
          <w:rFonts w:hint="eastAsia" w:ascii="仿宋_GB2312" w:eastAsia="仿宋_GB2312" w:cs="Times New Roman"/>
          <w:color w:val="auto"/>
          <w:kern w:val="2"/>
          <w:sz w:val="32"/>
          <w:szCs w:val="32"/>
          <w:highlight w:val="none"/>
          <w:lang w:val="en-US" w:eastAsia="zh-CN" w:bidi="ar-SA"/>
        </w:rPr>
        <w:t>LED屏幕所需</w:t>
      </w:r>
      <w:r>
        <w:rPr>
          <w:rFonts w:hint="eastAsia" w:ascii="仿宋_GB2312" w:eastAsia="仿宋_GB2312" w:cs="Times New Roman"/>
          <w:color w:val="auto"/>
          <w:kern w:val="2"/>
          <w:sz w:val="32"/>
          <w:szCs w:val="32"/>
          <w:highlight w:val="none"/>
          <w:lang w:val="en" w:eastAsia="zh-CN" w:bidi="ar-SA"/>
        </w:rPr>
        <w:t>处理器、切换器、笔记本电脑等设备，</w:t>
      </w:r>
      <w:r>
        <w:rPr>
          <w:rFonts w:hint="eastAsia" w:ascii="仿宋_GB2312" w:hAnsi="仿宋" w:eastAsia="仿宋_GB2312" w:cs="仿宋"/>
          <w:color w:val="auto"/>
          <w:sz w:val="32"/>
          <w:szCs w:val="32"/>
          <w:lang w:val="en-US" w:eastAsia="zh-CN"/>
        </w:rPr>
        <w:t>做好所有物资的保障工作。</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29.67</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55"/>
        <w:gridCol w:w="4185"/>
        <w:gridCol w:w="88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val="en-US" w:eastAsia="zh-CN"/>
              </w:rPr>
              <w:t>深圳龙华文旅推介会（香港）</w:t>
            </w:r>
            <w:r>
              <w:rPr>
                <w:rFonts w:hint="eastAsia" w:ascii="仿宋_GB2312" w:hAnsi="仿宋_GB2312" w:eastAsia="仿宋_GB2312" w:cs="仿宋_GB2312"/>
                <w:sz w:val="32"/>
                <w:szCs w:val="32"/>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455"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p>
        </w:tc>
        <w:tc>
          <w:tcPr>
            <w:tcW w:w="4185"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内容</w:t>
            </w:r>
          </w:p>
        </w:tc>
        <w:tc>
          <w:tcPr>
            <w:tcW w:w="885" w:type="dxa"/>
            <w:noWrap w:val="0"/>
            <w:vAlign w:val="top"/>
          </w:tcPr>
          <w:p>
            <w:pPr>
              <w:pStyle w:val="7"/>
              <w:spacing w:after="0" w:line="560" w:lineRule="exact"/>
              <w:ind w:left="0" w:leftChars="0" w:right="0" w:rightChars="0" w:firstLine="0" w:firstLineChars="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863" w:type="dxa"/>
            <w:noWrap w:val="0"/>
            <w:vAlign w:val="top"/>
          </w:tcPr>
          <w:p>
            <w:pPr>
              <w:pStyle w:val="7"/>
              <w:spacing w:after="0" w:line="560" w:lineRule="exact"/>
              <w:ind w:left="0" w:leftChars="0" w:right="0" w:rightChars="0" w:firstLine="0" w:firstLineChars="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1</w:t>
            </w:r>
          </w:p>
        </w:tc>
        <w:tc>
          <w:tcPr>
            <w:tcW w:w="1455" w:type="dxa"/>
            <w:vMerge w:val="restart"/>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场地租赁、搭建</w:t>
            </w:r>
          </w:p>
        </w:tc>
        <w:tc>
          <w:tcPr>
            <w:tcW w:w="4185"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香港商场场地（约580平）全天租赁</w:t>
            </w:r>
          </w:p>
        </w:tc>
        <w:tc>
          <w:tcPr>
            <w:tcW w:w="885"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continue"/>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p>
        </w:tc>
        <w:tc>
          <w:tcPr>
            <w:tcW w:w="1455" w:type="dxa"/>
            <w:vMerge w:val="continue"/>
            <w:noWrap w:val="0"/>
            <w:vAlign w:val="center"/>
          </w:tcPr>
          <w:p>
            <w:pPr>
              <w:spacing w:after="0" w:line="240" w:lineRule="auto"/>
              <w:ind w:right="0" w:rightChars="0"/>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led屏幕（3*8m）全天租赁</w:t>
            </w:r>
          </w:p>
        </w:tc>
        <w:tc>
          <w:tcPr>
            <w:tcW w:w="885"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p>
        </w:tc>
        <w:tc>
          <w:tcPr>
            <w:tcW w:w="1455" w:type="dxa"/>
            <w:vMerge w:val="continue"/>
            <w:noWrap w:val="0"/>
            <w:vAlign w:val="center"/>
          </w:tcPr>
          <w:p>
            <w:pPr>
              <w:spacing w:after="0" w:line="240" w:lineRule="auto"/>
              <w:ind w:right="0" w:rightChars="0"/>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（5*10m）舞台设备租赁</w:t>
            </w:r>
          </w:p>
        </w:tc>
        <w:tc>
          <w:tcPr>
            <w:tcW w:w="885"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p>
        </w:tc>
        <w:tc>
          <w:tcPr>
            <w:tcW w:w="1455" w:type="dxa"/>
            <w:vMerge w:val="continue"/>
            <w:noWrap w:val="0"/>
            <w:vAlign w:val="center"/>
          </w:tcPr>
          <w:p>
            <w:pPr>
              <w:spacing w:after="0" w:line="240" w:lineRule="auto"/>
              <w:ind w:right="0" w:rightChars="0"/>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灯光、音响设备租赁</w:t>
            </w:r>
          </w:p>
        </w:tc>
        <w:tc>
          <w:tcPr>
            <w:tcW w:w="885"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p>
        </w:tc>
        <w:tc>
          <w:tcPr>
            <w:tcW w:w="1455" w:type="dxa"/>
            <w:vMerge w:val="continue"/>
            <w:noWrap w:val="0"/>
            <w:vAlign w:val="center"/>
          </w:tcPr>
          <w:p>
            <w:pPr>
              <w:spacing w:after="0" w:line="240" w:lineRule="auto"/>
              <w:ind w:right="0" w:rightChars="0"/>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活动现场搭建布置、拆卸</w:t>
            </w:r>
          </w:p>
        </w:tc>
        <w:tc>
          <w:tcPr>
            <w:tcW w:w="885" w:type="dxa"/>
            <w:noWrap w:val="0"/>
            <w:vAlign w:val="center"/>
          </w:tcPr>
          <w:p>
            <w:pPr>
              <w:widowControl/>
              <w:spacing w:after="0" w:line="56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人/次</w:t>
            </w:r>
          </w:p>
        </w:tc>
        <w:tc>
          <w:tcPr>
            <w:tcW w:w="863" w:type="dxa"/>
            <w:noWrap w:val="0"/>
            <w:vAlign w:val="center"/>
          </w:tcPr>
          <w:p>
            <w:pPr>
              <w:widowControl/>
              <w:spacing w:after="0" w:line="560" w:lineRule="exact"/>
              <w:ind w:right="0" w:rightChars="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w:t>
            </w:r>
          </w:p>
        </w:tc>
        <w:tc>
          <w:tcPr>
            <w:tcW w:w="14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活动策划</w:t>
            </w: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负责整体活动方案策划，包括制作活动方案、工作执行方案、活动流程设计等</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3</w:t>
            </w:r>
          </w:p>
        </w:tc>
        <w:tc>
          <w:tcPr>
            <w:tcW w:w="145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活动人员</w:t>
            </w: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嘉宾邀约及收集对接</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媒体（需出新闻稿据实结算）</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家</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主持人（粤语）</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现场执行</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摄影、摄像师</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灯光师</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音频、视频控制师（带电脑、控台）</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w:t>
            </w:r>
          </w:p>
        </w:tc>
        <w:tc>
          <w:tcPr>
            <w:tcW w:w="145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活动物料设计制作</w:t>
            </w: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主背景设计、邀请函设计、指引牌等物料设计</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活动ppt制作、排版</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会场讲台装饰（KT板）</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活动议程印刷</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主持人手卡</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桌贴/背贴</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份</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c>
          <w:tcPr>
            <w:tcW w:w="1455" w:type="dxa"/>
            <w:vMerge w:val="continue"/>
            <w:noWrap w:val="0"/>
            <w:vAlign w:val="center"/>
          </w:tcPr>
          <w:p>
            <w:pPr>
              <w:jc w:val="center"/>
              <w:rPr>
                <w:rFonts w:hint="eastAsia" w:ascii="仿宋_GB2312" w:hAnsi="仿宋_GB2312" w:eastAsia="仿宋_GB2312" w:cs="仿宋_GB2312"/>
                <w:sz w:val="28"/>
                <w:szCs w:val="28"/>
                <w:vertAlign w:val="baseline"/>
                <w:lang w:eastAsia="zh-CN"/>
              </w:rPr>
            </w:pP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龙华日历卡片设计、制作</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份</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w:t>
            </w:r>
          </w:p>
        </w:tc>
        <w:tc>
          <w:tcPr>
            <w:tcW w:w="14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olor w:val="000000"/>
                <w:kern w:val="0"/>
                <w:sz w:val="28"/>
                <w:szCs w:val="28"/>
                <w:u w:val="none"/>
                <w:lang w:val="en-US" w:eastAsia="zh-CN" w:bidi="ar"/>
              </w:rPr>
              <w:t>物料运输</w:t>
            </w:r>
          </w:p>
        </w:tc>
        <w:tc>
          <w:tcPr>
            <w:tcW w:w="4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活动设备、物料运输</w:t>
            </w:r>
          </w:p>
        </w:tc>
        <w:tc>
          <w:tcPr>
            <w:tcW w:w="8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车</w:t>
            </w:r>
          </w:p>
        </w:tc>
        <w:tc>
          <w:tcPr>
            <w:tcW w:w="8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noWrap w:val="0"/>
            <w:vAlign w:val="top"/>
          </w:tcPr>
          <w:p>
            <w:pPr>
              <w:pStyle w:val="7"/>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投标价格（万元）：</w:t>
            </w:r>
            <w:r>
              <w:rPr>
                <w:rFonts w:hint="eastAsia" w:ascii="仿宋_GB2312" w:hAnsi="仿宋_GB2312" w:eastAsia="仿宋_GB2312" w:cs="仿宋_GB2312"/>
                <w:sz w:val="32"/>
                <w:szCs w:val="32"/>
                <w:vertAlign w:val="baseline"/>
                <w:lang w:val="en-US" w:eastAsia="zh-CN"/>
              </w:rPr>
              <w:t xml:space="preserve">  （以万元为单位，最多保留两位小数）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4"/>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4"/>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r>
        <w:rPr>
          <w:rFonts w:hint="eastAsia" w:ascii="黑体" w:hAnsi="黑体" w:eastAsia="黑体" w:cs="黑体"/>
          <w:sz w:val="32"/>
          <w:szCs w:val="32"/>
          <w:highlight w:val="none"/>
          <w:lang w:eastAsia="zh-CN"/>
        </w:rPr>
        <w:t>（采取综合评分法适用）</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每提供一项文旅推介会</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传媒</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分（注：同一人不同学历不累计分值）；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具有文旅</w:t>
            </w:r>
            <w:r>
              <w:rPr>
                <w:rFonts w:hint="eastAsia" w:ascii="仿宋_GB2312" w:hAnsi="仿宋_GB2312" w:eastAsia="仿宋_GB2312" w:cs="仿宋_GB2312"/>
                <w:sz w:val="24"/>
                <w:szCs w:val="24"/>
                <w:lang w:val="en-US" w:eastAsia="zh-CN"/>
              </w:rPr>
              <w:t>推介会</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，并提供</w:t>
            </w:r>
            <w:r>
              <w:rPr>
                <w:rFonts w:hint="eastAsia" w:ascii="仿宋_GB2312" w:hAnsi="仿宋_GB2312" w:eastAsia="仿宋_GB2312" w:cs="仿宋_GB2312"/>
                <w:sz w:val="24"/>
                <w:szCs w:val="24"/>
              </w:rPr>
              <w:t>学信网查询记录，原件备查。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提供相关证书证明材料。</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topLinePunct/>
              <w:adjustRightInd/>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1.龙华区文体旅资源的分析；</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2.推介会活动方案；</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3.活动现场搭建、布置效果；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4.活动流程设计和执行安排情况。</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2.良：项目实施方案内容较丰富、较具体、针对性较强、较科学合理、可操作性较强得6分；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3.中：项目实施方案内容、针对性、可操作性一般得3分；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3.向招标方提出项目实施的其它具体建议。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满足以上任意一项要求得3分，最高得9分，在此基础上，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质量保障措施及方案</w:t>
            </w:r>
          </w:p>
          <w:p>
            <w:pPr>
              <w:pStyle w:val="6"/>
              <w:spacing w:line="560" w:lineRule="exact"/>
              <w:jc w:val="left"/>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10分</w:t>
            </w:r>
            <w:r>
              <w:rPr>
                <w:rFonts w:hint="eastAsia" w:ascii="仿宋_GB2312" w:hAnsi="仿宋_GB2312" w:eastAsia="仿宋_GB2312" w:cs="仿宋_GB2312"/>
                <w:sz w:val="24"/>
                <w:szCs w:val="24"/>
                <w:vertAlign w:val="baseli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根据对项目的理解及自身管理经验，针对本项目提出质量（完成时间、安全）保障措施及方案。包括但不限于以下内容：</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1.具备详细的完成时间保障措施；</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2.详细阐述项目人员措施；</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3.详细阐述项目质量措施。</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二、评分标准：</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满足以上任意一项要求得2分，最高得6分，在此基础上，</w:t>
            </w:r>
            <w:r>
              <w:rPr>
                <w:rFonts w:hint="eastAsia" w:ascii="仿宋_GB2312" w:hAnsi="仿宋_GB2312" w:eastAsia="仿宋_GB2312" w:cs="仿宋_GB2312"/>
                <w:sz w:val="24"/>
                <w:szCs w:val="24"/>
                <w:lang w:eastAsia="zh-CN"/>
              </w:rPr>
              <w:t>根据供应商的具体响应内容按照量化的评审因素指标进一步评审，设定优、良、中、差四个评分标准</w:t>
            </w:r>
            <w:r>
              <w:rPr>
                <w:rFonts w:hint="eastAsia" w:ascii="仿宋_GB2312" w:hAnsi="仿宋_GB2312" w:eastAsia="仿宋_GB2312" w:cs="仿宋_GB2312"/>
                <w:sz w:val="24"/>
                <w:szCs w:val="24"/>
                <w:lang w:val="en-US" w:eastAsia="zh-CN"/>
              </w:rPr>
              <w:t>：</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优：以上项目质量保障措施及方案三点内容全面具体、针对性强、可操作性强，加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良：以上项目质量保障措施及方案的三点内容较丰富、针对性较强、可操作性较强，加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中：以上项目质量保障措施及方案三点内容完整性、针对性、可操作性均一般，加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差：</w:t>
            </w:r>
            <w:r>
              <w:rPr>
                <w:rFonts w:hint="eastAsia" w:ascii="仿宋_GB2312" w:hAnsi="仿宋_GB2312" w:eastAsia="仿宋_GB2312" w:cs="仿宋_GB2312"/>
                <w:sz w:val="24"/>
                <w:szCs w:val="24"/>
                <w:lang w:val="en-US" w:eastAsia="zh-CN"/>
              </w:rPr>
              <w:t>其它情况不得分。</w:t>
            </w:r>
          </w:p>
        </w:tc>
      </w:tr>
    </w:tbl>
    <w:p>
      <w:pPr>
        <w:pStyle w:val="16"/>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r>
        <w:rPr>
          <w:rFonts w:hint="eastAsia" w:ascii="仿宋_GB2312" w:hAnsi="仿宋" w:eastAsia="仿宋_GB2312" w:cs="Times New Roman"/>
          <w:sz w:val="32"/>
          <w:lang w:eastAsia="zh-CN"/>
        </w:rPr>
        <w:t>、</w:t>
      </w:r>
      <w:r>
        <w:rPr>
          <w:rFonts w:hint="eastAsia" w:ascii="仿宋_GB2312" w:hAnsi="仿宋" w:eastAsia="仿宋_GB2312" w:cs="Times New Roman"/>
          <w:sz w:val="32"/>
          <w:highlight w:val="none"/>
          <w:lang w:eastAsia="zh-CN"/>
        </w:rPr>
        <w:t>相关许可证书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spacing w:line="560" w:lineRule="exact"/>
        <w:jc w:val="center"/>
        <w:rPr>
          <w:rFonts w:hint="eastAsia" w:ascii="仿宋_GB2312" w:hAnsi="仿宋" w:eastAsia="仿宋_GB2312" w:cs="Times New Roman"/>
          <w:sz w:val="32"/>
        </w:rPr>
      </w:pPr>
      <w:r>
        <w:rPr>
          <w:rFonts w:hint="eastAsia" w:ascii="仿宋_GB2312" w:hAnsi="仿宋" w:eastAsia="仿宋_GB2312" w:cs="Times New Roman"/>
          <w:sz w:val="32"/>
          <w:lang w:val="en-US" w:eastAsia="zh-CN"/>
        </w:rPr>
        <w:t xml:space="preserve">   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w:t>
      </w:r>
    </w:p>
    <w:p>
      <w:pPr>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rPr>
        <w:t>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Times New Roman"/>
          <w:b w:val="0"/>
          <w:bCs w:val="0"/>
          <w:color w:val="auto"/>
          <w:kern w:val="2"/>
          <w:sz w:val="32"/>
          <w:szCs w:val="24"/>
          <w:highlight w:val="none"/>
          <w:lang w:val="en-US" w:eastAsia="zh-CN" w:bidi="ar-SA"/>
        </w:rPr>
        <w:t>深圳龙华文旅推介会（香港）</w:t>
      </w:r>
      <w:r>
        <w:rPr>
          <w:rFonts w:hint="eastAsia" w:ascii="仿宋_GB2312" w:hAnsi="仿宋" w:eastAsia="仿宋_GB2312" w:cs="Times New Roman"/>
          <w:color w:val="000000"/>
          <w:kern w:val="2"/>
          <w:sz w:val="32"/>
          <w:szCs w:val="24"/>
        </w:rPr>
        <w:t>”</w:t>
      </w:r>
      <w:r>
        <w:rPr>
          <w:rFonts w:hint="eastAsia" w:ascii="仿宋_GB2312" w:hAnsi="仿宋" w:eastAsia="仿宋_GB2312" w:cs="Times New Roman"/>
          <w:color w:val="000000"/>
          <w:kern w:val="2"/>
          <w:sz w:val="32"/>
          <w:szCs w:val="24"/>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17"/>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D9512"/>
    <w:multiLevelType w:val="singleLevel"/>
    <w:tmpl w:val="F6FD9512"/>
    <w:lvl w:ilvl="0" w:tentative="0">
      <w:start w:val="2"/>
      <w:numFmt w:val="chineseCounting"/>
      <w:suff w:val="nothing"/>
      <w:lvlText w:val="（%1）"/>
      <w:lvlJc w:val="left"/>
      <w:rPr>
        <w:rFonts w:hint="eastAsia"/>
      </w:rPr>
    </w:lvl>
  </w:abstractNum>
  <w:abstractNum w:abstractNumId="1">
    <w:nsid w:val="40FEB204"/>
    <w:multiLevelType w:val="singleLevel"/>
    <w:tmpl w:val="40FEB2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3315093A"/>
    <w:rsid w:val="3D5FDCFC"/>
    <w:rsid w:val="5BEB5DAF"/>
    <w:rsid w:val="5F2BE56A"/>
    <w:rsid w:val="5F3F3D63"/>
    <w:rsid w:val="67BADCD1"/>
    <w:rsid w:val="6CFFD566"/>
    <w:rsid w:val="6EAE22C4"/>
    <w:rsid w:val="6FC72380"/>
    <w:rsid w:val="73FB884D"/>
    <w:rsid w:val="79DEE360"/>
    <w:rsid w:val="7B2F2850"/>
    <w:rsid w:val="7BF7E217"/>
    <w:rsid w:val="7D9F3A20"/>
    <w:rsid w:val="7DD39989"/>
    <w:rsid w:val="7E9F479A"/>
    <w:rsid w:val="995F0FBB"/>
    <w:rsid w:val="9EFFBBA7"/>
    <w:rsid w:val="9FF753B3"/>
    <w:rsid w:val="BBFF548B"/>
    <w:rsid w:val="BDBC8FF5"/>
    <w:rsid w:val="BDDEB8D7"/>
    <w:rsid w:val="BEBBE67F"/>
    <w:rsid w:val="BF5EBD87"/>
    <w:rsid w:val="C7FFEB54"/>
    <w:rsid w:val="CEAEA899"/>
    <w:rsid w:val="DEB7FE68"/>
    <w:rsid w:val="DFFF69F1"/>
    <w:rsid w:val="E376E1AF"/>
    <w:rsid w:val="E76E496D"/>
    <w:rsid w:val="E77E6E49"/>
    <w:rsid w:val="EFF64497"/>
    <w:rsid w:val="F82BA885"/>
    <w:rsid w:val="FB4D790E"/>
    <w:rsid w:val="FCFF185E"/>
    <w:rsid w:val="FDFFDEC4"/>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2025-04-21T09:16:00Z</dcterms:created>
  <dc:creator>yang</dc:creator>
  <cp:lastModifiedBy>lxy</cp:lastModifiedBy>
  <dcterms:modified xsi:type="dcterms:W3CDTF">2026-04-03T16:53:46Z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2D145B3EDBB9C0F8033FCF693B2DBC7D</vt:lpwstr>
  </property>
</Properties>
</file>