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SA"/>
        </w:rPr>
        <w:t>龙华区困境儿童服务提质项目</w:t>
      </w:r>
      <w:r>
        <w:rPr>
          <w:rFonts w:hint="eastAsia" w:ascii="方正小标宋简体" w:hAnsi="方正小标宋简体" w:eastAsia="方正小标宋简体" w:cs="方正小标宋简体"/>
          <w:sz w:val="44"/>
          <w:szCs w:val="44"/>
        </w:rPr>
        <w:t>需求书</w:t>
      </w:r>
    </w:p>
    <w:p>
      <w:pPr>
        <w:pStyle w:val="9"/>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tabs>
          <w:tab w:val="left" w:pos="1820"/>
        </w:tabs>
        <w:snapToGrid w:val="0"/>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国、省、市关于困境儿童关爱服务质量提升三年行动的工作要求，夯实民政兜底保障基础，拓展儿童关爱服务内涵，构建高效联动的儿童保护与发展支持网络，着力优化和提升龙华区困境儿童的服务模式和质量，推动服务进一步向标准化、专业化、精准化迈进。</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8"/>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5</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2027年4</w:t>
      </w:r>
      <w:r>
        <w:rPr>
          <w:rFonts w:hint="eastAsia" w:ascii="仿宋_GB2312" w:hAnsi="仿宋_GB2312" w:eastAsia="仿宋_GB2312" w:cs="仿宋_GB2312"/>
          <w:sz w:val="32"/>
          <w:szCs w:val="36"/>
        </w:rPr>
        <w:t>月</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开展困境儿童分级分色跟进与动态监测提质服务，设计印制</w:t>
      </w:r>
      <w:r>
        <w:rPr>
          <w:rFonts w:hint="eastAsia" w:ascii="仿宋_GB2312" w:eastAsia="仿宋_GB2312" w:cs="Times New Roman"/>
          <w:color w:val="auto"/>
          <w:kern w:val="2"/>
          <w:sz w:val="32"/>
          <w:szCs w:val="32"/>
          <w:highlight w:val="none"/>
          <w:lang w:val="en-US" w:eastAsia="zh-CN" w:bidi="ar-SA"/>
        </w:rPr>
        <w:t>儿童工作专业指引与儿童关爱普法材料，进行基层儿童工作队伍培训和疑难个案督导，实施儿童全面发展护航计划，</w:t>
      </w:r>
      <w:r>
        <w:rPr>
          <w:rFonts w:hint="eastAsia" w:ascii="仿宋_GB2312" w:hAnsi="仿宋_GB2312" w:eastAsia="仿宋_GB2312" w:cs="仿宋_GB2312"/>
          <w:color w:val="auto"/>
          <w:sz w:val="32"/>
          <w:szCs w:val="32"/>
          <w:highlight w:val="none"/>
          <w:lang w:eastAsia="zh-CN"/>
        </w:rPr>
        <w:t>推动困境儿童关爱工作优化服务供给、增强服务效能，</w:t>
      </w:r>
      <w:r>
        <w:rPr>
          <w:rFonts w:hint="eastAsia" w:ascii="仿宋_GB2312" w:hAnsi="仿宋_GB2312" w:eastAsia="仿宋_GB2312" w:cs="仿宋_GB2312"/>
          <w:b w:val="0"/>
          <w:bCs w:val="0"/>
          <w:i w:val="0"/>
          <w:iCs w:val="0"/>
          <w:color w:val="auto"/>
          <w:sz w:val="32"/>
          <w:szCs w:val="32"/>
          <w:highlight w:val="none"/>
          <w:lang w:eastAsia="zh-CN"/>
        </w:rPr>
        <w:t>探索</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基层儿童福利工作的“龙华模式”</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color w:val="auto"/>
          <w:kern w:val="2"/>
          <w:sz w:val="32"/>
          <w:szCs w:val="32"/>
          <w:highlight w:val="none"/>
          <w:lang w:val="en-US" w:eastAsia="zh-CN" w:bidi="ar-SA"/>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具体要求</w:t>
      </w:r>
    </w:p>
    <w:p>
      <w:pPr>
        <w:tabs>
          <w:tab w:val="left" w:pos="1820"/>
        </w:tabs>
        <w:snapToGrid w:val="0"/>
        <w:spacing w:line="560" w:lineRule="exact"/>
        <w:ind w:firstLine="640" w:firstLineChars="200"/>
        <w:jc w:val="left"/>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1.</w:t>
      </w:r>
      <w:r>
        <w:rPr>
          <w:rFonts w:hint="eastAsia" w:ascii="仿宋_GB2312" w:hAnsi="仿宋_GB2312" w:eastAsia="仿宋_GB2312" w:cs="仿宋_GB2312"/>
          <w:sz w:val="32"/>
          <w:szCs w:val="32"/>
          <w:lang w:eastAsia="zh-CN"/>
        </w:rPr>
        <w:t>分级分色跟进与动态监测</w:t>
      </w:r>
      <w:r>
        <w:rPr>
          <w:rFonts w:hint="eastAsia" w:ascii="仿宋_GB2312" w:eastAsia="仿宋_GB2312" w:cs="Times New Roman"/>
          <w:color w:val="auto"/>
          <w:kern w:val="2"/>
          <w:sz w:val="32"/>
          <w:szCs w:val="32"/>
          <w:highlight w:val="none"/>
          <w:lang w:val="en-US" w:eastAsia="zh-CN" w:bidi="ar-SA"/>
        </w:rPr>
        <w:t>:项目周期内，按照全区在册困境儿童样本总量之10%，进行困境儿童分级分色信息的核查与更新。对全区困境儿童情况进行分析，形成1份现状分析材料，为政策制定和服务设计提供依据。</w:t>
      </w:r>
    </w:p>
    <w:p>
      <w:pPr>
        <w:tabs>
          <w:tab w:val="left" w:pos="1820"/>
        </w:tabs>
        <w:snapToGrid w:val="0"/>
        <w:spacing w:line="560" w:lineRule="exact"/>
        <w:ind w:firstLine="640" w:firstLineChars="200"/>
        <w:jc w:val="both"/>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2.儿童工作专业指引与儿童关爱普法材料:设计印刷涵盖政策依据、工作流程、转介资源等儿童保护工作内容的A5指引手册。设计印刷涵盖法律条文、家庭教育规范、相关服务资源等内容的A5关爱手册。</w:t>
      </w:r>
    </w:p>
    <w:p>
      <w:pPr>
        <w:tabs>
          <w:tab w:val="left" w:pos="1820"/>
        </w:tabs>
        <w:snapToGrid w:val="0"/>
        <w:spacing w:line="560" w:lineRule="exact"/>
        <w:ind w:firstLine="640" w:firstLineChars="200"/>
        <w:jc w:val="left"/>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3.基层儿童工作队伍培训：邀请儿童服务领域资深实务专家，面对全区6个街道的儿童督导员、儿童主任、儿童社工及项目合作学校的德育教师、心理老师，开展3场专题赋能培训。</w:t>
      </w:r>
    </w:p>
    <w:p>
      <w:pPr>
        <w:tabs>
          <w:tab w:val="left" w:pos="1820"/>
        </w:tabs>
        <w:snapToGrid w:val="0"/>
        <w:spacing w:line="560" w:lineRule="exact"/>
        <w:ind w:firstLine="640" w:firstLineChars="200"/>
        <w:jc w:val="left"/>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4.疑难个案的专业督导：针对日常服务中发现的疑难个案，对情况复杂、涉及跨部门协同的个案，提供指导梳理个案信息、开展社会背景调查、盘点可用资源、形成个案问题清单和干预任务清单等专业督导服务。</w:t>
      </w:r>
    </w:p>
    <w:p>
      <w:pPr>
        <w:tabs>
          <w:tab w:val="left" w:pos="1820"/>
        </w:tabs>
        <w:snapToGrid w:val="0"/>
        <w:spacing w:line="560" w:lineRule="exact"/>
        <w:ind w:firstLine="640" w:firstLineChars="200"/>
        <w:jc w:val="both"/>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5.儿童全面发展护航计划：开展儿童关爱服务系列主题活动，探索借鉴情景模拟、即兴演绎等形式，将抽象的法规政策和理论知识转化为可感知、可体验的场景化教育内容，进一步提升普法、心理关爱等服务的质量。</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hd w:val="clea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highlight w:val="none"/>
          <w:lang w:val="en-US" w:eastAsia="zh-CN"/>
        </w:rPr>
        <w:t>报价限额不超过330990</w:t>
      </w:r>
      <w:r>
        <w:rPr>
          <w:rFonts w:hint="eastAsia" w:ascii="仿宋_GB2312" w:hAnsi="仿宋_GB2312" w:eastAsia="仿宋_GB2312" w:cs="仿宋_GB2312"/>
          <w:sz w:val="32"/>
          <w:szCs w:val="36"/>
          <w:highlight w:val="none"/>
          <w:lang w:eastAsia="zh-CN"/>
        </w:rPr>
        <w:t>元（</w:t>
      </w:r>
      <w:r>
        <w:rPr>
          <w:rFonts w:hint="eastAsia" w:ascii="仿宋_GB2312" w:hAnsi="仿宋_GB2312" w:eastAsia="仿宋_GB2312" w:cs="仿宋_GB2312"/>
          <w:sz w:val="32"/>
          <w:szCs w:val="36"/>
          <w:highlight w:val="none"/>
          <w:lang w:val="en-US" w:eastAsia="zh-CN"/>
        </w:rPr>
        <w:t>大写叁拾叁万玖佰玖拾元整</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41"/>
        <w:gridCol w:w="2176"/>
        <w:gridCol w:w="887"/>
        <w:gridCol w:w="951"/>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7" w:type="dxa"/>
            <w:gridSpan w:val="6"/>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bCs/>
                <w:sz w:val="32"/>
                <w:szCs w:val="32"/>
                <w:highlight w:val="none"/>
                <w:lang w:val="en-US" w:eastAsia="zh-CN"/>
              </w:rPr>
              <w:t>龙华区困境儿童服务提质项目报价表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序号</w:t>
            </w:r>
          </w:p>
        </w:tc>
        <w:tc>
          <w:tcPr>
            <w:tcW w:w="1141"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eastAsia="zh-CN"/>
              </w:rPr>
              <w:t>项目</w:t>
            </w:r>
          </w:p>
        </w:tc>
        <w:tc>
          <w:tcPr>
            <w:tcW w:w="2176"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内容</w:t>
            </w:r>
          </w:p>
        </w:tc>
        <w:tc>
          <w:tcPr>
            <w:tcW w:w="887"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单位</w:t>
            </w:r>
          </w:p>
        </w:tc>
        <w:tc>
          <w:tcPr>
            <w:tcW w:w="951"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数量</w:t>
            </w:r>
          </w:p>
        </w:tc>
        <w:tc>
          <w:tcPr>
            <w:tcW w:w="2756"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1141"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走访督导</w:t>
            </w:r>
          </w:p>
        </w:tc>
        <w:tc>
          <w:tcPr>
            <w:tcW w:w="2176"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基层走访督导</w:t>
            </w:r>
          </w:p>
        </w:tc>
        <w:tc>
          <w:tcPr>
            <w:tcW w:w="887"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val="en-US" w:eastAsia="zh-CN"/>
              </w:rPr>
              <w:t>次</w:t>
            </w:r>
          </w:p>
        </w:tc>
        <w:tc>
          <w:tcPr>
            <w:tcW w:w="951"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val="en-US" w:eastAsia="zh-CN"/>
              </w:rPr>
              <w:t>6</w:t>
            </w:r>
          </w:p>
        </w:tc>
        <w:tc>
          <w:tcPr>
            <w:tcW w:w="2756"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both"/>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i w:val="0"/>
                <w:iCs w:val="0"/>
                <w:snapToGrid w:val="0"/>
                <w:color w:val="auto"/>
                <w:kern w:val="0"/>
                <w:sz w:val="32"/>
                <w:szCs w:val="32"/>
                <w:highlight w:val="none"/>
                <w:u w:val="none"/>
                <w:lang w:val="en-US" w:eastAsia="zh-CN" w:bidi="ar"/>
              </w:rPr>
              <w:t>对全区6个街道未保站开展走访督导，每街道不少于1次，每次督导时长不少于4学时。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c>
          <w:tcPr>
            <w:tcW w:w="114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基础评估与建档</w:t>
            </w: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对辖区困境儿童分级分色情况进行抽样检测</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2756"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snapToGrid w:val="0"/>
                <w:color w:val="auto"/>
                <w:kern w:val="0"/>
                <w:sz w:val="32"/>
                <w:szCs w:val="32"/>
                <w:highlight w:val="none"/>
                <w:u w:val="none"/>
                <w:lang w:val="en-US" w:eastAsia="zh-CN" w:bidi="ar"/>
              </w:rPr>
              <w:t>对不少于10%的全区登记在册困境儿童进行抽样回访</w:t>
            </w:r>
            <w:r>
              <w:rPr>
                <w:rFonts w:hint="eastAsia" w:ascii="仿宋_GB2312" w:hAnsi="仿宋_GB2312" w:eastAsia="仿宋_GB2312" w:cs="仿宋_GB2312"/>
                <w:snapToGrid w:val="0"/>
                <w:color w:val="auto"/>
                <w:kern w:val="0"/>
                <w:sz w:val="32"/>
                <w:szCs w:val="32"/>
                <w:highlight w:val="none"/>
                <w:u w:val="none"/>
                <w:lang w:eastAsia="zh-CN" w:bidi="ar"/>
              </w:rPr>
              <w:t>，</w:t>
            </w:r>
            <w:r>
              <w:rPr>
                <w:rFonts w:hint="eastAsia" w:ascii="仿宋_GB2312" w:hAnsi="仿宋_GB2312" w:eastAsia="仿宋_GB2312" w:cs="仿宋_GB2312"/>
                <w:i w:val="0"/>
                <w:iCs w:val="0"/>
                <w:snapToGrid w:val="0"/>
                <w:color w:val="auto"/>
                <w:kern w:val="0"/>
                <w:sz w:val="32"/>
                <w:szCs w:val="32"/>
                <w:highlight w:val="none"/>
                <w:u w:val="none"/>
                <w:lang w:val="en-US" w:eastAsia="zh-CN" w:bidi="ar"/>
              </w:rPr>
              <w:t>核实信息，形成一人一档风险画像，并对有需要的儿童进行转介服务。</w:t>
            </w:r>
            <w:r>
              <w:rPr>
                <w:rFonts w:hint="eastAsia" w:ascii="仿宋_GB2312" w:hAnsi="仿宋_GB2312" w:eastAsia="仿宋_GB2312" w:cs="仿宋_GB2312"/>
                <w:snapToGrid w:val="0"/>
                <w:color w:val="auto"/>
                <w:kern w:val="0"/>
                <w:sz w:val="32"/>
                <w:szCs w:val="32"/>
                <w:highlight w:val="none"/>
                <w:u w:val="none"/>
                <w:lang w:bidi="ar"/>
              </w:rPr>
              <w:t>（抽样总人数供应商可向采购人电话咨询获取作为报价依据）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114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pP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对抽检儿童形成风险画像</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27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eastAsia" w:ascii="仿宋_GB2312" w:hAnsi="仿宋_GB2312" w:eastAsia="仿宋_GB2312" w:cs="仿宋_GB2312"/>
                <w:i w:val="0"/>
                <w:iCs w:val="0"/>
                <w:snapToGrid w:val="0"/>
                <w:color w:val="auto"/>
                <w:kern w:val="0"/>
                <w:sz w:val="32"/>
                <w:szCs w:val="3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p>
        </w:tc>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after="0" w:line="400" w:lineRule="exact"/>
              <w:ind w:right="0" w:rightChars="0"/>
              <w:jc w:val="center"/>
              <w:rPr>
                <w:rFonts w:hint="eastAsia" w:ascii="仿宋_GB2312" w:hAnsi="仿宋_GB2312" w:eastAsia="仿宋_GB2312" w:cs="仿宋_GB2312"/>
                <w:b w:val="0"/>
                <w:bCs w:val="0"/>
                <w:sz w:val="32"/>
                <w:szCs w:val="32"/>
                <w:vertAlign w:val="baseline"/>
                <w:lang w:eastAsia="zh-CN"/>
              </w:rPr>
            </w:pP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对龙华区困境儿童现状进行分析</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份</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c>
          <w:tcPr>
            <w:tcW w:w="275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snapToGrid w:val="0"/>
                <w:color w:val="auto"/>
                <w:kern w:val="0"/>
                <w:sz w:val="32"/>
                <w:szCs w:val="32"/>
                <w:highlight w:val="none"/>
                <w:u w:val="none"/>
                <w:lang w:val="en-US" w:eastAsia="zh-CN" w:bidi="ar"/>
              </w:rPr>
              <w:t>对全区困境儿童情况进行分析，形成现状分析材料一份。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114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儿童工作与普法材料</w:t>
            </w: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基层儿童工作人员专业指引</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册</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300</w:t>
            </w:r>
          </w:p>
        </w:tc>
        <w:tc>
          <w:tcPr>
            <w:tcW w:w="27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编撰、设计、印制供基层儿童工作人员使用的专业指引，内容包括且不限于政策依据、工作流程、转介资源等，A5尺寸，不少于30个印刷面。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sz w:val="32"/>
                <w:szCs w:val="32"/>
                <w:vertAlign w:val="baseline"/>
                <w:lang w:val="en-US" w:eastAsia="zh-CN"/>
              </w:rPr>
            </w:pPr>
          </w:p>
        </w:tc>
        <w:tc>
          <w:tcPr>
            <w:tcW w:w="114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sz w:val="32"/>
                <w:szCs w:val="32"/>
                <w:vertAlign w:val="baseline"/>
                <w:lang w:eastAsia="zh-CN"/>
              </w:rPr>
            </w:pP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儿童关爱普法手册</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册</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4700</w:t>
            </w:r>
          </w:p>
        </w:tc>
        <w:tc>
          <w:tcPr>
            <w:tcW w:w="27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编撰、设计、印制供居民使用的儿童关爱普法手册，内容包括且不限于法律条文、家庭教育规范、相关服务资源等，A5尺寸，不少于10个印刷面。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1141" w:type="dxa"/>
            <w:noWrap w:val="0"/>
            <w:vAlign w:val="center"/>
          </w:tcPr>
          <w:p>
            <w:pPr>
              <w:keepNext w:val="0"/>
              <w:keepLines w:val="0"/>
              <w:pageBreakBefore w:val="0"/>
              <w:kinsoku/>
              <w:wordWrap/>
              <w:overflowPunct/>
              <w:topLinePunct w:val="0"/>
              <w:autoSpaceDE/>
              <w:autoSpaceDN/>
              <w:bidi w:val="0"/>
              <w:adjustRightInd/>
              <w:snapToGrid/>
              <w:spacing w:after="0" w:line="400" w:lineRule="exact"/>
              <w:ind w:right="0" w:right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专业队伍建设</w:t>
            </w: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基层儿童工作队伍培训</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场</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275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t>面向全区</w:t>
            </w:r>
            <w:r>
              <w:rPr>
                <w:rFonts w:hint="default" w:ascii="仿宋_GB2312" w:hAnsi="仿宋_GB2312" w:eastAsia="仿宋_GB2312" w:cs="仿宋_GB2312"/>
                <w:b w:val="0"/>
                <w:bCs w:val="0"/>
                <w:color w:val="auto"/>
                <w:kern w:val="2"/>
                <w:sz w:val="32"/>
                <w:szCs w:val="32"/>
                <w:highlight w:val="none"/>
                <w:lang w:val="en-US" w:eastAsia="zh-CN" w:bidi="ar-SA"/>
              </w:rPr>
              <w:t>儿童督导员、儿童主任</w:t>
            </w:r>
            <w:r>
              <w:rPr>
                <w:rFonts w:hint="eastAsia" w:ascii="仿宋_GB2312" w:hAnsi="仿宋_GB2312" w:eastAsia="仿宋_GB2312" w:cs="仿宋_GB2312"/>
                <w:b w:val="0"/>
                <w:bCs w:val="0"/>
                <w:color w:val="auto"/>
                <w:kern w:val="2"/>
                <w:sz w:val="32"/>
                <w:szCs w:val="32"/>
                <w:highlight w:val="none"/>
                <w:lang w:val="en-US" w:eastAsia="zh-CN" w:bidi="ar-SA"/>
              </w:rPr>
              <w:t>、儿童</w:t>
            </w:r>
            <w:r>
              <w:rPr>
                <w:rFonts w:hint="default" w:ascii="仿宋_GB2312" w:hAnsi="仿宋_GB2312" w:eastAsia="仿宋_GB2312" w:cs="仿宋_GB2312"/>
                <w:b w:val="0"/>
                <w:bCs w:val="0"/>
                <w:color w:val="auto"/>
                <w:kern w:val="2"/>
                <w:sz w:val="32"/>
                <w:szCs w:val="32"/>
                <w:highlight w:val="none"/>
                <w:lang w:val="en-US" w:eastAsia="zh-CN" w:bidi="ar-SA"/>
              </w:rPr>
              <w:t>社工及教师</w:t>
            </w:r>
            <w:r>
              <w:rPr>
                <w:rFonts w:hint="eastAsia" w:ascii="仿宋_GB2312" w:hAnsi="仿宋_GB2312" w:eastAsia="仿宋_GB2312" w:cs="仿宋_GB2312"/>
                <w:b w:val="0"/>
                <w:bCs w:val="0"/>
                <w:color w:val="auto"/>
                <w:kern w:val="2"/>
                <w:sz w:val="32"/>
                <w:szCs w:val="32"/>
                <w:highlight w:val="none"/>
                <w:lang w:val="en-US" w:eastAsia="zh-CN" w:bidi="ar-SA"/>
              </w:rPr>
              <w:t>等相关专业人员开展专业培训，每场不少于4个学时，平均每场不少于50人参加</w:t>
            </w:r>
            <w:r>
              <w:rPr>
                <w:rFonts w:hint="default"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其中</w:t>
            </w:r>
            <w:r>
              <w:rPr>
                <w:rFonts w:hint="default" w:ascii="仿宋_GB2312" w:hAnsi="仿宋_GB2312" w:eastAsia="仿宋_GB2312" w:cs="仿宋_GB2312"/>
                <w:b w:val="0"/>
                <w:bCs w:val="0"/>
                <w:color w:val="auto"/>
                <w:kern w:val="2"/>
                <w:sz w:val="32"/>
                <w:szCs w:val="32"/>
                <w:highlight w:val="none"/>
                <w:lang w:val="en-US" w:eastAsia="zh-CN" w:bidi="ar-SA"/>
              </w:rPr>
              <w:t>儿童督导员、儿童主任</w:t>
            </w:r>
            <w:r>
              <w:rPr>
                <w:rFonts w:hint="eastAsia" w:ascii="仿宋_GB2312" w:hAnsi="仿宋_GB2312" w:eastAsia="仿宋_GB2312" w:cs="仿宋_GB2312"/>
                <w:b w:val="0"/>
                <w:bCs w:val="0"/>
                <w:color w:val="auto"/>
                <w:kern w:val="2"/>
                <w:sz w:val="32"/>
                <w:szCs w:val="32"/>
                <w:highlight w:val="none"/>
                <w:lang w:val="en-US" w:eastAsia="zh-CN" w:bidi="ar-SA"/>
              </w:rPr>
              <w:t>参与培训率应达到100%全覆盖，满意度不低于90%。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11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个案管理服务</w:t>
            </w: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重点个案干预</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宗</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275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对于辖区风险程度达到或接近高危风险的个案开展包干式跟进服务，不少于3宗，每宗跟进次数不少于5次，每次不少于1学时。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87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6</w:t>
            </w:r>
          </w:p>
        </w:tc>
        <w:tc>
          <w:tcPr>
            <w:tcW w:w="114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儿童关爱保护主题活动</w:t>
            </w: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普法教育主题活动</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场</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12</w:t>
            </w:r>
          </w:p>
        </w:tc>
        <w:tc>
          <w:tcPr>
            <w:tcW w:w="275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结合全区实际情况与真实案例，自主研发形式生动、互动性强的普法教育、心理关爱主题活动，形成具有创新性、可复制的活动工具包，平均每月开展不少于1场，全年不少于18场，平均每场不少于40名儿童参加，满意度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114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心理关爱主题活动</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场</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w:t>
            </w:r>
          </w:p>
        </w:tc>
        <w:tc>
          <w:tcPr>
            <w:tcW w:w="27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7</w:t>
            </w:r>
          </w:p>
        </w:tc>
        <w:tc>
          <w:tcPr>
            <w:tcW w:w="11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其他</w:t>
            </w: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项目管理费</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sz w:val="32"/>
                <w:szCs w:val="32"/>
                <w:vertAlign w:val="baseline"/>
                <w:lang w:val="en-US" w:eastAsia="zh-CN"/>
              </w:rPr>
            </w:pPr>
          </w:p>
        </w:tc>
        <w:tc>
          <w:tcPr>
            <w:tcW w:w="27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项目实施必要的其他支出。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787" w:type="dxa"/>
            <w:gridSpan w:val="6"/>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left"/>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投标价格（万元）：</w:t>
            </w:r>
            <w:r>
              <w:rPr>
                <w:rFonts w:hint="eastAsia" w:ascii="仿宋_GB2312" w:hAnsi="仿宋_GB2312" w:eastAsia="仿宋_GB2312" w:cs="仿宋_GB2312"/>
                <w:b w:val="0"/>
                <w:bCs w:val="0"/>
                <w:sz w:val="32"/>
                <w:szCs w:val="32"/>
                <w:vertAlign w:val="baseline"/>
                <w:lang w:val="en-US" w:eastAsia="zh-CN"/>
              </w:rPr>
              <w:t xml:space="preserve">    （以万元为单位，最多保留两位小数）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8"/>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8"/>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8"/>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18"/>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（四）</w:t>
      </w:r>
      <w:r>
        <w:rPr>
          <w:rFonts w:hint="eastAsia" w:ascii="仿宋_GB2312" w:hAnsi="仿宋" w:eastAsia="仿宋_GB2312" w:cs="仿宋"/>
          <w:sz w:val="32"/>
          <w:szCs w:val="32"/>
          <w:highlight w:val="none"/>
          <w:lang w:val="en-US" w:eastAsia="zh-CN"/>
        </w:rPr>
        <w:t>供应商资格条件（经营范围要求）：供应商营业执照（或登记证书）的业务范围/经营范围内须包含以下内容之一：1.社会工作服务；2.儿童或青少年服务。</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20"/>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0"/>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197"/>
        <w:gridCol w:w="2197"/>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报价</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商务部分</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b w:val="0"/>
                <w:bCs/>
                <w:sz w:val="32"/>
                <w:szCs w:val="32"/>
              </w:rPr>
              <w:t>分</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b w:val="0"/>
                <w:bCs/>
                <w:sz w:val="32"/>
                <w:szCs w:val="32"/>
              </w:rPr>
              <w:t>分</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b w:val="0"/>
                <w:bCs/>
                <w:sz w:val="32"/>
                <w:szCs w:val="32"/>
              </w:rPr>
              <w:t>分</w:t>
            </w:r>
          </w:p>
        </w:tc>
      </w:tr>
    </w:tbl>
    <w:p>
      <w:pPr>
        <w:pStyle w:val="20"/>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5"/>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2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10分</w:t>
            </w:r>
            <w:r>
              <w:rPr>
                <w:rFonts w:hint="eastAsia" w:ascii="仿宋_GB2312" w:hAnsi="仿宋_GB2312" w:eastAsia="仿宋_GB2312" w:cs="仿宋_GB2312"/>
                <w:sz w:val="32"/>
                <w:szCs w:val="32"/>
                <w:vertAlign w:val="baseline"/>
                <w:lang w:eastAsia="zh-CN"/>
              </w:rPr>
              <w:t>）</w:t>
            </w:r>
          </w:p>
        </w:tc>
        <w:tc>
          <w:tcPr>
            <w:tcW w:w="1219" w:type="dxa"/>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因素</w:t>
            </w:r>
          </w:p>
        </w:tc>
        <w:tc>
          <w:tcPr>
            <w:tcW w:w="6403"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价格</w:t>
            </w:r>
          </w:p>
        </w:tc>
        <w:tc>
          <w:tcPr>
            <w:tcW w:w="6403"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以本次报价或投标人所报的有效报价中的最低价作为基准报价。投标人报价得分=（基准价/投标人报价）*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0分，高于报价限额的不得分</w:t>
            </w:r>
            <w:r>
              <w:rPr>
                <w:rFonts w:hint="eastAsia" w:ascii="仿宋_GB2312" w:hAnsi="仿宋_GB2312" w:eastAsia="仿宋_GB2312" w:cs="仿宋_GB2312"/>
                <w:sz w:val="32"/>
                <w:szCs w:val="32"/>
                <w:lang w:val="en-US" w:eastAsia="zh-CN"/>
              </w:rPr>
              <w:t>，本项最高得10分</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商务</w:t>
            </w:r>
          </w:p>
          <w:p>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部分</w:t>
            </w:r>
          </w:p>
          <w:p>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sz w:val="32"/>
                <w:szCs w:val="32"/>
                <w:vertAlign w:val="baseline"/>
                <w:lang w:val="en-US" w:eastAsia="zh-CN"/>
              </w:rPr>
              <w:t>分</w:t>
            </w:r>
            <w:r>
              <w:rPr>
                <w:rFonts w:hint="eastAsia" w:ascii="仿宋_GB2312" w:hAnsi="仿宋_GB2312" w:eastAsia="仿宋_GB2312" w:cs="仿宋_GB2312"/>
                <w:sz w:val="32"/>
                <w:szCs w:val="32"/>
                <w:vertAlign w:val="baseline"/>
                <w:lang w:eastAsia="zh-CN"/>
              </w:rPr>
              <w:t>）</w:t>
            </w:r>
          </w:p>
        </w:tc>
        <w:tc>
          <w:tcPr>
            <w:tcW w:w="1219" w:type="dxa"/>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因素</w:t>
            </w:r>
          </w:p>
        </w:tc>
        <w:tc>
          <w:tcPr>
            <w:tcW w:w="6403"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同类项目经验（</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c>
          <w:tcPr>
            <w:tcW w:w="6403"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日至本项目采购公示截止日，</w:t>
            </w:r>
            <w:r>
              <w:rPr>
                <w:rFonts w:hint="eastAsia" w:ascii="仿宋_GB2312" w:hAnsi="仿宋_GB2312" w:eastAsia="仿宋_GB2312" w:cs="仿宋_GB2312"/>
                <w:sz w:val="32"/>
                <w:szCs w:val="32"/>
                <w:lang w:val="en-US" w:eastAsia="zh-CN"/>
              </w:rPr>
              <w:t>每提供一项困境儿童群体服务的</w:t>
            </w:r>
            <w:r>
              <w:rPr>
                <w:rFonts w:hint="eastAsia" w:ascii="仿宋_GB2312" w:hAnsi="仿宋_GB2312" w:eastAsia="仿宋_GB2312" w:cs="仿宋_GB2312"/>
                <w:sz w:val="32"/>
                <w:szCs w:val="32"/>
                <w:lang w:eastAsia="zh-CN"/>
              </w:rPr>
              <w:t>同类业绩得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分，最高得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每项业绩按以下要求提供完整准确的证明文件，一个服务主体为困境儿童群体的服务合同或者机构</w:t>
            </w:r>
            <w:r>
              <w:rPr>
                <w:rFonts w:hint="eastAsia" w:ascii="仿宋_GB2312" w:hAnsi="仿宋_GB2312" w:eastAsia="仿宋_GB2312" w:cs="仿宋_GB2312"/>
                <w:sz w:val="32"/>
                <w:szCs w:val="32"/>
                <w:lang w:val="en-US" w:eastAsia="zh-CN"/>
              </w:rPr>
              <w:t>有其他履约能力证明的</w:t>
            </w:r>
            <w:r>
              <w:rPr>
                <w:rFonts w:hint="eastAsia" w:ascii="仿宋_GB2312" w:hAnsi="仿宋_GB2312" w:eastAsia="仿宋_GB2312" w:cs="仿宋_GB2312"/>
                <w:sz w:val="32"/>
                <w:szCs w:val="32"/>
                <w:lang w:eastAsia="zh-CN"/>
              </w:rPr>
              <w:t>计一个业绩；</w:t>
            </w:r>
          </w:p>
          <w:p>
            <w:pPr>
              <w:keepNext w:val="0"/>
              <w:keepLines w:val="0"/>
              <w:pageBreakBefore w:val="0"/>
              <w:widowControl w:val="0"/>
              <w:shd w:val="clear"/>
              <w:kinsoku/>
              <w:wordWrap/>
              <w:overflowPunct/>
              <w:topLinePunct/>
              <w:autoSpaceDE/>
              <w:autoSpaceDN/>
              <w:bidi w:val="0"/>
              <w:adjustRightInd/>
              <w:snapToGrid w:val="0"/>
              <w:spacing w:line="44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2.若以合同作为业绩证明：</w:t>
            </w:r>
            <w:r>
              <w:rPr>
                <w:rFonts w:hint="eastAsia" w:ascii="仿宋_GB2312" w:hAnsi="仿宋_GB2312" w:eastAsia="仿宋_GB2312" w:cs="仿宋_GB2312"/>
                <w:sz w:val="32"/>
                <w:szCs w:val="32"/>
                <w:lang w:eastAsia="zh-CN"/>
              </w:rPr>
              <w:t>一年一签的续签合同只计算一个业绩，</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lang w:eastAsia="zh-CN"/>
              </w:rPr>
              <w:t>提供合同关键页（关键信息包括但不仅限于合同的项目名称、服务内容、合同服务的起止时间、合同双方的盖章、签订日期等）、合同甲方的履约评价；</w:t>
            </w:r>
          </w:p>
          <w:p>
            <w:pPr>
              <w:keepNext w:val="0"/>
              <w:keepLines w:val="0"/>
              <w:pageBreakBefore w:val="0"/>
              <w:widowControl w:val="0"/>
              <w:shd w:val="clear"/>
              <w:kinsoku/>
              <w:wordWrap/>
              <w:overflowPunct/>
              <w:topLinePunct/>
              <w:autoSpaceDE/>
              <w:autoSpaceDN/>
              <w:bidi w:val="0"/>
              <w:adjustRightInd/>
              <w:snapToGrid w:val="0"/>
              <w:spacing w:line="44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3.若以</w:t>
            </w:r>
            <w:r>
              <w:rPr>
                <w:rFonts w:hint="eastAsia" w:ascii="仿宋_GB2312" w:hAnsi="仿宋_GB2312" w:eastAsia="仿宋_GB2312" w:cs="仿宋_GB2312"/>
                <w:sz w:val="32"/>
                <w:szCs w:val="32"/>
              </w:rPr>
              <w:t>其他履约能力</w:t>
            </w:r>
            <w:r>
              <w:rPr>
                <w:rFonts w:hint="eastAsia" w:ascii="仿宋_GB2312" w:hAnsi="仿宋_GB2312" w:eastAsia="仿宋_GB2312" w:cs="仿宋_GB2312"/>
                <w:sz w:val="32"/>
                <w:szCs w:val="32"/>
                <w:lang w:val="en-US" w:eastAsia="zh-CN"/>
              </w:rPr>
              <w:t>作为业绩</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lang w:eastAsia="zh-CN"/>
              </w:rPr>
              <w:t>：</w:t>
            </w:r>
          </w:p>
          <w:p>
            <w:pPr>
              <w:keepNext w:val="0"/>
              <w:keepLines w:val="0"/>
              <w:pageBreakBefore w:val="0"/>
              <w:widowControl w:val="0"/>
              <w:shd w:val="clear"/>
              <w:kinsoku/>
              <w:wordWrap/>
              <w:overflowPunct/>
              <w:topLinePunct/>
              <w:autoSpaceDE/>
              <w:autoSpaceDN/>
              <w:bidi w:val="0"/>
              <w:adjustRightInd/>
              <w:snapToGrid w:val="0"/>
              <w:spacing w:line="44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参与制定的困境儿童服务地方标准、</w:t>
            </w:r>
            <w:r>
              <w:rPr>
                <w:rFonts w:hint="eastAsia" w:ascii="仿宋_GB2312" w:hAnsi="仿宋_GB2312" w:eastAsia="仿宋_GB2312" w:cs="仿宋_GB2312"/>
                <w:sz w:val="32"/>
                <w:szCs w:val="32"/>
                <w:lang w:eastAsia="zh-CN"/>
              </w:rPr>
              <w:t>团体标准、</w:t>
            </w:r>
            <w:r>
              <w:rPr>
                <w:rFonts w:hint="eastAsia" w:ascii="仿宋_GB2312" w:hAnsi="仿宋_GB2312" w:eastAsia="仿宋_GB2312" w:cs="仿宋_GB2312"/>
                <w:sz w:val="32"/>
                <w:szCs w:val="32"/>
              </w:rPr>
              <w:t>技术规范或操作指引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须提供发布文件及编制单位证明</w:t>
            </w:r>
            <w:r>
              <w:rPr>
                <w:rFonts w:hint="eastAsia" w:ascii="仿宋_GB2312" w:hAnsi="仿宋_GB2312" w:eastAsia="仿宋_GB2312" w:cs="仿宋_GB2312"/>
                <w:sz w:val="32"/>
                <w:szCs w:val="32"/>
                <w:lang w:eastAsia="zh-CN"/>
              </w:rPr>
              <w:t>；</w:t>
            </w:r>
          </w:p>
          <w:p>
            <w:pPr>
              <w:keepNext w:val="0"/>
              <w:keepLines w:val="0"/>
              <w:pageBreakBefore w:val="0"/>
              <w:widowControl w:val="0"/>
              <w:shd w:val="clear"/>
              <w:kinsoku/>
              <w:wordWrap/>
              <w:overflowPunct/>
              <w:topLinePunct/>
              <w:autoSpaceDE/>
              <w:autoSpaceDN/>
              <w:bidi w:val="0"/>
              <w:adjustRightInd/>
              <w:snapToGrid w:val="0"/>
              <w:spacing w:line="4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奖项须为国家级、省级党政机关、事业单位颁发的，与困境儿童服务直接相关的荣誉或奖项。须提供获奖凭证（</w:t>
            </w:r>
            <w:r>
              <w:rPr>
                <w:rFonts w:hint="eastAsia" w:ascii="仿宋_GB2312" w:hAnsi="仿宋_GB2312" w:eastAsia="仿宋_GB2312" w:cs="仿宋_GB2312"/>
                <w:sz w:val="32"/>
                <w:szCs w:val="32"/>
                <w:lang w:eastAsia="zh-CN"/>
              </w:rPr>
              <w:t>包括但不仅限于获奖</w:t>
            </w:r>
            <w:r>
              <w:rPr>
                <w:rFonts w:hint="eastAsia" w:ascii="仿宋_GB2312" w:hAnsi="仿宋_GB2312" w:eastAsia="仿宋_GB2312" w:cs="仿宋_GB2312"/>
                <w:sz w:val="32"/>
                <w:szCs w:val="32"/>
                <w:lang w:val="en-US" w:eastAsia="zh-CN"/>
              </w:rPr>
              <w:t>证书、官方批复文件、颁奖单位发布的正式文件或官网公示截图等有效证明材料之一）。证明材料须能清晰体现获奖单位名称、获奖项目名称及颁奖单位等关键信息，如无法直接体现，须另附颁奖单位出具的相关证明；</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拟安排项目团队成员</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sz w:val="32"/>
                <w:szCs w:val="32"/>
                <w:lang w:val="en-US" w:eastAsia="zh-CN"/>
              </w:rPr>
              <w:t>分）</w:t>
            </w:r>
          </w:p>
        </w:tc>
        <w:tc>
          <w:tcPr>
            <w:tcW w:w="6403"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val="en-US" w:eastAsia="zh-CN"/>
              </w:rPr>
              <w:t>1名高级社会工作师</w:t>
            </w:r>
            <w:r>
              <w:rPr>
                <w:rFonts w:hint="eastAsia" w:ascii="仿宋_GB2312" w:hAnsi="仿宋_GB2312" w:eastAsia="仿宋_GB2312" w:cs="仿宋_GB2312"/>
                <w:sz w:val="32"/>
                <w:szCs w:val="32"/>
                <w:lang w:eastAsia="zh-CN"/>
              </w:rPr>
              <w:t>资质的专业人才，得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val="en-US" w:eastAsia="zh-CN"/>
              </w:rPr>
              <w:t>1名深圳市级注册社工督导资质的专业人才，得4分；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3.具有1名社会工作专业全日制本科或以上学历的专业人才，得3分；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4.投入本项目的团队成员（须为投标人正式员工）中，具有儿童福利、困境儿童服务工作经验的，人员累计服务年限每满1年得2分，本项最高得4分；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同一人具备1、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项情况的不可</w:t>
            </w:r>
            <w:r>
              <w:rPr>
                <w:rFonts w:hint="eastAsia" w:ascii="仿宋_GB2312" w:hAnsi="仿宋_GB2312" w:eastAsia="仿宋_GB2312" w:cs="仿宋_GB2312"/>
                <w:sz w:val="32"/>
                <w:szCs w:val="32"/>
                <w:lang w:val="en-US" w:eastAsia="zh-CN"/>
              </w:rPr>
              <w:t>重复得</w:t>
            </w:r>
            <w:r>
              <w:rPr>
                <w:rFonts w:hint="eastAsia" w:ascii="仿宋_GB2312" w:hAnsi="仿宋_GB2312" w:eastAsia="仿宋_GB2312" w:cs="仿宋_GB2312"/>
                <w:sz w:val="32"/>
                <w:szCs w:val="32"/>
                <w:lang w:eastAsia="zh-CN"/>
              </w:rPr>
              <w:t>分，其他情况可重复得分，本项最高得</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提供学位或学历证书</w:t>
            </w:r>
            <w:r>
              <w:rPr>
                <w:rFonts w:hint="eastAsia" w:ascii="仿宋_GB2312" w:hAnsi="仿宋_GB2312" w:eastAsia="仿宋_GB2312" w:cs="仿宋_GB2312"/>
                <w:sz w:val="32"/>
                <w:szCs w:val="32"/>
                <w:lang w:eastAsia="zh-CN"/>
              </w:rPr>
              <w:t>，并提供</w:t>
            </w:r>
            <w:r>
              <w:rPr>
                <w:rFonts w:hint="eastAsia" w:ascii="仿宋_GB2312" w:hAnsi="仿宋_GB2312" w:eastAsia="仿宋_GB2312" w:cs="仿宋_GB2312"/>
                <w:sz w:val="32"/>
                <w:szCs w:val="32"/>
              </w:rPr>
              <w:t>学信网查询记录，原件备查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提供相关证书证明材料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工作经验</w:t>
            </w:r>
            <w:r>
              <w:rPr>
                <w:rFonts w:hint="eastAsia" w:ascii="仿宋_GB2312" w:hAnsi="仿宋_GB2312" w:eastAsia="仿宋_GB2312" w:cs="仿宋_GB2312"/>
                <w:sz w:val="32"/>
                <w:szCs w:val="32"/>
              </w:rPr>
              <w:t>需提供合同关键页或其他可以证明的材料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w:t>
            </w:r>
            <w:r>
              <w:rPr>
                <w:rFonts w:hint="eastAsia" w:ascii="仿宋_GB2312" w:hAnsi="仿宋_GB2312" w:eastAsia="仿宋_GB2312" w:cs="仿宋_GB2312"/>
                <w:sz w:val="32"/>
                <w:szCs w:val="32"/>
              </w:rPr>
              <w:t>），以及满足评分要求的服务内容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4.以上人员近12月在本单位社保缴纳记录。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项目完成（服务期满）</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后的服务承诺（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lang w:val="en-US" w:eastAsia="zh-CN"/>
              </w:rPr>
              <w:t>分）</w:t>
            </w:r>
          </w:p>
        </w:tc>
        <w:tc>
          <w:tcPr>
            <w:tcW w:w="6403"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根据针对本项目做出的服务承诺，考察包括但不限于以下内容：</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1.在服务期满后主动交接项目相关资料；</w:t>
            </w:r>
          </w:p>
          <w:p>
            <w:pPr>
              <w:keepNext w:val="0"/>
              <w:keepLines w:val="0"/>
              <w:pageBreakBefore w:val="0"/>
              <w:widowControl w:val="0"/>
              <w:numPr>
                <w:ilvl w:val="0"/>
                <w:numId w:val="0"/>
              </w:numPr>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技术部分（</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sz w:val="32"/>
                <w:szCs w:val="32"/>
                <w:vertAlign w:val="baseline"/>
                <w:lang w:val="en-US" w:eastAsia="zh-CN"/>
              </w:rPr>
              <w:t>分）</w:t>
            </w: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实</w:t>
            </w:r>
            <w:r>
              <w:rPr>
                <w:rFonts w:hint="eastAsia" w:ascii="仿宋_GB2312" w:hAnsi="仿宋_GB2312" w:eastAsia="仿宋_GB2312" w:cs="仿宋_GB2312"/>
                <w:sz w:val="32"/>
                <w:szCs w:val="32"/>
                <w:lang w:val="en-US" w:eastAsia="zh-CN"/>
              </w:rPr>
              <w:t>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方案</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sz w:val="32"/>
                <w:szCs w:val="32"/>
                <w:lang w:val="en-US" w:eastAsia="zh-CN"/>
              </w:rPr>
              <w:t>分）</w:t>
            </w:r>
          </w:p>
        </w:tc>
        <w:tc>
          <w:tcPr>
            <w:tcW w:w="6403"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根据投标人提供的实施方案，考察包括但不限于：</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1.龙华区困境儿童群体特点和服务策略；</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2.项目执行方案；</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满足以上任意一项要求8分，最高得16分，在此基础上，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1.优：项目实施方案内容全面、具体、针对性强、科学合理、具有创新性和实操性得14分；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2.良：项目实施方案内容较完整、具有一定针对性、相对合理、可操作性较强得9分；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3.中：项目实施方案内容、针对性、可操作性一般得4分；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vertAlign w:val="baseline"/>
                <w:lang w:val="en-US" w:eastAsia="zh-CN"/>
              </w:rPr>
              <w:t>分）</w:t>
            </w:r>
          </w:p>
        </w:tc>
        <w:tc>
          <w:tcPr>
            <w:tcW w:w="6403"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考察对项目工作量、可完成度等重点难点问题的识别和分析能力，并就识别出的重点难点提出可行的应对措施及合理化建议，包括但不限于以下内容：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2.根据项目重难点，详细阐述对应的应对措施及合理化建议。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满足以上任意一项要求得2.5分，最高得5分，在此基础上，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w:t>
            </w:r>
            <w:r>
              <w:rPr>
                <w:rFonts w:hint="eastAsia" w:ascii="仿宋_GB2312" w:hAnsi="仿宋_GB2312" w:eastAsia="仿宋_GB2312" w:cs="仿宋_GB2312"/>
                <w:sz w:val="32"/>
                <w:szCs w:val="32"/>
                <w:highlight w:val="none"/>
                <w:lang w:eastAsia="zh-CN"/>
              </w:rPr>
              <w:t>方案全面完善，对</w:t>
            </w:r>
            <w:r>
              <w:rPr>
                <w:rFonts w:hint="eastAsia" w:ascii="仿宋_GB2312" w:hAnsi="仿宋_GB2312" w:eastAsia="仿宋_GB2312" w:cs="仿宋_GB2312"/>
                <w:sz w:val="32"/>
                <w:szCs w:val="32"/>
                <w:highlight w:val="none"/>
              </w:rPr>
              <w:t>项目重难点分析</w:t>
            </w:r>
            <w:r>
              <w:rPr>
                <w:rFonts w:hint="eastAsia" w:ascii="仿宋_GB2312" w:hAnsi="仿宋_GB2312" w:eastAsia="仿宋_GB2312" w:cs="仿宋_GB2312"/>
                <w:sz w:val="32"/>
                <w:szCs w:val="32"/>
                <w:highlight w:val="none"/>
                <w:lang w:eastAsia="zh-CN"/>
              </w:rPr>
              <w:t>深入透彻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逻辑严谨、层次清晰，贴合工作实际、</w:t>
            </w:r>
            <w:r>
              <w:rPr>
                <w:rFonts w:hint="eastAsia" w:ascii="仿宋_GB2312" w:hAnsi="仿宋_GB2312" w:eastAsia="仿宋_GB2312" w:cs="仿宋_GB2312"/>
                <w:sz w:val="32"/>
                <w:szCs w:val="32"/>
                <w:highlight w:val="none"/>
              </w:rPr>
              <w:t>应对措施针对性强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良：</w:t>
            </w:r>
            <w:r>
              <w:rPr>
                <w:rFonts w:hint="eastAsia" w:ascii="仿宋_GB2312" w:hAnsi="仿宋_GB2312" w:eastAsia="仿宋_GB2312" w:cs="仿宋_GB2312"/>
                <w:sz w:val="32"/>
                <w:szCs w:val="32"/>
                <w:highlight w:val="none"/>
                <w:lang w:eastAsia="zh-CN"/>
              </w:rPr>
              <w:t>方案较完善，能识别</w:t>
            </w:r>
            <w:r>
              <w:rPr>
                <w:rFonts w:hint="eastAsia" w:ascii="仿宋_GB2312" w:hAnsi="仿宋_GB2312" w:eastAsia="仿宋_GB2312" w:cs="仿宋_GB2312"/>
                <w:sz w:val="32"/>
                <w:szCs w:val="32"/>
                <w:highlight w:val="none"/>
              </w:rPr>
              <w:t>项目重难点</w:t>
            </w:r>
            <w:r>
              <w:rPr>
                <w:rFonts w:hint="eastAsia" w:ascii="仿宋_GB2312" w:hAnsi="仿宋_GB2312" w:eastAsia="仿宋_GB2312" w:cs="仿宋_GB2312"/>
                <w:sz w:val="32"/>
                <w:szCs w:val="32"/>
                <w:highlight w:val="none"/>
                <w:lang w:eastAsia="zh-CN"/>
              </w:rPr>
              <w:t>与关键风险，</w:t>
            </w:r>
            <w:r>
              <w:rPr>
                <w:rFonts w:hint="eastAsia" w:ascii="仿宋_GB2312" w:hAnsi="仿宋_GB2312" w:eastAsia="仿宋_GB2312" w:cs="仿宋_GB2312"/>
                <w:sz w:val="32"/>
                <w:szCs w:val="32"/>
                <w:highlight w:val="none"/>
              </w:rPr>
              <w:t>应对措施</w:t>
            </w:r>
            <w:r>
              <w:rPr>
                <w:rFonts w:hint="eastAsia" w:ascii="仿宋_GB2312" w:hAnsi="仿宋_GB2312" w:eastAsia="仿宋_GB2312" w:cs="仿宋_GB2312"/>
                <w:sz w:val="32"/>
                <w:szCs w:val="32"/>
                <w:highlight w:val="none"/>
                <w:lang w:eastAsia="zh-CN"/>
              </w:rPr>
              <w:t>针对性较强，</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中：项目重点难点分析、应对措施及相关的合理化建议的三点内容完整性、针对性、可操作性均一般，加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差：</w:t>
            </w:r>
            <w:r>
              <w:rPr>
                <w:rFonts w:hint="eastAsia" w:ascii="仿宋_GB2312" w:hAnsi="仿宋_GB2312" w:eastAsia="仿宋_GB2312" w:cs="仿宋_GB2312"/>
                <w:color w:val="auto"/>
                <w:sz w:val="32"/>
                <w:szCs w:val="32"/>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质量保障措施及方案</w:t>
            </w:r>
          </w:p>
          <w:p>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vertAlign w:val="baseline"/>
                <w:lang w:eastAsia="zh-CN"/>
              </w:rPr>
              <w:t>（</w:t>
            </w:r>
            <w:r>
              <w:rPr>
                <w:rFonts w:hint="eastAsia" w:ascii="仿宋_GB2312" w:hAnsi="仿宋_GB2312" w:eastAsia="仿宋_GB2312" w:cs="仿宋_GB2312"/>
                <w:sz w:val="32"/>
                <w:szCs w:val="32"/>
                <w:highlight w:val="none"/>
                <w:vertAlign w:val="baseline"/>
                <w:lang w:val="en-US" w:eastAsia="zh-CN"/>
              </w:rPr>
              <w:t>10分</w:t>
            </w:r>
            <w:r>
              <w:rPr>
                <w:rFonts w:hint="eastAsia" w:ascii="仿宋_GB2312" w:hAnsi="仿宋_GB2312" w:eastAsia="仿宋_GB2312" w:cs="仿宋_GB2312"/>
                <w:sz w:val="32"/>
                <w:szCs w:val="32"/>
                <w:highlight w:val="none"/>
                <w:vertAlign w:val="baseline"/>
                <w:lang w:eastAsia="zh-CN"/>
              </w:rPr>
              <w:t>）</w:t>
            </w:r>
          </w:p>
        </w:tc>
        <w:tc>
          <w:tcPr>
            <w:tcW w:w="6403"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根据对项目的理解及自身管理经验，针对本项目提出质量（完成时间、安全）保障措施及方案。包括但不限于以下内容：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1.具备详细的完成时间保障措施；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2.详细阐述项目人员保障措施；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3.详细阐述项目质量保障措施。</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（二）评分标准：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满足以上任意一项要求得2分，最高得6分，在此基础上，</w:t>
            </w:r>
            <w:r>
              <w:rPr>
                <w:rFonts w:hint="eastAsia" w:ascii="仿宋_GB2312" w:hAnsi="仿宋_GB2312" w:eastAsia="仿宋_GB2312" w:cs="仿宋_GB2312"/>
                <w:sz w:val="32"/>
                <w:szCs w:val="32"/>
                <w:highlight w:val="none"/>
                <w:lang w:eastAsia="zh-CN"/>
              </w:rPr>
              <w:t>根据供应商的具体响应内容按照量化的评审因素指标进一步评审，设定优、良、中、差四个评分标准</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bookmarkStart w:id="1" w:name="_GoBack"/>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优：以上项目质量保障措施及方案内容全面具体、针对性强、可操作性强，保障措施丰富，加</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良：以上项目质量保障措施及方案内容较丰富、针对性较强、可操作性较强，加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中：以上项目质量保障措施及方案内容完整性、针对性、可操作性均一般，加</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差：</w:t>
            </w:r>
            <w:r>
              <w:rPr>
                <w:rFonts w:hint="eastAsia" w:ascii="仿宋_GB2312" w:hAnsi="仿宋_GB2312" w:eastAsia="仿宋_GB2312" w:cs="仿宋_GB2312"/>
                <w:sz w:val="32"/>
                <w:szCs w:val="32"/>
                <w:highlight w:val="none"/>
                <w:lang w:val="en-US" w:eastAsia="zh-CN"/>
              </w:rPr>
              <w:t>其它情况不得分。</w:t>
            </w:r>
            <w:bookmarkEnd w:id="1"/>
          </w:p>
        </w:tc>
      </w:tr>
    </w:tbl>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p>
    <w:p>
      <w:pPr>
        <w:pStyle w:val="20"/>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（每页均需加盖公章）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w:t>
      </w:r>
      <w:r>
        <w:rPr>
          <w:rFonts w:hint="eastAsia" w:ascii="仿宋_GB2312" w:hAnsi="仿宋" w:eastAsia="仿宋_GB2312" w:cs="Times New Roman"/>
          <w:sz w:val="32"/>
          <w:lang w:eastAsia="zh-CN"/>
        </w:rPr>
        <w:t>单位</w:t>
      </w:r>
      <w:r>
        <w:rPr>
          <w:rFonts w:hint="eastAsia" w:ascii="仿宋_GB2312" w:hAnsi="仿宋" w:eastAsia="仿宋_GB2312" w:cs="Times New Roman"/>
          <w:sz w:val="32"/>
        </w:rPr>
        <w:t>法人证书、社会团体法人登记证书</w:t>
      </w:r>
      <w:r>
        <w:rPr>
          <w:rFonts w:hint="eastAsia" w:ascii="仿宋_GB2312" w:hAnsi="仿宋" w:eastAsia="仿宋_GB2312" w:cs="Times New Roman"/>
          <w:sz w:val="32"/>
          <w:lang w:eastAsia="zh-CN"/>
        </w:rPr>
        <w:t>、民办非企业单位登记证书</w:t>
      </w:r>
      <w:r>
        <w:rPr>
          <w:rFonts w:hint="eastAsia" w:ascii="仿宋_GB2312" w:hAnsi="仿宋" w:eastAsia="仿宋_GB2312" w:cs="Times New Roman"/>
          <w:sz w:val="32"/>
          <w:highlight w:val="none"/>
        </w:rPr>
        <w:t>；</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8"/>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8"/>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深圳市龙华区民政局</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），鼓励提供表中投标（响应）供应商相关人员的近</w:t>
      </w:r>
      <w:r>
        <w:rPr>
          <w:rFonts w:hint="eastAsia" w:ascii="仿宋_GB2312" w:hAnsi="仿宋" w:eastAsia="仿宋_GB2312" w:cs="Times New Roman"/>
          <w:sz w:val="32"/>
          <w:highlight w:val="none"/>
          <w:lang w:val="en-US" w:eastAsia="zh-CN"/>
        </w:rPr>
        <w:t>1</w:t>
      </w:r>
      <w:r>
        <w:rPr>
          <w:rFonts w:hint="eastAsia" w:ascii="仿宋_GB2312" w:hAnsi="仿宋" w:eastAsia="仿宋_GB2312" w:cs="Times New Roman"/>
          <w:sz w:val="32"/>
          <w:highlight w:val="none"/>
          <w:lang w:eastAsia="zh-CN"/>
        </w:rPr>
        <w:t>个月社保缴纳情况，如未在投标（响应）供应商缴纳社保的人员，需提供加盖公章的情况说明或其他相关证明材料。</w:t>
      </w:r>
    </w:p>
    <w:p>
      <w:pPr>
        <w:pStyle w:val="8"/>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1.供应商需在</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w:t>
      </w:r>
      <w:r>
        <w:rPr>
          <w:rFonts w:hint="eastAsia" w:ascii="仿宋_GB2312" w:hAnsi="仿宋" w:eastAsia="仿宋_GB2312" w:cs="Times New Roman"/>
          <w:kern w:val="2"/>
          <w:sz w:val="32"/>
          <w:szCs w:val="24"/>
          <w:lang w:val="en-US" w:eastAsia="zh-CN" w:bidi="ar-SA"/>
        </w:rPr>
        <w:fldChar w:fldCharType="begin"/>
      </w:r>
      <w:r>
        <w:rPr>
          <w:rFonts w:hint="eastAsia" w:ascii="仿宋_GB2312" w:hAnsi="仿宋" w:eastAsia="仿宋_GB2312" w:cs="Times New Roman"/>
          <w:kern w:val="2"/>
          <w:sz w:val="32"/>
          <w:szCs w:val="24"/>
          <w:lang w:val="en-US" w:eastAsia="zh-CN" w:bidi="ar-SA"/>
        </w:rPr>
        <w:instrText xml:space="preserve"> HYPERLINK "https://zxcg.szggzy.com/home/index.html），请于本项目投标截止时间前完成注册，否则如中标/成交，可能影响采购结果的发布。" </w:instrText>
      </w:r>
      <w:r>
        <w:rPr>
          <w:rFonts w:hint="eastAsia" w:ascii="仿宋_GB2312" w:hAnsi="仿宋" w:eastAsia="仿宋_GB2312" w:cs="Times New Roman"/>
          <w:kern w:val="2"/>
          <w:sz w:val="32"/>
          <w:szCs w:val="24"/>
          <w:lang w:val="en-US" w:eastAsia="zh-CN" w:bidi="ar-SA"/>
        </w:rPr>
        <w:fldChar w:fldCharType="separate"/>
      </w:r>
      <w:r>
        <w:rPr>
          <w:rStyle w:val="17"/>
          <w:rFonts w:hint="eastAsia" w:ascii="仿宋_GB2312" w:hAnsi="仿宋" w:eastAsia="仿宋_GB2312" w:cs="Times New Roman"/>
          <w:kern w:val="2"/>
          <w:sz w:val="32"/>
          <w:szCs w:val="24"/>
          <w:lang w:val="en-US" w:eastAsia="zh-CN" w:bidi="ar-SA"/>
        </w:rPr>
        <w:t>https://zxcg.szggzy.com/home/index.html</w:t>
      </w:r>
      <w:r>
        <w:rPr>
          <w:rStyle w:val="17"/>
          <w:rFonts w:hint="eastAsia" w:ascii="仿宋_GB2312" w:hAnsi="仿宋" w:eastAsia="仿宋_GB2312" w:cs="Times New Roman"/>
          <w:color w:val="auto"/>
          <w:kern w:val="2"/>
          <w:sz w:val="32"/>
          <w:szCs w:val="24"/>
          <w:u w:val="none"/>
          <w:lang w:val="en-US" w:eastAsia="zh-CN" w:bidi="ar-SA"/>
        </w:rPr>
        <w:t>），请于本项目投标截止时间前完成注册，否则如中标/成交，可能影响采购结果的发布。</w:t>
      </w:r>
      <w:r>
        <w:rPr>
          <w:rFonts w:hint="eastAsia" w:ascii="仿宋_GB2312" w:hAnsi="仿宋" w:eastAsia="仿宋_GB2312" w:cs="Times New Roman"/>
          <w:kern w:val="2"/>
          <w:sz w:val="32"/>
          <w:szCs w:val="24"/>
          <w:lang w:val="en-US" w:eastAsia="zh-CN" w:bidi="ar-SA"/>
        </w:rPr>
        <w:fldChar w:fldCharType="end"/>
      </w:r>
    </w:p>
    <w:p>
      <w:pPr>
        <w:keepNext w:val="0"/>
        <w:keepLines w:val="0"/>
        <w:widowControl/>
        <w:suppressLineNumbers w:val="0"/>
        <w:spacing w:line="560" w:lineRule="exact"/>
        <w:ind w:firstLine="640" w:firstLineChars="200"/>
        <w:jc w:val="left"/>
        <w:rPr>
          <w:rFonts w:hint="default"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kern w:val="2"/>
          <w:sz w:val="32"/>
          <w:szCs w:val="24"/>
          <w:highlight w:val="none"/>
          <w:lang w:val="en-US" w:eastAsia="zh-CN" w:bidi="ar-SA"/>
        </w:rPr>
        <w:t>2.采购人将通过</w:t>
      </w:r>
      <w:r>
        <w:rPr>
          <w:rFonts w:hint="eastAsia" w:ascii="仿宋_GB2312" w:hAnsi="仿宋" w:eastAsia="仿宋_GB2312" w:cs="Times New Roman"/>
          <w:color w:val="auto"/>
          <w:kern w:val="2"/>
          <w:sz w:val="32"/>
          <w:szCs w:val="24"/>
          <w:highlight w:val="none"/>
          <w:lang w:val="en-US" w:eastAsia="zh-CN" w:bidi="ar-SA"/>
        </w:rPr>
        <w:t>国家企业信用信息公示系统</w:t>
      </w:r>
      <w:r>
        <w:rPr>
          <w:rFonts w:hint="eastAsia" w:ascii="仿宋_GB2312" w:hAnsi="仿宋" w:eastAsia="仿宋_GB2312" w:cs="Times New Roman"/>
          <w:kern w:val="2"/>
          <w:sz w:val="32"/>
          <w:szCs w:val="24"/>
          <w:highlight w:val="none"/>
          <w:lang w:val="en-US" w:eastAsia="zh-CN" w:bidi="ar-SA"/>
        </w:rPr>
        <w:t>、机关赋码和事业单位登记管理网、全国社会组织信用信息公示平台、中国政府采购网等渠道查询供应商信用记录，对列入失信被执行人名单等的供应商拒绝其参与采购活动。</w:t>
      </w:r>
    </w:p>
    <w:p>
      <w:pPr>
        <w:keepNext w:val="0"/>
        <w:keepLines w:val="0"/>
        <w:widowControl/>
        <w:suppressLineNumbers w:val="0"/>
        <w:spacing w:line="560" w:lineRule="exact"/>
        <w:ind w:firstLine="640" w:firstLineChars="200"/>
        <w:jc w:val="both"/>
        <w:rPr>
          <w:rFonts w:hint="default" w:ascii="黑体" w:hAnsi="黑体" w:eastAsia="黑体" w:cs="黑体"/>
          <w:color w:val="000000"/>
          <w:sz w:val="32"/>
          <w:szCs w:val="32"/>
          <w:lang w:val="en-US" w:eastAsia="zh-CN"/>
        </w:rPr>
      </w:pP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采用电子邮箱投递</w:t>
      </w:r>
      <w:r>
        <w:rPr>
          <w:rFonts w:hint="eastAsia" w:ascii="仿宋_GB2312" w:hAnsi="仿宋" w:eastAsia="仿宋_GB2312" w:cs="Times New Roman"/>
          <w:sz w:val="32"/>
          <w:highlight w:val="none"/>
          <w:lang w:val="en-US" w:eastAsia="zh-CN"/>
        </w:rPr>
        <w:t>方式，将</w:t>
      </w:r>
      <w:r>
        <w:rPr>
          <w:rFonts w:hint="eastAsia" w:ascii="仿宋_GB2312" w:hAnsi="仿宋" w:eastAsia="仿宋_GB2312" w:cs="Times New Roman"/>
          <w:sz w:val="32"/>
          <w:highlight w:val="none"/>
        </w:rPr>
        <w:t>投标资料</w:t>
      </w:r>
      <w:r>
        <w:rPr>
          <w:rFonts w:hint="eastAsia" w:ascii="仿宋_GB2312" w:hAnsi="仿宋" w:eastAsia="仿宋_GB2312" w:cs="Times New Roman"/>
          <w:sz w:val="32"/>
          <w:highlight w:val="none"/>
          <w:lang w:eastAsia="zh-CN"/>
        </w:rPr>
        <w:t>发至：szlhmzj@szlhq.gov.cn，文件夹命名方式为</w:t>
      </w:r>
      <w:r>
        <w:rPr>
          <w:rFonts w:hint="eastAsia" w:ascii="仿宋_GB2312" w:hAnsi="仿宋" w:eastAsia="仿宋_GB2312" w:cs="Times New Roman"/>
          <w:sz w:val="32"/>
          <w:highlight w:val="none"/>
          <w:lang w:val="en-US" w:eastAsia="zh-CN"/>
        </w:rPr>
        <w:t>“龙华区困境儿童服务提质</w:t>
      </w:r>
      <w:r>
        <w:rPr>
          <w:rFonts w:hint="eastAsia" w:ascii="仿宋_GB2312" w:hAnsi="仿宋" w:eastAsia="仿宋_GB2312" w:cs="Times New Roman"/>
          <w:color w:val="000000"/>
          <w:kern w:val="2"/>
          <w:sz w:val="32"/>
          <w:szCs w:val="24"/>
          <w:highlight w:val="none"/>
          <w:lang w:val="en-US" w:eastAsia="zh-CN"/>
        </w:rPr>
        <w:t>项目+公司全称+日期+联系人+联系方式”。</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w:t>
      </w:r>
      <w:r>
        <w:rPr>
          <w:rFonts w:hint="eastAsia" w:ascii="宋体" w:hAnsi="宋体"/>
          <w:color w:val="auto"/>
          <w:sz w:val="21"/>
          <w:szCs w:val="21"/>
          <w:highlight w:val="none"/>
          <w:u w:val="single"/>
          <w:lang w:eastAsia="zh-CN"/>
        </w:rPr>
        <w:t>民政</w:t>
      </w:r>
      <w:r>
        <w:rPr>
          <w:rFonts w:hint="eastAsia" w:ascii="宋体" w:hAnsi="宋体"/>
          <w:color w:val="auto"/>
          <w:sz w:val="21"/>
          <w:szCs w:val="21"/>
          <w:highlight w:val="none"/>
          <w:u w:val="single"/>
        </w:rPr>
        <w:t>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1"/>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3"/>
        <w:snapToGrid w:val="0"/>
        <w:spacing w:before="0" w:after="0" w:line="560" w:lineRule="exact"/>
        <w:rPr>
          <w:rFonts w:hint="eastAsia" w:ascii="方正小标宋简体" w:hAnsi="方正小标宋简体" w:eastAsia="方正小标宋简体" w:cs="方正小标宋简体"/>
          <w:b w:val="0"/>
          <w:bCs w:val="0"/>
          <w:sz w:val="44"/>
          <w:szCs w:val="44"/>
          <w:lang w:eastAsia="zh-CN"/>
        </w:rPr>
      </w:pPr>
    </w:p>
    <w:p>
      <w:pPr>
        <w:pStyle w:val="1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深圳市龙华区民政局</w:t>
      </w: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5"/>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default" w:ascii="方正仿宋_GBK" w:hAnsi="方正仿宋_GBK" w:eastAsia="方正仿宋_GBK" w:cs="方正仿宋_GBK"/>
                <w:b/>
                <w:bCs/>
                <w:sz w:val="24"/>
                <w:lang w:val="en-US"/>
              </w:rPr>
              <w:t>0</w:t>
            </w: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EB204"/>
    <w:multiLevelType w:val="singleLevel"/>
    <w:tmpl w:val="40FEB2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2820350"/>
    <w:rsid w:val="0AE487AD"/>
    <w:rsid w:val="16EB8C75"/>
    <w:rsid w:val="1A78700C"/>
    <w:rsid w:val="1CF724D9"/>
    <w:rsid w:val="26CC7C68"/>
    <w:rsid w:val="3315093A"/>
    <w:rsid w:val="3935B585"/>
    <w:rsid w:val="3D5FDCFC"/>
    <w:rsid w:val="3DEE5819"/>
    <w:rsid w:val="3F5B5B47"/>
    <w:rsid w:val="42156510"/>
    <w:rsid w:val="53DE98CD"/>
    <w:rsid w:val="557F3B28"/>
    <w:rsid w:val="5BEB5DAF"/>
    <w:rsid w:val="5F2BE56A"/>
    <w:rsid w:val="5F3F3D63"/>
    <w:rsid w:val="5FF2F23F"/>
    <w:rsid w:val="67938A2B"/>
    <w:rsid w:val="67BADCD1"/>
    <w:rsid w:val="6853623F"/>
    <w:rsid w:val="6CFFD566"/>
    <w:rsid w:val="6EAC5256"/>
    <w:rsid w:val="6EAE22C4"/>
    <w:rsid w:val="6FC72380"/>
    <w:rsid w:val="6FFD5E60"/>
    <w:rsid w:val="73FB884D"/>
    <w:rsid w:val="77EF2C1A"/>
    <w:rsid w:val="79DEE360"/>
    <w:rsid w:val="7B2F2850"/>
    <w:rsid w:val="7BF7E217"/>
    <w:rsid w:val="7D9F3A20"/>
    <w:rsid w:val="7DD39989"/>
    <w:rsid w:val="7DDD57CD"/>
    <w:rsid w:val="7DE9CA57"/>
    <w:rsid w:val="7E9F479A"/>
    <w:rsid w:val="7EC7A5AA"/>
    <w:rsid w:val="7FA997A4"/>
    <w:rsid w:val="7FBD2D39"/>
    <w:rsid w:val="7FFDB0D1"/>
    <w:rsid w:val="995F0FBB"/>
    <w:rsid w:val="9EFFBBA7"/>
    <w:rsid w:val="9FD9C14C"/>
    <w:rsid w:val="9FF753B3"/>
    <w:rsid w:val="ACFF9C02"/>
    <w:rsid w:val="AFAF3132"/>
    <w:rsid w:val="BBFF548B"/>
    <w:rsid w:val="BDBC8FF5"/>
    <w:rsid w:val="BDDEB8D7"/>
    <w:rsid w:val="BEBBE67F"/>
    <w:rsid w:val="BEBE3887"/>
    <w:rsid w:val="BF5EBD87"/>
    <w:rsid w:val="BFD70B2B"/>
    <w:rsid w:val="C7FFEB54"/>
    <w:rsid w:val="CEAEA899"/>
    <w:rsid w:val="D77F94FC"/>
    <w:rsid w:val="DEB7FE68"/>
    <w:rsid w:val="DF9F634A"/>
    <w:rsid w:val="DFFF69F1"/>
    <w:rsid w:val="E1CF8320"/>
    <w:rsid w:val="E376E1AF"/>
    <w:rsid w:val="E76E496D"/>
    <w:rsid w:val="E77E6E49"/>
    <w:rsid w:val="EFCE6E40"/>
    <w:rsid w:val="EFF64497"/>
    <w:rsid w:val="F5939A89"/>
    <w:rsid w:val="F5FAD71A"/>
    <w:rsid w:val="F5FD9CF5"/>
    <w:rsid w:val="F67B46B6"/>
    <w:rsid w:val="F6E6CB06"/>
    <w:rsid w:val="F82BA885"/>
    <w:rsid w:val="FB4D790E"/>
    <w:rsid w:val="FC76EA8B"/>
    <w:rsid w:val="FCFF185E"/>
    <w:rsid w:val="FDFFA232"/>
    <w:rsid w:val="FDFFDEC4"/>
    <w:rsid w:val="FE5F7A6B"/>
    <w:rsid w:val="FFBFB86A"/>
    <w:rsid w:val="FFEF2FC6"/>
    <w:rsid w:val="FFFB3524"/>
    <w:rsid w:val="FFFD4C43"/>
    <w:rsid w:val="FFFF6BBE"/>
    <w:rsid w:val="FFFF7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60" w:beforeLines="0" w:beforeAutospacing="0" w:after="160" w:afterLines="0" w:afterAutospacing="0" w:line="560" w:lineRule="exact"/>
      <w:ind w:leftChars="0"/>
      <w:outlineLvl w:val="0"/>
    </w:pPr>
    <w:rPr>
      <w:rFonts w:eastAsia="楷体" w:cs="黑体"/>
      <w:b/>
      <w:kern w:val="44"/>
      <w:sz w:val="36"/>
      <w:szCs w:val="32"/>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0"/>
    <w:pPr>
      <w:spacing w:after="120"/>
    </w:p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unhideWhenUsed/>
    <w:qFormat/>
    <w:uiPriority w:val="99"/>
    <w:rPr>
      <w:rFonts w:ascii="宋体" w:hAnsi="Calibri"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360" w:lineRule="auto"/>
    </w:pPr>
    <w:rPr>
      <w:sz w:val="24"/>
    </w:rPr>
  </w:style>
  <w:style w:type="paragraph" w:styleId="1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styleId="18">
    <w:name w:val="List Paragraph"/>
    <w:basedOn w:val="1"/>
    <w:qFormat/>
    <w:uiPriority w:val="34"/>
    <w:pPr>
      <w:ind w:firstLine="420" w:firstLineChars="200"/>
    </w:pPr>
  </w:style>
  <w:style w:type="paragraph" w:customStyle="1" w:styleId="19">
    <w:name w:val="星耀正文"/>
    <w:basedOn w:val="1"/>
    <w:qFormat/>
    <w:uiPriority w:val="3"/>
    <w:pPr>
      <w:ind w:firstLine="422" w:firstLineChars="200"/>
    </w:pPr>
    <w:rPr>
      <w:rFonts w:ascii="宋体" w:hAnsi="宋体" w:eastAsia="仿宋_GB2312"/>
      <w:bCs/>
    </w:r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2">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1671</Words>
  <Characters>1715</Characters>
  <Lines>0</Lines>
  <Paragraphs>0</Paragraphs>
  <TotalTime>1</TotalTime>
  <ScaleCrop>false</ScaleCrop>
  <LinksUpToDate>false</LinksUpToDate>
  <CharactersWithSpaces>1719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2025-04-25T09:16:00Z</dcterms:created>
  <dc:creator>yang</dc:creator>
  <cp:lastModifiedBy>flk</cp:lastModifiedBy>
  <cp:lastPrinted>2026-04-13T17:40:36Z</cp:lastPrinted>
  <dcterms:modified xsi:type="dcterms:W3CDTF">2026-04-13T19:04:49Z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7299108AFC688817CC89D76945028AC8</vt:lpwstr>
  </property>
  <property fmtid="{D5CDD505-2E9C-101B-9397-08002B2CF9AE}" pid="4" name="KSOTemplateDocerSaveRecord">
    <vt:lpwstr>eyJoZGlkIjoiMWRkMTk2MWM4YWY5ZDQ4ZmYyMzY4MzAwMDdiNWJhOTIiLCJ1c2VySWQiOiIyOTUyNjUzMzUifQ==</vt:lpwstr>
  </property>
</Properties>
</file>