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i w:val="0"/>
          <w:caps w:val="0"/>
          <w:spacing w:val="0"/>
          <w:kern w:val="2"/>
          <w:sz w:val="44"/>
          <w:szCs w:val="44"/>
          <w:shd w:val="clear"/>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2"/>
          <w:sz w:val="44"/>
          <w:szCs w:val="44"/>
          <w:u w:val="none"/>
          <w:shd w:val="clear" w:fill="auto"/>
          <w:lang w:val="en-US" w:eastAsia="zh-CN" w:bidi="ar"/>
        </w:rPr>
        <w:t>2026</w:t>
      </w:r>
      <w:r>
        <w:rPr>
          <w:rFonts w:hint="eastAsia" w:ascii="方正小标宋简体" w:hAnsi="方正小标宋简体" w:eastAsia="方正小标宋简体" w:cs="方正小标宋简体"/>
          <w:b w:val="0"/>
          <w:bCs w:val="0"/>
          <w:i w:val="0"/>
          <w:iCs w:val="0"/>
          <w:caps w:val="0"/>
          <w:spacing w:val="0"/>
          <w:kern w:val="2"/>
          <w:sz w:val="44"/>
          <w:szCs w:val="44"/>
          <w:u w:val="none"/>
          <w:shd w:val="clear"/>
          <w:lang w:val="en-US" w:eastAsia="zh-CN" w:bidi="ar"/>
        </w:rPr>
        <w:t>年</w:t>
      </w:r>
      <w:r>
        <w:rPr>
          <w:rFonts w:hint="eastAsia" w:ascii="方正小标宋简体" w:hAnsi="方正小标宋简体" w:eastAsia="方正小标宋简体" w:cs="方正小标宋简体"/>
          <w:b w:val="0"/>
          <w:bCs w:val="0"/>
          <w:i w:val="0"/>
          <w:iCs w:val="0"/>
          <w:caps w:val="0"/>
          <w:color w:val="auto"/>
          <w:spacing w:val="0"/>
          <w:kern w:val="2"/>
          <w:sz w:val="44"/>
          <w:szCs w:val="44"/>
          <w:u w:val="none"/>
          <w:shd w:val="clear" w:fill="auto"/>
          <w:lang w:val="en-US" w:eastAsia="zh-CN" w:bidi="ar"/>
        </w:rPr>
        <w:t>龙华区全民广场舞日</w:t>
      </w:r>
      <w:r>
        <w:rPr>
          <w:rFonts w:hint="eastAsia" w:ascii="方正小标宋简体" w:hAnsi="方正小标宋简体" w:eastAsia="方正小标宋简体" w:cs="方正小标宋简体"/>
          <w:i w:val="0"/>
          <w:caps w:val="0"/>
          <w:color w:val="auto"/>
          <w:spacing w:val="0"/>
          <w:kern w:val="2"/>
          <w:sz w:val="44"/>
          <w:szCs w:val="44"/>
          <w:highlight w:val="none"/>
          <w:shd w:val="clear" w:color="auto" w:fill="auto"/>
          <w:lang w:val="en-US" w:eastAsia="zh-CN" w:bidi="ar"/>
        </w:rPr>
        <w:t>活动</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项目需求书</w:t>
      </w:r>
    </w:p>
    <w:p>
      <w:pPr>
        <w:pStyle w:val="6"/>
        <w:spacing w:line="560" w:lineRule="exact"/>
        <w:jc w:val="center"/>
        <w:rPr>
          <w:rFonts w:ascii="方正小标宋简体" w:hAnsi="方正小标宋简体" w:eastAsia="方正小标宋简体" w:cs="方正小标宋简体"/>
          <w:spacing w:val="17"/>
          <w:sz w:val="44"/>
          <w:szCs w:val="44"/>
          <w:highlight w:val="none"/>
        </w:rPr>
      </w:pPr>
    </w:p>
    <w:p>
      <w:pPr>
        <w:numPr>
          <w:ilvl w:val="0"/>
          <w:numId w:val="1"/>
        </w:numPr>
        <w:tabs>
          <w:tab w:val="left" w:pos="1820"/>
        </w:tabs>
        <w:snapToGrid w:val="0"/>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rPr>
        <w:t>项目目标</w:t>
      </w:r>
    </w:p>
    <w:p>
      <w:pPr>
        <w:numPr>
          <w:ilvl w:val="0"/>
          <w:numId w:val="0"/>
        </w:numPr>
        <w:snapToGrid/>
        <w:spacing w:line="560" w:lineRule="exact"/>
        <w:ind w:firstLine="640" w:firstLineChars="200"/>
        <w:jc w:val="both"/>
        <w:rPr>
          <w:rFonts w:hint="eastAsia" w:ascii="黑体" w:hAnsi="黑体" w:eastAsia="黑体" w:cs="黑体"/>
          <w:bCs/>
          <w:sz w:val="32"/>
          <w:szCs w:val="32"/>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rPr>
        <w:t>为深入推进惠民工程，全面落实全民健身国家战略，丰富辖区群众精神文化生活，凝聚市民向心力，展现龙华居民昂扬向上的精神风貌，通过广场舞形式，搭建群众喜闻乐见的展示平台，推动全民健身与全民健康深度融合，不断提升居民获得感、幸福感、归属感，助力龙华区宜居宜业现代化城区建设。</w:t>
      </w:r>
      <w:r>
        <w:rPr>
          <w:rFonts w:hint="eastAsia" w:ascii="仿宋_GB2312" w:hAnsi="仿宋_GB2312" w:eastAsia="仿宋_GB2312" w:cs="仿宋_GB2312"/>
          <w:kern w:val="0"/>
          <w:sz w:val="32"/>
          <w:szCs w:val="32"/>
          <w:highlight w:val="none"/>
          <w:lang w:val="en-US" w:eastAsia="zh-CN" w:bidi="ar"/>
        </w:rPr>
        <w:t>龙华区拟于2026年6月</w:t>
      </w:r>
      <w:r>
        <w:rPr>
          <w:rFonts w:hint="eastAsia" w:ascii="仿宋_GB2312" w:hAnsi="仿宋_GB2312" w:eastAsia="仿宋_GB2312" w:cs="仿宋_GB2312"/>
          <w:sz w:val="32"/>
          <w:szCs w:val="32"/>
          <w:highlight w:val="none"/>
          <w:lang w:val="en-US" w:eastAsia="zh-CN"/>
        </w:rPr>
        <w:t>举</w:t>
      </w:r>
      <w:r>
        <w:rPr>
          <w:rFonts w:hint="eastAsia" w:ascii="仿宋_GB2312" w:hAnsi="仿宋_GB2312" w:eastAsia="仿宋_GB2312" w:cs="仿宋_GB2312"/>
          <w:i w:val="0"/>
          <w:caps w:val="0"/>
          <w:color w:val="0F1115"/>
          <w:spacing w:val="0"/>
          <w:kern w:val="0"/>
          <w:sz w:val="32"/>
          <w:szCs w:val="32"/>
          <w:highlight w:val="none"/>
          <w:shd w:val="clear" w:color="auto" w:fill="FFFFFF"/>
          <w:lang w:val="en-US" w:eastAsia="zh-CN" w:bidi="ar"/>
        </w:rPr>
        <w:t>办</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2026年龙华区全民广场舞日</w:t>
      </w:r>
      <w:r>
        <w:rPr>
          <w:rFonts w:hint="eastAsia" w:ascii="仿宋_GB2312" w:hAnsi="仿宋_GB2312" w:eastAsia="仿宋_GB2312" w:cs="仿宋_GB2312"/>
          <w:i w:val="0"/>
          <w:caps w:val="0"/>
          <w:color w:val="0F1115"/>
          <w:spacing w:val="0"/>
          <w:kern w:val="0"/>
          <w:sz w:val="32"/>
          <w:szCs w:val="32"/>
          <w:highlight w:val="none"/>
          <w:shd w:val="clear" w:color="auto" w:fill="FFFFFF"/>
          <w:lang w:val="en-US" w:eastAsia="zh-CN" w:bidi="ar"/>
        </w:rPr>
        <w:t>活动。</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pStyle w:val="5"/>
        <w:keepNext w:val="0"/>
        <w:keepLines w:val="0"/>
        <w:pageBreakBefore w:val="0"/>
        <w:numPr>
          <w:ilvl w:val="0"/>
          <w:numId w:val="0"/>
        </w:numPr>
        <w:kinsoku/>
        <w:wordWrap/>
        <w:overflowPunct/>
        <w:topLinePunct w:val="0"/>
        <w:autoSpaceDE/>
        <w:autoSpaceDN/>
        <w:bidi w:val="0"/>
        <w:spacing w:after="0" w:line="560" w:lineRule="exact"/>
        <w:ind w:left="0" w:right="0" w:rightChars="0" w:firstLine="640" w:firstLineChars="200"/>
        <w:textAlignment w:val="auto"/>
        <w:rPr>
          <w:rFonts w:ascii="仿宋_GB2312" w:hAnsi="仿宋_GB2312" w:eastAsia="仿宋_GB2312" w:cs="仿宋_GB2312"/>
          <w:sz w:val="32"/>
          <w:szCs w:val="36"/>
          <w:highlight w:val="none"/>
        </w:rPr>
      </w:pPr>
      <w:r>
        <w:rPr>
          <w:rFonts w:hint="eastAsia" w:ascii="仿宋_GB2312" w:hAnsi="仿宋_GB2312" w:eastAsia="仿宋_GB2312" w:cs="仿宋_GB2312"/>
          <w:color w:val="auto"/>
          <w:sz w:val="32"/>
          <w:szCs w:val="36"/>
          <w:highlight w:val="none"/>
          <w:lang w:val="en-US" w:eastAsia="zh-CN"/>
        </w:rPr>
        <w:t>2026年6月（根据合同服务时间为准）</w:t>
      </w:r>
    </w:p>
    <w:p>
      <w:pPr>
        <w:tabs>
          <w:tab w:val="left" w:pos="1820"/>
        </w:tabs>
        <w:snapToGrid w:val="0"/>
        <w:spacing w:line="560" w:lineRule="exact"/>
        <w:ind w:firstLine="640" w:firstLineChars="200"/>
        <w:jc w:val="left"/>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7"/>
        <w:widowControl/>
        <w:ind w:firstLine="640" w:firstLineChars="200"/>
        <w:jc w:val="left"/>
        <w:rPr>
          <w:rFonts w:hint="eastAsia" w:ascii="楷体_GB2312" w:hAnsi="楷体_GB2312" w:eastAsia="楷体_GB2312" w:cs="楷体_GB2312"/>
          <w:sz w:val="32"/>
          <w:szCs w:val="32"/>
        </w:rPr>
      </w:pPr>
      <w:r>
        <w:rPr>
          <w:rFonts w:hint="eastAsia" w:ascii="仿宋_GB2312" w:hAnsi="仿宋_GB2312" w:eastAsia="仿宋_GB2312" w:cs="仿宋_GB2312"/>
          <w:color w:val="000000"/>
          <w:kern w:val="0"/>
          <w:sz w:val="32"/>
          <w:szCs w:val="32"/>
          <w:u w:val="none"/>
          <w:lang w:val="en-US" w:eastAsia="zh-CN" w:bidi="ar"/>
        </w:rPr>
        <w:t>具体服务内容包括活动宣传推广、</w:t>
      </w:r>
      <w:r>
        <w:rPr>
          <w:rFonts w:hint="eastAsia" w:ascii="仿宋_GB2312" w:hAnsi="仿宋_GB2312" w:eastAsia="仿宋_GB2312" w:cs="仿宋_GB2312"/>
          <w:color w:val="000000"/>
          <w:kern w:val="0"/>
          <w:sz w:val="32"/>
          <w:szCs w:val="32"/>
          <w:u w:val="none"/>
          <w:lang w:bidi="ar"/>
        </w:rPr>
        <w:t>场地布置</w:t>
      </w:r>
      <w:r>
        <w:rPr>
          <w:rFonts w:hint="eastAsia" w:ascii="仿宋_GB2312" w:hAnsi="仿宋_GB2312" w:eastAsia="仿宋_GB2312" w:cs="仿宋_GB2312"/>
          <w:color w:val="000000"/>
          <w:kern w:val="0"/>
          <w:sz w:val="32"/>
          <w:szCs w:val="32"/>
          <w:u w:val="none"/>
          <w:lang w:eastAsia="zh-CN" w:bidi="ar"/>
        </w:rPr>
        <w:t>、</w:t>
      </w:r>
      <w:r>
        <w:rPr>
          <w:rFonts w:hint="eastAsia" w:ascii="仿宋_GB2312" w:hAnsi="仿宋_GB2312" w:eastAsia="仿宋_GB2312" w:cs="仿宋_GB2312"/>
          <w:color w:val="000000"/>
          <w:kern w:val="0"/>
          <w:sz w:val="32"/>
          <w:szCs w:val="32"/>
          <w:u w:val="none"/>
          <w:lang w:val="en-US" w:eastAsia="zh-CN" w:bidi="ar"/>
        </w:rPr>
        <w:t>设备租赁、</w:t>
      </w:r>
      <w:r>
        <w:rPr>
          <w:rFonts w:hint="eastAsia" w:ascii="仿宋_GB2312" w:hAnsi="仿宋_GB2312" w:eastAsia="仿宋_GB2312" w:cs="仿宋_GB2312"/>
          <w:color w:val="000000"/>
          <w:kern w:val="0"/>
          <w:sz w:val="32"/>
          <w:szCs w:val="32"/>
          <w:u w:val="none"/>
          <w:lang w:bidi="ar"/>
        </w:rPr>
        <w:t>物资</w:t>
      </w:r>
      <w:r>
        <w:rPr>
          <w:rFonts w:hint="eastAsia" w:ascii="仿宋_GB2312" w:hAnsi="仿宋_GB2312" w:eastAsia="仿宋_GB2312" w:cs="仿宋_GB2312"/>
          <w:color w:val="000000"/>
          <w:kern w:val="0"/>
          <w:sz w:val="32"/>
          <w:szCs w:val="32"/>
          <w:u w:val="none"/>
          <w:shd w:val="clear"/>
          <w:lang w:bidi="ar"/>
        </w:rPr>
        <w:t>采购</w:t>
      </w:r>
      <w:r>
        <w:rPr>
          <w:rFonts w:hint="eastAsia" w:ascii="仿宋_GB2312" w:hAnsi="仿宋_GB2312" w:eastAsia="仿宋_GB2312" w:cs="仿宋_GB2312"/>
          <w:color w:val="000000"/>
          <w:kern w:val="0"/>
          <w:sz w:val="32"/>
          <w:szCs w:val="32"/>
          <w:u w:val="none"/>
          <w:shd w:val="clear"/>
          <w:lang w:val="en-US" w:eastAsia="zh-CN" w:bidi="ar"/>
        </w:rPr>
        <w:t>、安保等人员费用</w:t>
      </w:r>
      <w:r>
        <w:rPr>
          <w:rFonts w:hint="eastAsia" w:ascii="仿宋_GB2312" w:hAnsi="仿宋_GB2312" w:eastAsia="仿宋_GB2312" w:cs="仿宋_GB2312"/>
          <w:color w:val="000000"/>
          <w:kern w:val="0"/>
          <w:sz w:val="32"/>
          <w:szCs w:val="32"/>
          <w:u w:val="none"/>
          <w:lang w:val="en-US" w:eastAsia="zh-CN" w:bidi="ar"/>
        </w:rPr>
        <w:t>及活动组织策划工作等</w:t>
      </w:r>
      <w:r>
        <w:rPr>
          <w:rFonts w:hint="eastAsia" w:ascii="仿宋_GB2312" w:hAnsi="仿宋_GB2312" w:eastAsia="仿宋_GB2312" w:cs="仿宋_GB2312"/>
          <w:sz w:val="32"/>
          <w:szCs w:val="32"/>
          <w:highlight w:val="none"/>
          <w:lang w:val="en-US" w:eastAsia="zh-CN"/>
        </w:rPr>
        <w:t>。</w:t>
      </w:r>
    </w:p>
    <w:p>
      <w:pPr>
        <w:numPr>
          <w:ilvl w:val="0"/>
          <w:numId w:val="2"/>
        </w:numPr>
        <w:spacing w:line="560" w:lineRule="exact"/>
        <w:ind w:firstLine="640" w:firstLineChars="200"/>
        <w:jc w:val="left"/>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1.负责活动所需活动策划、</w:t>
      </w:r>
      <w:r>
        <w:rPr>
          <w:rFonts w:hint="eastAsia" w:ascii="仿宋_GB2312" w:hAnsi="仿宋_GB2312" w:eastAsia="仿宋_GB2312" w:cs="仿宋_GB2312"/>
          <w:sz w:val="32"/>
          <w:szCs w:val="32"/>
          <w:highlight w:val="none"/>
          <w:u w:val="none"/>
          <w:lang w:bidi="ar"/>
        </w:rPr>
        <w:t>场地布置</w:t>
      </w:r>
      <w:r>
        <w:rPr>
          <w:rFonts w:hint="eastAsia" w:ascii="仿宋_GB2312" w:hAnsi="仿宋_GB2312" w:eastAsia="仿宋_GB2312" w:cs="仿宋_GB2312"/>
          <w:sz w:val="32"/>
          <w:szCs w:val="32"/>
          <w:highlight w:val="none"/>
          <w:lang w:val="en-US" w:eastAsia="zh-CN"/>
        </w:rPr>
        <w:t>、宣传、活动物料、搭建等；</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2.负责活动现场布置、设备租赁、设计和搭建；完成现场执行工作，组织活动的开展，确保现场参与人员的人身安全；</w:t>
      </w:r>
    </w:p>
    <w:p>
      <w:pPr>
        <w:pStyle w:val="12"/>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3.负责活动所需的设备运输等工作；</w:t>
      </w:r>
    </w:p>
    <w:p>
      <w:pPr>
        <w:tabs>
          <w:tab w:val="left" w:pos="1820"/>
        </w:tabs>
        <w:snapToGrid w:val="0"/>
        <w:spacing w:line="560" w:lineRule="exac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4.负责活动媒体宣传及活动存档等；</w:t>
      </w:r>
    </w:p>
    <w:p>
      <w:pPr>
        <w:tabs>
          <w:tab w:val="left" w:pos="1820"/>
        </w:tabs>
        <w:snapToGrid w:val="0"/>
        <w:spacing w:line="560" w:lineRule="exact"/>
        <w:ind w:firstLine="640" w:firstLineChars="200"/>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5.本次活动的物料以及图文资料所有权归属深圳市龙华区文化广电旅游体育局所有；</w:t>
      </w:r>
    </w:p>
    <w:p>
      <w:pPr>
        <w:keepNext w:val="0"/>
        <w:keepLines w:val="0"/>
        <w:pageBreakBefore w:val="0"/>
        <w:widowControl w:val="0"/>
        <w:tabs>
          <w:tab w:val="left" w:pos="1820"/>
        </w:tabs>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仿宋"/>
          <w:color w:val="auto"/>
          <w:sz w:val="32"/>
          <w:szCs w:val="32"/>
          <w:highlight w:val="none"/>
          <w:lang w:val="en-US" w:eastAsia="zh-CN"/>
        </w:rPr>
      </w:pPr>
      <w:r>
        <w:rPr>
          <w:rFonts w:hint="eastAsia" w:ascii="仿宋_GB2312" w:hAnsi="仿宋" w:eastAsia="仿宋_GB2312" w:cs="仿宋"/>
          <w:color w:val="auto"/>
          <w:sz w:val="32"/>
          <w:szCs w:val="32"/>
          <w:highlight w:val="none"/>
          <w:lang w:val="en-US" w:eastAsia="zh-CN"/>
        </w:rPr>
        <w:t>6.本次活动由供应商购买保险，包含各工作人员、设备等；</w:t>
      </w:r>
    </w:p>
    <w:p>
      <w:pPr>
        <w:numPr>
          <w:ilvl w:val="0"/>
          <w:numId w:val="0"/>
        </w:numPr>
        <w:tabs>
          <w:tab w:val="left" w:pos="1820"/>
        </w:tabs>
        <w:snapToGrid w:val="0"/>
        <w:spacing w:line="560" w:lineRule="exact"/>
        <w:ind w:firstLine="640" w:firstLineChars="200"/>
        <w:jc w:val="left"/>
        <w:rPr>
          <w:rFonts w:hint="eastAsia" w:ascii="楷体_GB2312" w:hAnsi="楷体_GB2312" w:eastAsia="楷体_GB2312" w:cs="楷体_GB2312"/>
          <w:sz w:val="32"/>
          <w:szCs w:val="32"/>
        </w:rPr>
      </w:pPr>
      <w:r>
        <w:rPr>
          <w:rFonts w:hint="eastAsia" w:ascii="仿宋_GB2312" w:hAnsi="仿宋" w:eastAsia="仿宋_GB2312" w:cs="仿宋"/>
          <w:color w:val="auto"/>
          <w:sz w:val="32"/>
          <w:szCs w:val="32"/>
          <w:highlight w:val="none"/>
          <w:lang w:val="en-US" w:eastAsia="zh-CN"/>
        </w:rPr>
        <w:t>7.供应商负责工作人员安全保护责任。</w:t>
      </w:r>
    </w:p>
    <w:p>
      <w:pPr>
        <w:tabs>
          <w:tab w:val="left" w:pos="1820"/>
        </w:tabs>
        <w:snapToGrid w:val="0"/>
        <w:spacing w:line="560" w:lineRule="exact"/>
        <w:ind w:firstLine="640" w:firstLineChars="200"/>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ind w:firstLine="640" w:firstLineChars="200"/>
        <w:jc w:val="left"/>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6"/>
          <w:lang w:val="en-US" w:eastAsia="zh-CN"/>
        </w:rPr>
        <w:t>49.6</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24"/>
        <w:gridCol w:w="2329"/>
        <w:gridCol w:w="941"/>
        <w:gridCol w:w="1009"/>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pStyle w:val="5"/>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2026年龙华区全民广场舞日活动</w:t>
            </w:r>
            <w:r>
              <w:rPr>
                <w:rFonts w:hint="eastAsia" w:ascii="仿宋_GB2312" w:hAnsi="仿宋_GB2312" w:eastAsia="仿宋_GB2312" w:cs="仿宋_GB2312"/>
                <w:sz w:val="32"/>
                <w:szCs w:val="32"/>
                <w:vertAlign w:val="baseli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top"/>
          </w:tcPr>
          <w:p>
            <w:pPr>
              <w:pStyle w:val="5"/>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2329" w:type="dxa"/>
            <w:noWrap w:val="0"/>
            <w:vAlign w:val="top"/>
          </w:tcPr>
          <w:p>
            <w:pPr>
              <w:pStyle w:val="5"/>
              <w:spacing w:after="0" w:line="560" w:lineRule="exact"/>
              <w:ind w:left="0" w:leftChars="0" w:right="0" w:rightChars="0" w:firstLine="0" w:firstLineChars="0"/>
              <w:jc w:val="center"/>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项目</w:t>
            </w:r>
            <w:r>
              <w:rPr>
                <w:rFonts w:hint="eastAsia" w:ascii="仿宋_GB2312" w:hAnsi="仿宋_GB2312" w:eastAsia="仿宋_GB2312" w:cs="仿宋_GB2312"/>
                <w:sz w:val="32"/>
                <w:szCs w:val="32"/>
                <w:vertAlign w:val="baseline"/>
                <w:lang w:val="en-US" w:eastAsia="zh-CN"/>
              </w:rPr>
              <w:t>/内容</w:t>
            </w:r>
          </w:p>
        </w:tc>
        <w:tc>
          <w:tcPr>
            <w:tcW w:w="941" w:type="dxa"/>
            <w:noWrap w:val="0"/>
            <w:vAlign w:val="top"/>
          </w:tcPr>
          <w:p>
            <w:pPr>
              <w:pStyle w:val="5"/>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单位</w:t>
            </w:r>
          </w:p>
        </w:tc>
        <w:tc>
          <w:tcPr>
            <w:tcW w:w="1009" w:type="dxa"/>
            <w:noWrap w:val="0"/>
            <w:vAlign w:val="top"/>
          </w:tcPr>
          <w:p>
            <w:pPr>
              <w:pStyle w:val="5"/>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数量</w:t>
            </w:r>
          </w:p>
        </w:tc>
        <w:tc>
          <w:tcPr>
            <w:tcW w:w="3015" w:type="dxa"/>
            <w:noWrap w:val="0"/>
            <w:vAlign w:val="top"/>
          </w:tcPr>
          <w:p>
            <w:pPr>
              <w:pStyle w:val="5"/>
              <w:spacing w:after="0" w:line="560" w:lineRule="exact"/>
              <w:ind w:left="0" w:leftChars="0" w:right="0" w:rightChars="0" w:firstLine="0" w:firstLineChars="0"/>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仿宋_GB2312" w:hAnsi="仿宋_GB2312" w:eastAsia="仿宋_GB2312" w:cs="仿宋_GB2312"/>
                <w:sz w:val="28"/>
                <w:szCs w:val="28"/>
                <w:vertAlign w:val="baseline"/>
                <w:lang w:eastAsia="zh-CN"/>
              </w:rPr>
            </w:pPr>
            <w:r>
              <w:rPr>
                <w:rFonts w:hint="eastAsia" w:ascii="宋体" w:hAnsi="宋体" w:eastAsia="宋体" w:cs="宋体"/>
                <w:i w:val="0"/>
                <w:iCs w:val="0"/>
                <w:color w:val="000000"/>
                <w:kern w:val="0"/>
                <w:sz w:val="24"/>
                <w:szCs w:val="24"/>
                <w:u w:val="none"/>
                <w:lang w:val="en-US" w:eastAsia="zh-CN" w:bidi="ar"/>
              </w:rPr>
              <w:t>1</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vertAlign w:val="baseline"/>
                <w:lang w:eastAsia="zh-CN" w:bidi="ar"/>
              </w:rPr>
            </w:pPr>
            <w:r>
              <w:rPr>
                <w:rFonts w:hint="eastAsia" w:ascii="宋体" w:hAnsi="宋体" w:eastAsia="宋体" w:cs="宋体"/>
                <w:i w:val="0"/>
                <w:iCs w:val="0"/>
                <w:color w:val="000000"/>
                <w:kern w:val="0"/>
                <w:sz w:val="22"/>
                <w:szCs w:val="22"/>
                <w:u w:val="none"/>
                <w:lang w:val="en-US" w:eastAsia="zh-CN" w:bidi="ar"/>
              </w:rPr>
              <w:t>赛事筹备、策划与组织</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vertAlign w:val="baseline"/>
                <w:lang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color w:val="000000"/>
                <w:kern w:val="0"/>
                <w:sz w:val="22"/>
                <w:szCs w:val="22"/>
                <w:u w:val="none"/>
                <w:vertAlign w:val="baseline"/>
                <w:lang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color w:val="000000"/>
                <w:kern w:val="0"/>
                <w:sz w:val="22"/>
                <w:szCs w:val="22"/>
                <w:u w:val="none"/>
                <w:vertAlign w:val="baseline"/>
                <w:lang w:eastAsia="zh-CN" w:bidi="ar"/>
              </w:rPr>
            </w:pPr>
            <w:r>
              <w:rPr>
                <w:rFonts w:hint="eastAsia" w:ascii="宋体" w:hAnsi="宋体" w:eastAsia="宋体" w:cs="宋体"/>
                <w:i w:val="0"/>
                <w:iCs w:val="0"/>
                <w:color w:val="000000"/>
                <w:kern w:val="0"/>
                <w:sz w:val="22"/>
                <w:szCs w:val="22"/>
                <w:u w:val="none"/>
                <w:lang w:val="en-US" w:eastAsia="zh-CN" w:bidi="ar"/>
              </w:rPr>
              <w:t>赛事筹备、策划与组织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舞美设计及布置</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舞美区域整体设计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宣传物料制作</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套</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海报、活动介绍手卡、易拉宝、活动标识、队旗等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广场舞现场氛围营造</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氛围布置（定制条幅氛围装饰+道旗及道旗底座租赁）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活动桌凳租赁</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休息处和签到处桌凳含桌布，桌子20个*50元/张；椅子50个*20元/把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铁马围挡画面双面</w:t>
            </w:r>
          </w:p>
        </w:tc>
        <w:tc>
          <w:tcPr>
            <w:tcW w:w="941"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580</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铁马围挡画面1.46m*1.72m，布置拆卸，交通运输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打卡点</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4*3m，打卡点设计、制作、运输、安装等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大型赛事气模</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包含20m长*10m宽*7m高赛事连体气模主体一个32200元+直径2m小气模以及支撑架子5套*3000元，含专用鼓风机/防风固定套装/LED氛围灯带以及专业师傅现场安装及拆卸，运输等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线阵列音响</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全频 + 低音+返听+麦克风+线阵全频功放+超低功放+返听功放+调音台+处理器+周边含音箱线、信号线、NL4 接头等1套，含布置，运输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活动灯光</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包含TRUSS 架、灯光柱、光束灯、面光灯、染色灯、切割灯、追光灯、烟机、灯光控台等；含布置，运输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定制奖牌</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定制活动奖牌和证书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文创产品</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650</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定制活动文创产品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急救包</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宣传推广</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包含线上推广、海报制作、摄像摄像、双机位直播等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5</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视频拍摄与制作</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预热视频、6个街道接力视频、总结视频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6</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DJ和MC</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活动当天1天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7</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工作人员</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餐水费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4"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eastAsia" w:ascii="宋体" w:hAnsi="宋体" w:cs="宋体"/>
                <w:i w:val="0"/>
                <w:iCs w:val="0"/>
                <w:color w:val="000000"/>
                <w:kern w:val="0"/>
                <w:sz w:val="24"/>
                <w:szCs w:val="24"/>
                <w:u w:val="none"/>
                <w:lang w:val="en-US" w:eastAsia="zh-CN" w:bidi="ar"/>
              </w:rPr>
              <w:t>8</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技术人员</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每天15人，2天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19</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志愿者</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餐水费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20</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医疗保障人员</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护士4名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21</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安保人员</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人</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现场配备60人安保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22</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表演队伍补贴</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r>
              <w:rPr>
                <w:rFonts w:hint="eastAsia" w:ascii="宋体" w:hAnsi="宋体" w:eastAsia="宋体" w:cs="宋体"/>
                <w:i w:val="0"/>
                <w:iCs w:val="0"/>
                <w:color w:val="000000"/>
                <w:kern w:val="0"/>
                <w:sz w:val="22"/>
                <w:szCs w:val="22"/>
                <w:u w:val="none"/>
                <w:lang w:val="en-US" w:eastAsia="zh-CN" w:bidi="ar"/>
              </w:rPr>
              <w:t>2个节目表演队伍（包含车费</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节目补贴</w:t>
            </w:r>
            <w:r>
              <w:rPr>
                <w:rFonts w:hint="eastAsia" w:ascii="宋体" w:hAnsi="宋体" w:cs="宋体"/>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餐水费）</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w:t>
            </w:r>
            <w:r>
              <w:rPr>
                <w:rFonts w:hint="eastAsia" w:ascii="宋体" w:hAnsi="宋体" w:eastAsia="宋体" w:cs="宋体"/>
                <w:i w:val="0"/>
                <w:iCs w:val="0"/>
                <w:color w:val="000000"/>
                <w:kern w:val="0"/>
                <w:sz w:val="22"/>
                <w:szCs w:val="22"/>
                <w:u w:val="none"/>
                <w:lang w:val="en-US" w:eastAsia="zh-CN" w:bidi="ar"/>
              </w:rPr>
              <w:t>街道</w:t>
            </w:r>
            <w:r>
              <w:rPr>
                <w:rFonts w:hint="eastAsia" w:ascii="宋体" w:hAnsi="宋体" w:cs="宋体"/>
                <w:i w:val="0"/>
                <w:iCs w:val="0"/>
                <w:color w:val="000000"/>
                <w:kern w:val="0"/>
                <w:sz w:val="22"/>
                <w:szCs w:val="22"/>
                <w:u w:val="none"/>
                <w:lang w:val="en-US" w:eastAsia="zh-CN" w:bidi="ar"/>
              </w:rPr>
              <w:t>队伍</w:t>
            </w:r>
            <w:r>
              <w:rPr>
                <w:rFonts w:hint="eastAsia" w:ascii="宋体" w:hAnsi="宋体" w:eastAsia="宋体" w:cs="宋体"/>
                <w:i w:val="0"/>
                <w:iCs w:val="0"/>
                <w:color w:val="000000"/>
                <w:kern w:val="0"/>
                <w:sz w:val="22"/>
                <w:szCs w:val="22"/>
                <w:u w:val="none"/>
                <w:lang w:val="en-US" w:eastAsia="zh-CN" w:bidi="ar"/>
              </w:rPr>
              <w:t>（包含车</w:t>
            </w:r>
            <w:r>
              <w:rPr>
                <w:rFonts w:hint="eastAsia" w:ascii="宋体" w:hAnsi="宋体" w:cs="宋体"/>
                <w:i w:val="0"/>
                <w:iCs w:val="0"/>
                <w:color w:val="000000"/>
                <w:kern w:val="0"/>
                <w:sz w:val="22"/>
                <w:szCs w:val="22"/>
                <w:u w:val="none"/>
                <w:lang w:val="en-US" w:eastAsia="zh-CN" w:bidi="ar"/>
              </w:rPr>
              <w:t>费、</w:t>
            </w:r>
            <w:r>
              <w:rPr>
                <w:rFonts w:hint="eastAsia" w:ascii="宋体" w:hAnsi="宋体" w:eastAsia="宋体" w:cs="宋体"/>
                <w:i w:val="0"/>
                <w:iCs w:val="0"/>
                <w:color w:val="000000"/>
                <w:kern w:val="0"/>
                <w:sz w:val="22"/>
                <w:szCs w:val="22"/>
                <w:u w:val="none"/>
                <w:lang w:val="en-US" w:eastAsia="zh-CN" w:bidi="ar"/>
              </w:rPr>
              <w:t>餐水费）</w:t>
            </w:r>
          </w:p>
          <w:p>
            <w:pPr>
              <w:keepNext w:val="0"/>
              <w:keepLines w:val="0"/>
              <w:widowControl/>
              <w:numPr>
                <w:ilvl w:val="-1"/>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2"/>
                <w:szCs w:val="22"/>
                <w:u w:val="none"/>
                <w:lang w:val="en-US" w:eastAsia="zh-CN" w:bidi="ar"/>
              </w:rPr>
              <w:t>3.达人演出补贴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23</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保洁费</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jc w:val="left"/>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24</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水费</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共200箱，怡宝1箱24瓶，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25</w:t>
            </w:r>
          </w:p>
        </w:tc>
        <w:tc>
          <w:tcPr>
            <w:tcW w:w="232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场地险</w:t>
            </w:r>
          </w:p>
        </w:tc>
        <w:tc>
          <w:tcPr>
            <w:tcW w:w="941"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项</w:t>
            </w:r>
          </w:p>
        </w:tc>
        <w:tc>
          <w:tcPr>
            <w:tcW w:w="1009" w:type="dxa"/>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015" w:type="dxa"/>
            <w:noWrap w:val="0"/>
            <w:vAlign w:val="center"/>
          </w:tcPr>
          <w:p>
            <w:pPr>
              <w:jc w:val="left"/>
              <w:rPr>
                <w:rFonts w:hint="eastAsia" w:ascii="宋体" w:hAnsi="宋体" w:eastAsia="宋体" w:cs="宋体"/>
                <w:i w:val="0"/>
                <w:iCs w:val="0"/>
                <w:color w:val="000000"/>
                <w:kern w:val="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8" w:type="dxa"/>
            <w:gridSpan w:val="5"/>
            <w:noWrap w:val="0"/>
            <w:vAlign w:val="top"/>
          </w:tcPr>
          <w:p>
            <w:pPr>
              <w:pStyle w:val="5"/>
              <w:spacing w:after="0" w:line="560" w:lineRule="exact"/>
              <w:ind w:left="0" w:leftChars="0" w:right="0" w:rightChars="0" w:firstLine="0" w:firstLineChars="0"/>
              <w:jc w:val="left"/>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28"/>
                <w:szCs w:val="28"/>
                <w:u w:val="none"/>
                <w:vertAlign w:val="baseline"/>
                <w:lang w:eastAsia="zh-CN"/>
              </w:rPr>
              <w:t>投标价格（万元）：</w:t>
            </w:r>
            <w:r>
              <w:rPr>
                <w:rFonts w:hint="eastAsia" w:ascii="仿宋_GB2312" w:hAnsi="仿宋_GB2312" w:eastAsia="仿宋_GB2312" w:cs="仿宋_GB2312"/>
                <w:sz w:val="28"/>
                <w:szCs w:val="28"/>
                <w:u w:val="none"/>
                <w:vertAlign w:val="baseline"/>
                <w:lang w:val="en-US" w:eastAsia="zh-CN"/>
              </w:rPr>
              <w:t>_____（以万元为单位，最多保留两位小数）</w:t>
            </w:r>
          </w:p>
        </w:tc>
      </w:tr>
    </w:tbl>
    <w:p>
      <w:pPr>
        <w:spacing w:line="560" w:lineRule="exact"/>
        <w:ind w:firstLine="640" w:firstLineChars="200"/>
        <w:jc w:val="left"/>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2"/>
        <w:spacing w:line="560" w:lineRule="exact"/>
        <w:ind w:firstLine="640"/>
        <w:jc w:val="left"/>
        <w:rPr>
          <w:rFonts w:hint="eastAsia" w:ascii="仿宋_GB2312" w:hAnsi="仿宋" w:eastAsia="仿宋_GB2312" w:cs="仿宋"/>
          <w:sz w:val="32"/>
          <w:szCs w:val="32"/>
          <w:highlight w:val="none"/>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cs="仿宋"/>
          <w:sz w:val="32"/>
          <w:szCs w:val="32"/>
          <w:lang w:eastAsia="zh-CN"/>
        </w:rPr>
        <w:t>，</w:t>
      </w:r>
      <w:r>
        <w:rPr>
          <w:rFonts w:hint="eastAsia" w:ascii="仿宋_GB2312" w:hAnsi="仿宋" w:eastAsia="仿宋_GB2312" w:cs="仿宋"/>
          <w:color w:val="auto"/>
          <w:sz w:val="32"/>
          <w:szCs w:val="32"/>
          <w:highlight w:val="none"/>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2"/>
        <w:spacing w:line="560" w:lineRule="exact"/>
        <w:ind w:firstLine="64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pStyle w:val="12"/>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eastAsia="仿宋_GB2312" w:cs="仿宋"/>
          <w:sz w:val="32"/>
          <w:szCs w:val="32"/>
          <w:highlight w:val="none"/>
          <w:lang w:eastAsia="zh-CN"/>
        </w:rPr>
        <w:t>。</w:t>
      </w:r>
    </w:p>
    <w:p>
      <w:pPr>
        <w:spacing w:line="56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jc w:val="left"/>
        <w:rPr>
          <w:rFonts w:hint="eastAsia" w:ascii="仿宋_GB2312" w:hAnsi="仿宋" w:eastAsia="仿宋_GB2312"/>
          <w:sz w:val="32"/>
          <w:highlight w:val="yellow"/>
          <w:lang w:val="en-US" w:eastAsia="zh-CN"/>
        </w:rPr>
      </w:pPr>
      <w:r>
        <w:rPr>
          <w:rFonts w:hint="eastAsia" w:ascii="仿宋_GB2312" w:hAnsi="仿宋" w:eastAsia="仿宋_GB2312" w:cs="仿宋"/>
          <w:bCs/>
          <w:sz w:val="32"/>
          <w:szCs w:val="32"/>
          <w:highlight w:val="none"/>
        </w:rPr>
        <w:t>综合评分法</w:t>
      </w:r>
    </w:p>
    <w:p>
      <w:pPr>
        <w:spacing w:line="560" w:lineRule="exact"/>
        <w:ind w:firstLine="640" w:firstLineChars="200"/>
        <w:jc w:val="left"/>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3"/>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jc w:val="left"/>
        <w:rPr>
          <w:rFonts w:ascii="楷体_GB2312" w:hAnsi="楷体_GB2312" w:eastAsia="楷体_GB2312" w:cs="楷体_GB2312"/>
          <w:bCs/>
          <w:color w:val="000000"/>
          <w:sz w:val="32"/>
          <w:szCs w:val="32"/>
        </w:rPr>
      </w:pPr>
      <w:r>
        <w:rPr>
          <w:rFonts w:hint="eastAsia" w:ascii="仿宋_GB2312" w:eastAsia="仿宋_GB2312"/>
          <w:color w:val="000000"/>
          <w:sz w:val="32"/>
          <w:szCs w:val="32"/>
        </w:rPr>
        <w:t>采取综合评分标准，平均分最高的投标人为本项目中标人。</w:t>
      </w:r>
    </w:p>
    <w:p>
      <w:pPr>
        <w:pStyle w:val="13"/>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（二）评分权重</w:t>
      </w:r>
    </w:p>
    <w:tbl>
      <w:tblPr>
        <w:tblStyle w:val="9"/>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报价</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45</w:t>
            </w:r>
            <w:r>
              <w:rPr>
                <w:rFonts w:hint="eastAsia" w:ascii="仿宋_GB2312" w:hAnsi="仿宋_GB2312" w:eastAsia="仿宋_GB2312" w:cs="仿宋_GB2312"/>
                <w:b w:val="0"/>
                <w:bCs/>
                <w:szCs w:val="24"/>
              </w:rPr>
              <w:t>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3"/>
              <w:spacing w:line="560" w:lineRule="exact"/>
              <w:jc w:val="left"/>
              <w:rPr>
                <w:rFonts w:ascii="仿宋_GB2312" w:hAnsi="仿宋_GB2312" w:eastAsia="仿宋_GB2312" w:cs="仿宋_GB2312"/>
                <w:b w:val="0"/>
                <w:bCs/>
                <w:szCs w:val="24"/>
              </w:rPr>
            </w:pPr>
            <w:r>
              <w:rPr>
                <w:rFonts w:hint="eastAsia" w:ascii="仿宋_GB2312" w:hAnsi="仿宋_GB2312" w:eastAsia="仿宋_GB2312" w:cs="仿宋_GB2312"/>
                <w:sz w:val="24"/>
                <w:szCs w:val="24"/>
                <w:lang w:val="en-US" w:eastAsia="zh-CN"/>
              </w:rPr>
              <w:t>25</w:t>
            </w:r>
            <w:r>
              <w:rPr>
                <w:rFonts w:hint="eastAsia" w:ascii="仿宋_GB2312" w:hAnsi="仿宋_GB2312" w:eastAsia="仿宋_GB2312" w:cs="仿宋_GB2312"/>
                <w:b w:val="0"/>
                <w:bCs/>
                <w:szCs w:val="24"/>
              </w:rPr>
              <w:t>分</w:t>
            </w:r>
          </w:p>
        </w:tc>
      </w:tr>
    </w:tbl>
    <w:p>
      <w:pPr>
        <w:pStyle w:val="13"/>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0"/>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70"/>
        <w:gridCol w:w="6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143" w:type="dxa"/>
            <w:noWrap w:val="0"/>
            <w:vAlign w:val="center"/>
          </w:tcPr>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w:t>
            </w:r>
            <w:r>
              <w:rPr>
                <w:rFonts w:hint="eastAsia" w:ascii="仿宋_GB2312" w:hAnsi="仿宋_GB2312" w:eastAsia="仿宋_GB2312" w:cs="仿宋_GB2312"/>
                <w:sz w:val="24"/>
                <w:szCs w:val="24"/>
                <w:lang w:val="en-US" w:eastAsia="zh-CN"/>
              </w:rPr>
              <w:t>30</w:t>
            </w:r>
            <w:r>
              <w:rPr>
                <w:rFonts w:hint="eastAsia" w:ascii="仿宋_GB2312" w:hAnsi="仿宋_GB2312" w:eastAsia="仿宋_GB2312" w:cs="仿宋_GB2312"/>
                <w:sz w:val="24"/>
                <w:szCs w:val="24"/>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4"/>
              <w:spacing w:line="560" w:lineRule="exact"/>
              <w:jc w:val="cente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4"/>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highlight w:val="none"/>
                <w:vertAlign w:val="baseline"/>
                <w:lang w:val="en-US" w:eastAsia="zh-CN"/>
              </w:rPr>
              <w:t>25</w:t>
            </w:r>
            <w:r>
              <w:rPr>
                <w:rFonts w:hint="eastAsia" w:ascii="仿宋_GB2312" w:hAnsi="仿宋_GB2312" w:eastAsia="仿宋_GB2312" w:cs="仿宋_GB2312"/>
                <w:sz w:val="24"/>
                <w:szCs w:val="24"/>
                <w:vertAlign w:val="baseline"/>
                <w:lang w:val="en-US" w:eastAsia="zh-CN"/>
              </w:rPr>
              <w:t>分</w:t>
            </w:r>
            <w:r>
              <w:rPr>
                <w:rFonts w:hint="eastAsia" w:ascii="仿宋_GB2312" w:hAnsi="仿宋_GB2312" w:eastAsia="仿宋_GB2312" w:cs="仿宋_GB2312"/>
                <w:sz w:val="24"/>
                <w:szCs w:val="24"/>
                <w:vertAlign w:val="baseline"/>
                <w:lang w:eastAsia="zh-CN"/>
              </w:rPr>
              <w:t>）</w:t>
            </w:r>
          </w:p>
        </w:tc>
        <w:tc>
          <w:tcPr>
            <w:tcW w:w="1170" w:type="dxa"/>
            <w:noWrap w:val="0"/>
            <w:vAlign w:val="top"/>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w:t>
            </w:r>
          </w:p>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因素</w:t>
            </w:r>
          </w:p>
        </w:tc>
        <w:tc>
          <w:tcPr>
            <w:tcW w:w="6143" w:type="dxa"/>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分</w:t>
            </w:r>
            <w:r>
              <w:rPr>
                <w:rFonts w:hint="eastAsia" w:ascii="仿宋_GB2312" w:hAnsi="仿宋_GB2312" w:eastAsia="仿宋_GB2312" w:cs="仿宋_GB2312"/>
                <w:sz w:val="24"/>
                <w:szCs w:val="24"/>
                <w:lang w:eastAsia="zh-CN"/>
              </w:rPr>
              <w:t>）</w:t>
            </w:r>
          </w:p>
        </w:tc>
        <w:tc>
          <w:tcPr>
            <w:tcW w:w="6143" w:type="dxa"/>
            <w:noWrap w:val="0"/>
            <w:vAlign w:val="top"/>
          </w:tcPr>
          <w:p>
            <w:pPr>
              <w:topLinePunct/>
              <w:snapToGrid w:val="0"/>
              <w:spacing w:line="560" w:lineRule="exact"/>
              <w:jc w:val="left"/>
              <w:rPr>
                <w:rFonts w:hint="default"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eastAsia="zh-CN"/>
              </w:rPr>
              <w:t>（一）评审内容：</w:t>
            </w:r>
            <w:r>
              <w:rPr>
                <w:rFonts w:hint="eastAsia" w:ascii="仿宋_GB2312" w:hAnsi="仿宋_GB2312" w:eastAsia="仿宋_GB2312" w:cs="仿宋_GB2312"/>
                <w:b/>
                <w:bCs/>
                <w:sz w:val="24"/>
                <w:szCs w:val="24"/>
                <w:lang w:val="en-US" w:eastAsia="zh-CN"/>
              </w:rPr>
              <w:t xml:space="preserve">   </w:t>
            </w:r>
          </w:p>
          <w:p>
            <w:pPr>
              <w:topLinePunct/>
              <w:snapToGrid w:val="0"/>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每提供一项文体活动</w:t>
            </w:r>
            <w:r>
              <w:rPr>
                <w:rFonts w:hint="eastAsia" w:ascii="仿宋_GB2312" w:hAnsi="仿宋_GB2312" w:eastAsia="仿宋_GB2312" w:cs="仿宋_GB2312"/>
                <w:sz w:val="24"/>
                <w:szCs w:val="24"/>
                <w:lang w:eastAsia="zh-CN"/>
              </w:rPr>
              <w:t>类</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lang w:eastAsia="zh-CN"/>
              </w:rPr>
              <w:t>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10</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一）</w:t>
            </w:r>
            <w:r>
              <w:rPr>
                <w:rFonts w:hint="eastAsia" w:ascii="仿宋_GB2312" w:hAnsi="仿宋_GB2312" w:eastAsia="仿宋_GB2312" w:cs="仿宋_GB2312"/>
                <w:b/>
                <w:bCs/>
                <w:sz w:val="24"/>
                <w:szCs w:val="24"/>
                <w:lang w:eastAsia="zh-CN"/>
              </w:rPr>
              <w:t>评审内容：</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spacing w:line="560" w:lineRule="exact"/>
              <w:jc w:val="left"/>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具有</w:t>
            </w:r>
            <w:r>
              <w:rPr>
                <w:rFonts w:hint="eastAsia" w:ascii="仿宋_GB2312" w:hAnsi="仿宋_GB2312" w:eastAsia="仿宋_GB2312" w:cs="仿宋_GB2312"/>
                <w:sz w:val="24"/>
                <w:szCs w:val="24"/>
                <w:highlight w:val="none"/>
                <w:lang w:eastAsia="zh-CN"/>
              </w:rPr>
              <w:t>艺术</w:t>
            </w:r>
            <w:r>
              <w:rPr>
                <w:rFonts w:hint="eastAsia" w:ascii="仿宋_GB2312" w:hAnsi="仿宋_GB2312" w:eastAsia="仿宋_GB2312" w:cs="仿宋_GB2312"/>
                <w:sz w:val="24"/>
                <w:szCs w:val="24"/>
                <w:lang w:eastAsia="zh-CN"/>
              </w:rPr>
              <w:t>专业本科（或以上）学历，每提供上述一类专业学历的得</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highlight w:val="none"/>
                <w:lang w:eastAsia="zh-CN"/>
              </w:rPr>
              <w:t>本项最高</w:t>
            </w:r>
            <w:r>
              <w:rPr>
                <w:rFonts w:hint="eastAsia" w:ascii="仿宋_GB2312" w:hAnsi="仿宋_GB2312" w:eastAsia="仿宋_GB2312" w:cs="仿宋_GB2312"/>
                <w:sz w:val="24"/>
                <w:szCs w:val="24"/>
                <w:highlight w:val="none"/>
                <w:lang w:val="en-US" w:eastAsia="zh-CN"/>
              </w:rPr>
              <w:t>4分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lang w:eastAsia="zh-CN"/>
              </w:rPr>
              <w:t>（注：同一人不同学历不累计分值）；</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具有</w:t>
            </w:r>
            <w:r>
              <w:rPr>
                <w:rFonts w:hint="eastAsia" w:ascii="仿宋_GB2312" w:hAnsi="仿宋_GB2312" w:eastAsia="仿宋_GB2312" w:cs="仿宋_GB2312"/>
                <w:sz w:val="24"/>
                <w:szCs w:val="24"/>
                <w:lang w:val="en-US" w:eastAsia="zh-CN"/>
              </w:rPr>
              <w:t>广场舞活动项目</w:t>
            </w:r>
            <w:r>
              <w:rPr>
                <w:rFonts w:hint="eastAsia" w:ascii="仿宋_GB2312" w:hAnsi="仿宋_GB2312" w:eastAsia="仿宋_GB2312" w:cs="仿宋_GB2312"/>
                <w:sz w:val="24"/>
                <w:szCs w:val="24"/>
                <w:lang w:eastAsia="zh-CN"/>
              </w:rPr>
              <w:t>有关工作经验，每提供一人得</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同一人具备1、</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项情况的可</w:t>
            </w:r>
            <w:r>
              <w:rPr>
                <w:rFonts w:hint="eastAsia" w:ascii="仿宋_GB2312" w:hAnsi="仿宋_GB2312" w:eastAsia="仿宋_GB2312" w:cs="仿宋_GB2312"/>
                <w:sz w:val="24"/>
                <w:szCs w:val="24"/>
                <w:lang w:val="en-US" w:eastAsia="zh-CN"/>
              </w:rPr>
              <w:t>重复得</w:t>
            </w:r>
            <w:r>
              <w:rPr>
                <w:rFonts w:hint="eastAsia" w:ascii="仿宋_GB2312" w:hAnsi="仿宋_GB2312" w:eastAsia="仿宋_GB2312" w:cs="仿宋_GB2312"/>
                <w:sz w:val="24"/>
                <w:szCs w:val="24"/>
                <w:lang w:eastAsia="zh-CN"/>
              </w:rPr>
              <w:t>分，本项最高得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topLinePunct/>
              <w:snapToGrid w:val="0"/>
              <w:spacing w:line="560" w:lineRule="exact"/>
              <w:jc w:val="left"/>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1.提供学位或学历证书，并提供学信网查询记录，原件备查。</w:t>
            </w:r>
          </w:p>
          <w:p>
            <w:pPr>
              <w:topLinePunct/>
              <w:snapToGrid w:val="0"/>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工作经验需提供合同关键页或其他可以证明的材料，合</w:t>
            </w:r>
            <w:r>
              <w:rPr>
                <w:rFonts w:hint="eastAsia" w:ascii="仿宋_GB2312" w:hAnsi="仿宋_GB2312" w:eastAsia="仿宋_GB2312" w:cs="仿宋_GB2312"/>
                <w:sz w:val="24"/>
                <w:szCs w:val="24"/>
              </w:rPr>
              <w:t>同关键（关键信息包括但不仅限于合同的项目名称、</w:t>
            </w:r>
            <w:r>
              <w:rPr>
                <w:rFonts w:hint="eastAsia" w:ascii="仿宋_GB2312" w:hAnsi="仿宋_GB2312" w:eastAsia="仿宋_GB2312" w:cs="仿宋_GB2312"/>
                <w:sz w:val="24"/>
                <w:szCs w:val="24"/>
                <w:lang w:val="en-US" w:eastAsia="zh-CN"/>
              </w:rPr>
              <w:t>项目负责人/团队成员名字、</w:t>
            </w:r>
            <w:r>
              <w:rPr>
                <w:rFonts w:hint="eastAsia" w:ascii="仿宋_GB2312" w:hAnsi="仿宋_GB2312" w:eastAsia="仿宋_GB2312" w:cs="仿宋_GB2312"/>
                <w:sz w:val="24"/>
                <w:szCs w:val="24"/>
              </w:rPr>
              <w:t>服务内容、</w:t>
            </w:r>
            <w:r>
              <w:rPr>
                <w:rFonts w:hint="eastAsia" w:ascii="仿宋_GB2312" w:hAnsi="仿宋_GB2312" w:eastAsia="仿宋_GB2312" w:cs="仿宋_GB2312"/>
                <w:sz w:val="24"/>
                <w:szCs w:val="24"/>
                <w:lang w:val="en-US" w:eastAsia="zh-CN"/>
              </w:rPr>
              <w:t>合同双方盖章页</w:t>
            </w:r>
            <w:r>
              <w:rPr>
                <w:rFonts w:hint="eastAsia" w:ascii="仿宋_GB2312" w:hAnsi="仿宋_GB2312" w:eastAsia="仿宋_GB2312" w:cs="仿宋_GB2312"/>
                <w:sz w:val="24"/>
                <w:szCs w:val="24"/>
              </w:rPr>
              <w:t>），以及满足评分要求的服务内容。</w:t>
            </w:r>
          </w:p>
          <w:p>
            <w:pPr>
              <w:topLinePunct/>
              <w:snapToGrid w:val="0"/>
              <w:spacing w:line="560" w:lineRule="exact"/>
              <w:jc w:val="lef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3.以上人员近三月社保缴纳记录。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continue"/>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noWrap w:val="0"/>
            <w:vAlign w:val="center"/>
          </w:tcPr>
          <w:p>
            <w:pPr>
              <w:spacing w:line="560" w:lineRule="exact"/>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spacing w:line="560" w:lineRule="exact"/>
              <w:jc w:val="left"/>
              <w:rPr>
                <w:rFonts w:hint="eastAsia"/>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143" w:type="dxa"/>
            <w:noWrap w:val="0"/>
            <w:vAlign w:val="center"/>
          </w:tcPr>
          <w:p>
            <w:pPr>
              <w:topLinePunct/>
              <w:snapToGrid w:val="0"/>
              <w:spacing w:line="560" w:lineRule="exact"/>
              <w:jc w:val="left"/>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topLinePunct/>
              <w:snapToGrid w:val="0"/>
              <w:spacing w:line="560" w:lineRule="exact"/>
              <w:jc w:val="left"/>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（二）评审依据：</w:t>
            </w:r>
          </w:p>
          <w:p>
            <w:pPr>
              <w:topLinePunct/>
              <w:snapToGrid w:val="0"/>
              <w:spacing w:line="560" w:lineRule="exact"/>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8" w:type="dxa"/>
            <w:vMerge w:val="restart"/>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w:t>
            </w:r>
            <w:r>
              <w:rPr>
                <w:rFonts w:hint="eastAsia" w:ascii="仿宋_GB2312" w:hAnsi="仿宋_GB2312" w:eastAsia="仿宋_GB2312" w:cs="仿宋_GB2312"/>
                <w:color w:val="auto"/>
                <w:sz w:val="24"/>
                <w:szCs w:val="24"/>
                <w:highlight w:val="none"/>
                <w:lang w:val="en-US" w:eastAsia="zh-CN"/>
              </w:rPr>
              <w:t>45</w:t>
            </w:r>
            <w:r>
              <w:rPr>
                <w:rFonts w:hint="eastAsia" w:ascii="仿宋_GB2312" w:hAnsi="仿宋_GB2312" w:eastAsia="仿宋_GB2312" w:cs="仿宋_GB2312"/>
                <w:sz w:val="24"/>
                <w:szCs w:val="24"/>
                <w:vertAlign w:val="baseline"/>
                <w:lang w:val="en-US" w:eastAsia="zh-CN"/>
              </w:rPr>
              <w:t>分）</w:t>
            </w:r>
          </w:p>
        </w:tc>
        <w:tc>
          <w:tcPr>
            <w:tcW w:w="1170" w:type="dxa"/>
            <w:tcBorders>
              <w:bottom w:val="single" w:color="auto" w:sz="4" w:space="0"/>
            </w:tcBorders>
            <w:noWrap w:val="0"/>
            <w:vAlign w:val="center"/>
          </w:tcPr>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实</w:t>
            </w:r>
            <w:r>
              <w:rPr>
                <w:rFonts w:hint="eastAsia" w:ascii="仿宋_GB2312" w:hAnsi="仿宋_GB2312" w:eastAsia="仿宋_GB2312" w:cs="仿宋_GB2312"/>
                <w:sz w:val="24"/>
                <w:szCs w:val="24"/>
                <w:lang w:val="en-US" w:eastAsia="zh-CN"/>
              </w:rPr>
              <w:t>施</w:t>
            </w:r>
          </w:p>
          <w:p>
            <w:pPr>
              <w:spacing w:line="560" w:lineRule="exact"/>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方案</w:t>
            </w:r>
          </w:p>
          <w:p>
            <w:pPr>
              <w:spacing w:line="560" w:lineRule="exact"/>
              <w:jc w:val="center"/>
              <w:rPr>
                <w:rFonts w:hint="eastAsia"/>
                <w:lang w:eastAsia="zh-CN"/>
              </w:rPr>
            </w:pP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highlight w:val="none"/>
                <w:lang w:val="en-US" w:eastAsia="zh-CN"/>
              </w:rPr>
              <w:t>25</w:t>
            </w:r>
            <w:r>
              <w:rPr>
                <w:rFonts w:hint="eastAsia" w:ascii="仿宋_GB2312" w:hAnsi="仿宋_GB2312" w:eastAsia="仿宋_GB2312" w:cs="仿宋_GB2312"/>
                <w:sz w:val="24"/>
                <w:szCs w:val="24"/>
                <w:lang w:val="en-US" w:eastAsia="zh-CN"/>
              </w:rPr>
              <w:t>分）</w:t>
            </w:r>
          </w:p>
        </w:tc>
        <w:tc>
          <w:tcPr>
            <w:tcW w:w="6143" w:type="dxa"/>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topLinePunct/>
              <w:snapToGrid w:val="0"/>
              <w:spacing w:line="560" w:lineRule="exact"/>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满足以上任意一项要求得4分，最高得16分，在此基础上，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2.良：项目实施方案内容较丰富、较具体、针对性较强、较科学合理、可操作性较强得7分；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3.中：项目实施方案内容、针对性、可操作性一般得4分；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8" w:type="dxa"/>
            <w:vMerge w:val="continue"/>
            <w:tcBorders>
              <w:right w:val="single" w:color="auto" w:sz="4" w:space="0"/>
            </w:tcBorders>
            <w:noWrap w:val="0"/>
            <w:vAlign w:val="top"/>
          </w:tcPr>
          <w:p>
            <w:pPr>
              <w:spacing w:line="560" w:lineRule="exact"/>
              <w:jc w:val="left"/>
              <w:rPr>
                <w:rFonts w:hint="eastAsia" w:ascii="仿宋_GB2312" w:hAnsi="仿宋_GB2312" w:eastAsia="仿宋_GB2312" w:cs="仿宋_GB2312"/>
                <w:sz w:val="24"/>
                <w:szCs w:val="24"/>
                <w:vertAlign w:val="baseli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560" w:lineRule="exact"/>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项目重点难点分析、应对措施及相关的合理化建议</w:t>
            </w:r>
          </w:p>
          <w:p>
            <w:pPr>
              <w:spacing w:line="560" w:lineRule="exact"/>
              <w:jc w:val="left"/>
              <w:rPr>
                <w:rFonts w:hint="eastAsia"/>
                <w:lang w:eastAsia="zh-CN"/>
              </w:rPr>
            </w:pPr>
            <w:r>
              <w:rPr>
                <w:rFonts w:hint="eastAsia" w:ascii="仿宋_GB2312" w:hAnsi="仿宋_GB2312" w:eastAsia="仿宋_GB2312" w:cs="仿宋_GB2312"/>
                <w:sz w:val="24"/>
                <w:szCs w:val="24"/>
                <w:vertAlign w:val="baseline"/>
                <w:lang w:val="en-US" w:eastAsia="zh-CN"/>
              </w:rPr>
              <w:t>（</w:t>
            </w:r>
            <w:r>
              <w:rPr>
                <w:rFonts w:hint="eastAsia" w:ascii="仿宋_GB2312" w:hAnsi="仿宋_GB2312" w:eastAsia="仿宋_GB2312" w:cs="仿宋_GB2312"/>
                <w:color w:val="auto"/>
                <w:sz w:val="24"/>
                <w:szCs w:val="24"/>
                <w:highlight w:val="none"/>
                <w:lang w:val="en-US" w:eastAsia="zh-CN"/>
              </w:rPr>
              <w:t>20</w:t>
            </w:r>
            <w:r>
              <w:rPr>
                <w:rFonts w:hint="eastAsia" w:ascii="仿宋_GB2312" w:hAnsi="仿宋_GB2312" w:eastAsia="仿宋_GB2312" w:cs="仿宋_GB2312"/>
                <w:sz w:val="24"/>
                <w:szCs w:val="24"/>
                <w:vertAlign w:val="baseline"/>
                <w:lang w:val="en-US" w:eastAsia="zh-CN"/>
              </w:rPr>
              <w:t>分）</w:t>
            </w:r>
          </w:p>
        </w:tc>
        <w:tc>
          <w:tcPr>
            <w:tcW w:w="6143" w:type="dxa"/>
            <w:tcBorders>
              <w:left w:val="single" w:color="auto" w:sz="4" w:space="0"/>
            </w:tcBorders>
            <w:noWrap w:val="0"/>
            <w:vAlign w:val="top"/>
          </w:tcPr>
          <w:p>
            <w:pPr>
              <w:topLinePunct/>
              <w:snapToGrid w:val="0"/>
              <w:spacing w:line="5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3.向招标方提出项目实施具体建议。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根据供应商的具体响应内容按照量化的评审因素指标进一步评审，设定优、良、中、差四个评分标准：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color w:val="auto"/>
                <w:sz w:val="24"/>
                <w:szCs w:val="24"/>
                <w:highlight w:val="none"/>
                <w:lang w:val="en-US" w:eastAsia="zh-CN"/>
              </w:rPr>
              <w:t>8</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w:t>
            </w:r>
            <w:r>
              <w:rPr>
                <w:rFonts w:hint="eastAsia" w:ascii="仿宋_GB2312" w:hAnsi="仿宋_GB2312" w:eastAsia="仿宋_GB2312" w:cs="仿宋_GB2312"/>
                <w:sz w:val="24"/>
                <w:szCs w:val="24"/>
                <w:lang w:eastAsia="zh-CN"/>
              </w:rPr>
              <w:t>丰富</w:t>
            </w:r>
            <w:r>
              <w:rPr>
                <w:rFonts w:hint="eastAsia" w:ascii="仿宋_GB2312" w:hAnsi="仿宋_GB2312" w:eastAsia="仿宋_GB2312" w:cs="仿宋_GB2312"/>
                <w:sz w:val="24"/>
                <w:szCs w:val="24"/>
              </w:rPr>
              <w:t>、针对性较强、可操作性较强，加</w:t>
            </w:r>
            <w:r>
              <w:rPr>
                <w:rFonts w:hint="eastAsia" w:ascii="仿宋_GB2312" w:hAnsi="仿宋_GB2312" w:eastAsia="仿宋_GB2312" w:cs="仿宋_GB2312"/>
                <w:color w:val="auto"/>
                <w:sz w:val="24"/>
                <w:szCs w:val="24"/>
                <w:highlight w:val="none"/>
                <w:lang w:val="en-US" w:eastAsia="zh-CN"/>
              </w:rPr>
              <w:t>6</w:t>
            </w:r>
            <w:r>
              <w:rPr>
                <w:rFonts w:hint="eastAsia" w:ascii="仿宋_GB2312" w:hAnsi="仿宋_GB2312" w:eastAsia="仿宋_GB2312" w:cs="仿宋_GB2312"/>
                <w:sz w:val="24"/>
                <w:szCs w:val="24"/>
              </w:rPr>
              <w:t>分；</w:t>
            </w:r>
          </w:p>
          <w:p>
            <w:pPr>
              <w:spacing w:line="560" w:lineRule="exact"/>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color w:val="auto"/>
                <w:sz w:val="24"/>
                <w:szCs w:val="24"/>
                <w:highlight w:val="none"/>
                <w:lang w:val="en-US" w:eastAsia="zh-CN"/>
              </w:rPr>
              <w:t>4</w:t>
            </w:r>
            <w:r>
              <w:rPr>
                <w:rFonts w:hint="eastAsia" w:ascii="仿宋_GB2312" w:hAnsi="仿宋_GB2312" w:eastAsia="仿宋_GB2312" w:cs="仿宋_GB2312"/>
                <w:sz w:val="24"/>
                <w:szCs w:val="24"/>
              </w:rPr>
              <w:t>分；</w:t>
            </w:r>
          </w:p>
          <w:p>
            <w:pPr>
              <w:keepNext w:val="0"/>
              <w:keepLines w:val="0"/>
              <w:pageBreakBefore w:val="0"/>
              <w:widowControl w:val="0"/>
              <w:snapToGrid/>
              <w:spacing w:line="560" w:lineRule="exact"/>
              <w:ind w:firstLine="0" w:firstLineChars="0"/>
              <w:jc w:val="lef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3"/>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r>
        <w:rPr>
          <w:rFonts w:hint="eastAsia" w:ascii="方正黑体_GBK" w:hAnsi="方正黑体_GBK" w:eastAsia="方正黑体_GBK" w:cs="方正黑体_GBK"/>
          <w:b/>
          <w:bCs w:val="0"/>
          <w:color w:val="auto"/>
          <w:sz w:val="32"/>
          <w:szCs w:val="32"/>
          <w:lang w:eastAsia="zh-CN"/>
        </w:rPr>
        <w:t>（均需每页加盖公章）</w:t>
      </w:r>
    </w:p>
    <w:p>
      <w:pPr>
        <w:spacing w:line="560" w:lineRule="exact"/>
        <w:ind w:firstLine="640" w:firstLineChars="200"/>
        <w:jc w:val="left"/>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jc w:val="left"/>
        <w:rPr>
          <w:sz w:val="32"/>
          <w:szCs w:val="32"/>
        </w:rPr>
      </w:pPr>
      <w:r>
        <w:rPr>
          <w:rFonts w:hint="eastAsia" w:ascii="仿宋_GB2312" w:hAnsi="仿宋" w:eastAsia="仿宋_GB2312" w:cs="Times New Roman"/>
          <w:sz w:val="32"/>
          <w:szCs w:val="32"/>
        </w:rPr>
        <w:t>2.法定代表人身份证复印件；</w:t>
      </w:r>
    </w:p>
    <w:p>
      <w:pPr>
        <w:pStyle w:val="5"/>
        <w:spacing w:after="0" w:line="560" w:lineRule="exact"/>
        <w:ind w:left="0" w:leftChars="0" w:right="0" w:rightChars="0" w:firstLine="640"/>
        <w:jc w:val="left"/>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5"/>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5"/>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5.诚信承诺书（详见附件1）；</w:t>
      </w:r>
    </w:p>
    <w:p>
      <w:pPr>
        <w:pStyle w:val="5"/>
        <w:spacing w:after="0" w:line="560" w:lineRule="exact"/>
        <w:ind w:left="0" w:leftChars="0" w:right="0" w:rightChars="0" w:firstLine="640"/>
        <w:jc w:val="left"/>
        <w:rPr>
          <w:rFonts w:hint="eastAsia" w:ascii="仿宋_GB2312" w:hAnsi="仿宋" w:eastAsia="仿宋_GB2312" w:cs="Times New Roman"/>
          <w:sz w:val="32"/>
          <w:highlight w:val="none"/>
          <w:lang w:eastAsia="zh-CN"/>
        </w:rPr>
      </w:pPr>
      <w:r>
        <w:rPr>
          <w:rFonts w:hint="eastAsia" w:ascii="仿宋_GB2312" w:hAnsi="仿宋" w:eastAsia="仿宋_GB2312" w:cs="Times New Roman"/>
          <w:sz w:val="32"/>
          <w:highlight w:val="none"/>
          <w:lang w:val="en-US" w:eastAsia="zh-CN"/>
        </w:rPr>
        <w:t>6</w:t>
      </w:r>
      <w:r>
        <w:rPr>
          <w:rFonts w:hint="eastAsia" w:ascii="仿宋_GB2312" w:hAnsi="仿宋" w:eastAsia="仿宋_GB2312" w:cs="Times New Roman"/>
          <w:sz w:val="32"/>
          <w:highlight w:val="none"/>
        </w:rPr>
        <w:t>.</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）并提供表中投标（响应）供应商相关人员的近三个月社保缴纳情况，若本月社保未能提供，则提供前三个月的社保情况，如供应商为新成立企业且成立时间不足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p>
    <w:p>
      <w:pPr>
        <w:pStyle w:val="5"/>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spacing w:line="560" w:lineRule="exact"/>
        <w:ind w:firstLine="640" w:firstLineChars="200"/>
        <w:jc w:val="left"/>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5"/>
        <w:spacing w:after="0" w:line="560" w:lineRule="exact"/>
        <w:ind w:left="0" w:leftChars="0" w:right="0" w:rightChars="0" w:firstLine="640"/>
        <w:jc w:val="left"/>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color w:val="auto"/>
          <w:sz w:val="32"/>
          <w:highlight w:val="none"/>
          <w:lang w:val="en-US" w:eastAsia="zh-CN"/>
        </w:rPr>
        <w:t>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b w:val="0"/>
          <w:bCs w:val="0"/>
          <w:i w:val="0"/>
          <w:iCs w:val="0"/>
          <w:caps w:val="0"/>
          <w:color w:val="auto"/>
          <w:spacing w:val="0"/>
          <w:kern w:val="0"/>
          <w:sz w:val="32"/>
          <w:szCs w:val="32"/>
          <w:u w:val="none"/>
          <w:shd w:val="clear" w:fill="FFFFFF"/>
          <w:lang w:val="en-US" w:eastAsia="zh-CN" w:bidi="ar"/>
        </w:rPr>
        <w:t>2026年龙华区全民广场舞日活动</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5"/>
        <w:spacing w:after="0" w:line="560" w:lineRule="exact"/>
        <w:ind w:left="0" w:leftChars="0" w:right="0" w:rightChars="0" w:firstLine="640" w:firstLineChars="200"/>
        <w:jc w:val="left"/>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4"/>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spacing w:line="560" w:lineRule="exact"/>
        <w:ind w:firstLine="640" w:firstLineChars="200"/>
        <w:jc w:val="left"/>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bookmarkStart w:id="2" w:name="_GoBack"/>
      <w:bookmarkEnd w:id="2"/>
      <w:r>
        <w:rPr>
          <w:rFonts w:hint="eastAsia" w:ascii="仿宋_GB2312" w:hAnsi="仿宋" w:eastAsia="仿宋_GB2312" w:cs="Times New Roman"/>
          <w:sz w:val="32"/>
          <w:szCs w:val="22"/>
        </w:rPr>
        <w:t>0755-23338140</w:t>
      </w:r>
    </w:p>
    <w:p>
      <w:pPr>
        <w:pStyle w:val="14"/>
        <w:spacing w:line="560" w:lineRule="exact"/>
        <w:ind w:firstLine="0" w:firstLineChars="0"/>
        <w:rPr>
          <w:rFonts w:hint="default" w:ascii="黑体" w:hAnsi="黑体" w:eastAsia="黑体" w:cs="黑体"/>
          <w:color w:val="000000"/>
          <w:sz w:val="32"/>
          <w:szCs w:val="32"/>
          <w:lang w:val="en-US" w:eastAsia="zh-CN"/>
        </w:rPr>
      </w:pPr>
      <w:r>
        <w:rPr>
          <w:rFonts w:ascii="仿宋_GB2312" w:hAnsi="仿宋" w:eastAsia="仿宋_GB2312" w:cs="Times New Roman"/>
          <w:sz w:val="3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2"/>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4"/>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4"/>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8"/>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0"/>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3"/>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D4AA1"/>
    <w:multiLevelType w:val="singleLevel"/>
    <w:tmpl w:val="114D4AA1"/>
    <w:lvl w:ilvl="0" w:tentative="0">
      <w:start w:val="1"/>
      <w:numFmt w:val="chineseCounting"/>
      <w:suff w:val="nothing"/>
      <w:lvlText w:val="%1、"/>
      <w:lvlJc w:val="left"/>
      <w:rPr>
        <w:rFonts w:hint="eastAsia"/>
      </w:rPr>
    </w:lvl>
  </w:abstractNum>
  <w:abstractNum w:abstractNumId="1">
    <w:nsid w:val="1EC9E9BF"/>
    <w:multiLevelType w:val="singleLevel"/>
    <w:tmpl w:val="1EC9E9B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E2713"/>
    <w:rsid w:val="131E2317"/>
    <w:rsid w:val="1B7927E1"/>
    <w:rsid w:val="2BB86A0D"/>
    <w:rsid w:val="3B312C92"/>
    <w:rsid w:val="42167B41"/>
    <w:rsid w:val="6A8124BB"/>
    <w:rsid w:val="6E4615C0"/>
    <w:rsid w:val="7A043DD4"/>
    <w:rsid w:val="FF2E89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szCs w:val="20"/>
    </w:rPr>
  </w:style>
  <w:style w:type="paragraph" w:styleId="4">
    <w:name w:val="Body Text"/>
    <w:basedOn w:val="1"/>
    <w:next w:val="1"/>
    <w:qFormat/>
    <w:uiPriority w:val="0"/>
    <w:pPr>
      <w:spacing w:after="120"/>
    </w:pPr>
  </w:style>
  <w:style w:type="paragraph" w:styleId="5">
    <w:name w:val="Block Text"/>
    <w:basedOn w:val="1"/>
    <w:qFormat/>
    <w:uiPriority w:val="0"/>
    <w:pPr>
      <w:tabs>
        <w:tab w:val="left" w:pos="426"/>
      </w:tabs>
      <w:spacing w:after="120"/>
      <w:ind w:left="1440" w:leftChars="700" w:right="1440" w:rightChars="700"/>
    </w:pPr>
  </w:style>
  <w:style w:type="paragraph" w:styleId="6">
    <w:name w:val="Plain Text"/>
    <w:basedOn w:val="1"/>
    <w:unhideWhenUsed/>
    <w:qFormat/>
    <w:uiPriority w:val="99"/>
    <w:rPr>
      <w:rFonts w:ascii="宋体" w:hAnsi="Calibri" w:cs="Courier New"/>
      <w:szCs w:val="21"/>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 w:type="paragraph" w:customStyle="1" w:styleId="13">
    <w:name w:val="USE 1"/>
    <w:basedOn w:val="1"/>
    <w:qFormat/>
    <w:uiPriority w:val="0"/>
    <w:pPr>
      <w:spacing w:line="200" w:lineRule="atLeast"/>
      <w:jc w:val="left"/>
    </w:pPr>
    <w:rPr>
      <w:rFonts w:ascii="宋体" w:hAnsi="宋体"/>
      <w:b/>
      <w:sz w:val="24"/>
      <w:szCs w:val="28"/>
    </w:rPr>
  </w:style>
  <w:style w:type="paragraph" w:customStyle="1" w:styleId="14">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4229</Words>
  <Characters>4452</Characters>
  <Lines>0</Lines>
  <Paragraphs>0</Paragraphs>
  <TotalTime>8</TotalTime>
  <ScaleCrop>false</ScaleCrop>
  <LinksUpToDate>false</LinksUpToDate>
  <CharactersWithSpaces>4583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2026-05-27T16:59:00Z</dcterms:created>
  <dc:creator>Administrator</dc:creator>
  <cp:lastModifiedBy>lxy</cp:lastModifiedBy>
  <dcterms:modified xsi:type="dcterms:W3CDTF">2026-05-27T17:26:10Z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KSOTemplateDocerSaveRecord">
    <vt:lpwstr>eyJoZGlkIjoiNDUwOTk5NjBiYjlkZWM3ZDVlMmQzYmJkYzg2YTQwZGUiLCJ1c2VySWQiOiIzNjM1MjI3MjUifQ==</vt:lpwstr>
  </property>
  <property fmtid="{D5CDD505-2E9C-101B-9397-08002B2CF9AE}" pid="4" name="ICV">
    <vt:lpwstr>B4ED3782838745409AAB111AB8DD9C15_12</vt:lpwstr>
  </property>
</Properties>
</file>