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ind w:firstLine="0" w:firstLineChars="0"/>
        <w:jc w:val="left"/>
        <w:rPr>
          <w:rFonts w:hint="eastAsia" w:ascii="方正小标宋简体" w:hAnsi="方正小标宋简体" w:eastAsia="黑体" w:cs="方正小标宋简体"/>
          <w:sz w:val="48"/>
          <w:szCs w:val="48"/>
          <w:lang w:val="en-US" w:eastAsia="zh-CN"/>
        </w:rPr>
      </w:pPr>
      <w:r>
        <w:rPr>
          <w:rFonts w:hint="eastAsia" w:ascii="黑体" w:hAnsi="黑体" w:eastAsia="黑体" w:cs="黑体"/>
          <w:color w:val="000000" w:themeColor="text1"/>
          <w:szCs w:val="32"/>
          <w14:textFill>
            <w14:solidFill>
              <w14:schemeClr w14:val="tx1"/>
            </w14:solidFill>
          </w14:textFill>
        </w:rPr>
        <w:t>附件</w:t>
      </w:r>
      <w:r>
        <w:rPr>
          <w:rFonts w:hint="eastAsia" w:ascii="黑体" w:hAnsi="黑体" w:eastAsia="黑体" w:cs="黑体"/>
          <w:color w:val="000000" w:themeColor="text1"/>
          <w:szCs w:val="32"/>
          <w:lang w:val="en-US" w:eastAsia="zh-CN"/>
          <w14:textFill>
            <w14:solidFill>
              <w14:schemeClr w14:val="tx1"/>
            </w14:solidFill>
          </w14:textFill>
        </w:rPr>
        <w:t>2</w:t>
      </w:r>
    </w:p>
    <w:p>
      <w:pPr>
        <w:ind w:firstLine="960"/>
        <w:jc w:val="left"/>
        <w:rPr>
          <w:rFonts w:hint="eastAsia" w:ascii="方正小标宋简体" w:hAnsi="方正小标宋简体" w:eastAsia="方正小标宋简体" w:cs="方正小标宋简体"/>
          <w:sz w:val="48"/>
          <w:szCs w:val="48"/>
        </w:rPr>
      </w:pPr>
    </w:p>
    <w:p>
      <w:pPr>
        <w:ind w:firstLine="960"/>
        <w:jc w:val="left"/>
        <w:rPr>
          <w:rFonts w:hint="eastAsia" w:ascii="方正小标宋简体" w:hAnsi="方正小标宋简体" w:eastAsia="方正小标宋简体" w:cs="方正小标宋简体"/>
          <w:sz w:val="48"/>
          <w:szCs w:val="48"/>
        </w:rPr>
      </w:pPr>
    </w:p>
    <w:p>
      <w:pPr>
        <w:ind w:firstLine="960"/>
        <w:jc w:val="left"/>
        <w:rPr>
          <w:rFonts w:hint="eastAsia" w:ascii="方正小标宋简体" w:hAnsi="方正小标宋简体" w:eastAsia="方正小标宋简体" w:cs="方正小标宋简体"/>
          <w:sz w:val="48"/>
          <w:szCs w:val="48"/>
        </w:rPr>
      </w:pPr>
    </w:p>
    <w:p>
      <w:pPr>
        <w:spacing w:line="276" w:lineRule="auto"/>
        <w:ind w:firstLine="960"/>
        <w:jc w:val="left"/>
        <w:rPr>
          <w:rFonts w:hint="eastAsia" w:ascii="方正小标宋简体" w:hAnsi="方正小标宋简体" w:eastAsia="方正小标宋简体" w:cs="方正小标宋简体"/>
          <w:sz w:val="48"/>
          <w:szCs w:val="48"/>
        </w:rPr>
      </w:pPr>
    </w:p>
    <w:p>
      <w:pPr>
        <w:spacing w:line="276" w:lineRule="auto"/>
        <w:ind w:firstLine="0" w:firstLineChars="0"/>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深圳市龙华区卫生健康事业发展</w:t>
      </w:r>
    </w:p>
    <w:p>
      <w:pPr>
        <w:spacing w:line="276" w:lineRule="auto"/>
        <w:ind w:firstLine="0" w:firstLineChars="0"/>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“十五五”规划</w:t>
      </w:r>
    </w:p>
    <w:p>
      <w:pPr>
        <w:pStyle w:val="88"/>
        <w:spacing w:line="276" w:lineRule="auto"/>
        <w:ind w:firstLine="0" w:firstLineChars="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（征求意见稿）</w:t>
      </w:r>
    </w:p>
    <w:p>
      <w:pPr>
        <w:pStyle w:val="88"/>
        <w:ind w:firstLine="640"/>
        <w:jc w:val="left"/>
      </w:pPr>
    </w:p>
    <w:p>
      <w:pPr>
        <w:pStyle w:val="88"/>
        <w:ind w:firstLine="640"/>
        <w:jc w:val="left"/>
      </w:pPr>
    </w:p>
    <w:p>
      <w:pPr>
        <w:pStyle w:val="88"/>
        <w:ind w:firstLine="640"/>
        <w:jc w:val="left"/>
      </w:pPr>
    </w:p>
    <w:p>
      <w:pPr>
        <w:pStyle w:val="88"/>
        <w:ind w:firstLine="640"/>
        <w:jc w:val="left"/>
      </w:pPr>
    </w:p>
    <w:p>
      <w:pPr>
        <w:pStyle w:val="88"/>
        <w:ind w:firstLine="640"/>
        <w:jc w:val="left"/>
      </w:pPr>
    </w:p>
    <w:p>
      <w:pPr>
        <w:pStyle w:val="88"/>
        <w:ind w:firstLine="640"/>
        <w:jc w:val="left"/>
      </w:pPr>
    </w:p>
    <w:p>
      <w:pPr>
        <w:pStyle w:val="88"/>
        <w:ind w:firstLine="0" w:firstLineChars="0"/>
        <w:jc w:val="left"/>
      </w:pPr>
    </w:p>
    <w:p>
      <w:pPr>
        <w:pStyle w:val="88"/>
        <w:ind w:firstLine="0" w:firstLineChars="0"/>
        <w:jc w:val="left"/>
      </w:pPr>
    </w:p>
    <w:p>
      <w:pPr>
        <w:pStyle w:val="88"/>
        <w:ind w:firstLine="3520" w:firstLineChars="1100"/>
        <w:jc w:val="left"/>
      </w:pPr>
      <w:r>
        <w:rPr>
          <w:rFonts w:hint="eastAsia"/>
        </w:rPr>
        <w:t>2026年</w:t>
      </w:r>
      <w:r>
        <w:rPr>
          <w:rFonts w:hint="eastAsia"/>
          <w:lang w:val="en-US" w:eastAsia="zh-CN"/>
        </w:rPr>
        <w:t>6</w:t>
      </w:r>
      <w:r>
        <w:rPr>
          <w:rFonts w:hint="eastAsia"/>
        </w:rPr>
        <w:t>月</w:t>
      </w:r>
    </w:p>
    <w:p>
      <w:pPr>
        <w:pStyle w:val="88"/>
        <w:ind w:firstLine="640"/>
        <w:jc w:val="left"/>
      </w:pPr>
      <w:bookmarkStart w:id="120" w:name="_GoBack"/>
      <w:bookmarkEnd w:id="120"/>
    </w:p>
    <w:p>
      <w:pPr>
        <w:pStyle w:val="88"/>
        <w:ind w:firstLine="640"/>
        <w:jc w:val="left"/>
      </w:pPr>
    </w:p>
    <w:p>
      <w:pPr>
        <w:pStyle w:val="61"/>
        <w:ind w:firstLine="4000" w:firstLineChars="1000"/>
        <w:jc w:val="left"/>
        <w:rPr>
          <w:rFonts w:hint="eastAsia"/>
          <w:sz w:val="40"/>
          <w:szCs w:val="32"/>
        </w:rPr>
      </w:pPr>
      <w:r>
        <w:rPr>
          <w:rFonts w:hint="eastAsia"/>
          <w:sz w:val="40"/>
          <w:szCs w:val="32"/>
        </w:rPr>
        <w:t>目录</w:t>
      </w:r>
    </w:p>
    <w:p>
      <w:pPr>
        <w:pStyle w:val="61"/>
        <w:rPr>
          <w:rFonts w:hint="eastAsia" w:asciiTheme="minorHAnsi" w:hAnsiTheme="minorHAnsi" w:eastAsiaTheme="minorEastAsia" w:cstheme="minorBidi"/>
          <w:sz w:val="22"/>
          <w14:ligatures w14:val="standardContextual"/>
        </w:rPr>
      </w:pPr>
      <w:r>
        <w:fldChar w:fldCharType="begin"/>
      </w:r>
      <w:r>
        <w:rPr>
          <w:rFonts w:hint="eastAsia"/>
        </w:rPr>
        <w:instrText xml:space="preserve"> TOC \o "1-3" \h \z \u </w:instrText>
      </w:r>
      <w:r>
        <w:fldChar w:fldCharType="separate"/>
      </w:r>
      <w:r>
        <w:fldChar w:fldCharType="begin"/>
      </w:r>
      <w:r>
        <w:instrText xml:space="preserve"> HYPERLINK \l "_Toc230463235" </w:instrText>
      </w:r>
      <w:r>
        <w:fldChar w:fldCharType="separate"/>
      </w:r>
      <w:r>
        <w:rPr>
          <w:rStyle w:val="94"/>
        </w:rPr>
        <w:t>一、发展基础</w:t>
      </w:r>
      <w:r>
        <w:rPr>
          <w:rFonts w:hint="eastAsia"/>
        </w:rPr>
        <w:tab/>
      </w:r>
      <w:r>
        <w:rPr>
          <w:rFonts w:hint="eastAsia"/>
        </w:rPr>
        <w:fldChar w:fldCharType="begin"/>
      </w:r>
      <w:r>
        <w:rPr>
          <w:rFonts w:hint="eastAsia"/>
        </w:rPr>
        <w:instrText xml:space="preserve"> </w:instrText>
      </w:r>
      <w:r>
        <w:instrText xml:space="preserve">PAGEREF _Toc230463235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61"/>
        <w:rPr>
          <w:rFonts w:hint="eastAsia" w:asciiTheme="minorHAnsi" w:hAnsiTheme="minorHAnsi" w:eastAsiaTheme="minorEastAsia" w:cstheme="minorBidi"/>
          <w:sz w:val="22"/>
          <w14:ligatures w14:val="standardContextual"/>
        </w:rPr>
      </w:pPr>
      <w:r>
        <w:fldChar w:fldCharType="begin"/>
      </w:r>
      <w:r>
        <w:instrText xml:space="preserve"> HYPERLINK \l "_Toc230463236" </w:instrText>
      </w:r>
      <w:r>
        <w:fldChar w:fldCharType="separate"/>
      </w:r>
      <w:r>
        <w:rPr>
          <w:rStyle w:val="94"/>
        </w:rPr>
        <w:t>二、面临形势与存在挑战</w:t>
      </w:r>
      <w:r>
        <w:rPr>
          <w:rFonts w:hint="eastAsia"/>
        </w:rPr>
        <w:tab/>
      </w:r>
      <w:r>
        <w:rPr>
          <w:rFonts w:hint="eastAsia"/>
        </w:rPr>
        <w:fldChar w:fldCharType="begin"/>
      </w:r>
      <w:r>
        <w:rPr>
          <w:rFonts w:hint="eastAsia"/>
        </w:rPr>
        <w:instrText xml:space="preserve"> </w:instrText>
      </w:r>
      <w:r>
        <w:instrText xml:space="preserve">PAGEREF _Toc230463236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pPr>
        <w:pStyle w:val="61"/>
        <w:rPr>
          <w:rFonts w:hint="eastAsia" w:asciiTheme="minorHAnsi" w:hAnsiTheme="minorHAnsi" w:eastAsiaTheme="minorEastAsia" w:cstheme="minorBidi"/>
          <w:sz w:val="22"/>
          <w14:ligatures w14:val="standardContextual"/>
        </w:rPr>
      </w:pPr>
      <w:r>
        <w:fldChar w:fldCharType="begin"/>
      </w:r>
      <w:r>
        <w:instrText xml:space="preserve"> HYPERLINK \l "_Toc230463237" </w:instrText>
      </w:r>
      <w:r>
        <w:fldChar w:fldCharType="separate"/>
      </w:r>
      <w:r>
        <w:rPr>
          <w:rStyle w:val="94"/>
        </w:rPr>
        <w:t>三、指导方针与发展目标</w:t>
      </w:r>
      <w:r>
        <w:rPr>
          <w:rFonts w:hint="eastAsia"/>
        </w:rPr>
        <w:tab/>
      </w:r>
      <w:r>
        <w:rPr>
          <w:rFonts w:hint="eastAsia"/>
        </w:rPr>
        <w:fldChar w:fldCharType="begin"/>
      </w:r>
      <w:r>
        <w:rPr>
          <w:rFonts w:hint="eastAsia"/>
        </w:rPr>
        <w:instrText xml:space="preserve"> </w:instrText>
      </w:r>
      <w:r>
        <w:instrText xml:space="preserve">PAGEREF _Toc230463237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pPr>
        <w:pStyle w:val="76"/>
        <w:tabs>
          <w:tab w:val="right" w:leader="dot" w:pos="8835"/>
        </w:tabs>
        <w:ind w:left="419" w:leftChars="131" w:firstLine="198" w:firstLineChars="62"/>
        <w:rPr>
          <w:rFonts w:hint="eastAsia" w:asciiTheme="minorHAnsi" w:hAnsiTheme="minorHAnsi" w:eastAsiaTheme="minorEastAsia" w:cstheme="minorBidi"/>
          <w:sz w:val="22"/>
          <w14:ligatures w14:val="standardContextual"/>
        </w:rPr>
      </w:pPr>
      <w:r>
        <w:fldChar w:fldCharType="begin"/>
      </w:r>
      <w:r>
        <w:instrText xml:space="preserve"> HYPERLINK \l "_Toc230463238" </w:instrText>
      </w:r>
      <w:r>
        <w:fldChar w:fldCharType="separate"/>
      </w:r>
      <w:r>
        <w:rPr>
          <w:rStyle w:val="94"/>
        </w:rPr>
        <w:t>（一）指导思想</w:t>
      </w:r>
      <w:r>
        <w:rPr>
          <w:rFonts w:hint="eastAsia"/>
        </w:rPr>
        <w:tab/>
      </w:r>
      <w:r>
        <w:rPr>
          <w:rFonts w:hint="eastAsia"/>
        </w:rPr>
        <w:fldChar w:fldCharType="begin"/>
      </w:r>
      <w:r>
        <w:rPr>
          <w:rFonts w:hint="eastAsia"/>
        </w:rPr>
        <w:instrText xml:space="preserve"> </w:instrText>
      </w:r>
      <w:r>
        <w:instrText xml:space="preserve">PAGEREF _Toc230463238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76"/>
        <w:tabs>
          <w:tab w:val="right" w:leader="dot" w:pos="8835"/>
        </w:tabs>
        <w:ind w:left="419" w:leftChars="131" w:firstLine="198" w:firstLineChars="62"/>
        <w:rPr>
          <w:rFonts w:hint="eastAsia" w:asciiTheme="minorHAnsi" w:hAnsiTheme="minorHAnsi" w:eastAsiaTheme="minorEastAsia" w:cstheme="minorBidi"/>
          <w:sz w:val="22"/>
          <w14:ligatures w14:val="standardContextual"/>
        </w:rPr>
      </w:pPr>
      <w:r>
        <w:fldChar w:fldCharType="begin"/>
      </w:r>
      <w:r>
        <w:instrText xml:space="preserve"> HYPERLINK \l "_Toc230463239" </w:instrText>
      </w:r>
      <w:r>
        <w:fldChar w:fldCharType="separate"/>
      </w:r>
      <w:r>
        <w:rPr>
          <w:rStyle w:val="94"/>
        </w:rPr>
        <w:t>（二）基本原则</w:t>
      </w:r>
      <w:r>
        <w:rPr>
          <w:rFonts w:hint="eastAsia"/>
        </w:rPr>
        <w:tab/>
      </w:r>
      <w:r>
        <w:rPr>
          <w:rFonts w:hint="eastAsia"/>
        </w:rPr>
        <w:fldChar w:fldCharType="begin"/>
      </w:r>
      <w:r>
        <w:rPr>
          <w:rFonts w:hint="eastAsia"/>
        </w:rPr>
        <w:instrText xml:space="preserve"> </w:instrText>
      </w:r>
      <w:r>
        <w:instrText xml:space="preserve">PAGEREF _Toc230463239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76"/>
        <w:tabs>
          <w:tab w:val="right" w:leader="dot" w:pos="8835"/>
        </w:tabs>
        <w:ind w:left="419" w:leftChars="131" w:firstLine="198" w:firstLineChars="62"/>
        <w:rPr>
          <w:rFonts w:hint="eastAsia" w:asciiTheme="minorHAnsi" w:hAnsiTheme="minorHAnsi" w:eastAsiaTheme="minorEastAsia" w:cstheme="minorBidi"/>
          <w:sz w:val="22"/>
          <w14:ligatures w14:val="standardContextual"/>
        </w:rPr>
      </w:pPr>
      <w:r>
        <w:fldChar w:fldCharType="begin"/>
      </w:r>
      <w:r>
        <w:instrText xml:space="preserve"> HYPERLINK \l "_Toc230463240" </w:instrText>
      </w:r>
      <w:r>
        <w:fldChar w:fldCharType="separate"/>
      </w:r>
      <w:r>
        <w:rPr>
          <w:rStyle w:val="94"/>
        </w:rPr>
        <w:t>（三）发展目标</w:t>
      </w:r>
      <w:r>
        <w:rPr>
          <w:rFonts w:hint="eastAsia"/>
        </w:rPr>
        <w:tab/>
      </w:r>
      <w:r>
        <w:rPr>
          <w:rFonts w:hint="eastAsia"/>
        </w:rPr>
        <w:fldChar w:fldCharType="begin"/>
      </w:r>
      <w:r>
        <w:rPr>
          <w:rFonts w:hint="eastAsia"/>
        </w:rPr>
        <w:instrText xml:space="preserve"> </w:instrText>
      </w:r>
      <w:r>
        <w:instrText xml:space="preserve">PAGEREF _Toc230463240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61"/>
        <w:rPr>
          <w:rFonts w:hint="eastAsia" w:asciiTheme="minorHAnsi" w:hAnsiTheme="minorHAnsi" w:eastAsiaTheme="minorEastAsia" w:cstheme="minorBidi"/>
          <w:sz w:val="22"/>
          <w14:ligatures w14:val="standardContextual"/>
        </w:rPr>
      </w:pPr>
      <w:r>
        <w:fldChar w:fldCharType="begin"/>
      </w:r>
      <w:r>
        <w:instrText xml:space="preserve"> HYPERLINK \l "_Toc230463241" </w:instrText>
      </w:r>
      <w:r>
        <w:fldChar w:fldCharType="separate"/>
      </w:r>
      <w:r>
        <w:rPr>
          <w:rStyle w:val="94"/>
        </w:rPr>
        <w:t>四、重点任务</w:t>
      </w:r>
      <w:r>
        <w:rPr>
          <w:rFonts w:hint="eastAsia"/>
        </w:rPr>
        <w:tab/>
      </w:r>
      <w:r>
        <w:rPr>
          <w:rFonts w:hint="eastAsia"/>
        </w:rPr>
        <w:fldChar w:fldCharType="begin"/>
      </w:r>
      <w:r>
        <w:rPr>
          <w:rFonts w:hint="eastAsia"/>
        </w:rPr>
        <w:instrText xml:space="preserve"> </w:instrText>
      </w:r>
      <w:r>
        <w:instrText xml:space="preserve">PAGEREF _Toc230463241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pPr>
        <w:pStyle w:val="76"/>
        <w:tabs>
          <w:tab w:val="right" w:leader="dot" w:pos="8835"/>
        </w:tabs>
        <w:ind w:left="419" w:leftChars="131" w:firstLine="198" w:firstLineChars="62"/>
        <w:rPr>
          <w:rFonts w:hint="eastAsia" w:asciiTheme="minorHAnsi" w:hAnsiTheme="minorHAnsi" w:eastAsiaTheme="minorEastAsia" w:cstheme="minorBidi"/>
          <w:sz w:val="22"/>
          <w14:ligatures w14:val="standardContextual"/>
        </w:rPr>
      </w:pPr>
      <w:r>
        <w:rPr>
          <w:rFonts w:hint="eastAsia"/>
        </w:rPr>
        <w:fldChar w:fldCharType="begin"/>
      </w:r>
      <w:r>
        <w:instrText xml:space="preserve"> HYPERLINK \l "_Toc230463242" </w:instrText>
      </w:r>
      <w:r>
        <w:rPr>
          <w:rFonts w:hint="eastAsia"/>
        </w:rPr>
        <w:fldChar w:fldCharType="separate"/>
      </w:r>
      <w:r>
        <w:rPr>
          <w:rStyle w:val="94"/>
        </w:rPr>
        <w:t>（一）高位规划，</w:t>
      </w:r>
      <w:r>
        <w:rPr>
          <w:rStyle w:val="94"/>
          <w:rFonts w:hint="eastAsia"/>
        </w:rPr>
        <w:t>构建更成熟定型的分级诊疗格局</w:t>
      </w:r>
      <w:r>
        <w:rPr>
          <w:rFonts w:hint="eastAsia"/>
        </w:rPr>
        <w:tab/>
      </w:r>
      <w:r>
        <w:rPr>
          <w:rFonts w:hint="eastAsia"/>
        </w:rPr>
        <w:fldChar w:fldCharType="begin"/>
      </w:r>
      <w:r>
        <w:rPr>
          <w:rFonts w:hint="eastAsia"/>
        </w:rPr>
        <w:instrText xml:space="preserve"> </w:instrText>
      </w:r>
      <w:r>
        <w:instrText xml:space="preserve">PAGEREF _Toc230463242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76"/>
        <w:tabs>
          <w:tab w:val="right" w:leader="dot" w:pos="8835"/>
        </w:tabs>
        <w:ind w:left="419" w:leftChars="131" w:firstLine="198" w:firstLineChars="62"/>
        <w:rPr>
          <w:rFonts w:hint="eastAsia" w:asciiTheme="minorHAnsi" w:hAnsiTheme="minorHAnsi" w:eastAsiaTheme="minorEastAsia" w:cstheme="minorBidi"/>
          <w:sz w:val="22"/>
          <w14:ligatures w14:val="standardContextual"/>
        </w:rPr>
      </w:pPr>
      <w:r>
        <w:fldChar w:fldCharType="begin"/>
      </w:r>
      <w:r>
        <w:instrText xml:space="preserve"> HYPERLINK \l "_Toc230463243" </w:instrText>
      </w:r>
      <w:r>
        <w:fldChar w:fldCharType="separate"/>
      </w:r>
      <w:r>
        <w:rPr>
          <w:rStyle w:val="94"/>
          <w:rFonts w:hAnsi="楷体_GB2312" w:cs="楷体_GB2312"/>
        </w:rPr>
        <w:t>（二）做优做强，推动公立医院高质量内涵式发展</w:t>
      </w:r>
      <w:r>
        <w:rPr>
          <w:rFonts w:hint="eastAsia"/>
        </w:rPr>
        <w:tab/>
      </w:r>
      <w:r>
        <w:rPr>
          <w:rFonts w:hint="eastAsia"/>
        </w:rPr>
        <w:fldChar w:fldCharType="begin"/>
      </w:r>
      <w:r>
        <w:rPr>
          <w:rFonts w:hint="eastAsia"/>
        </w:rPr>
        <w:instrText xml:space="preserve"> </w:instrText>
      </w:r>
      <w:r>
        <w:instrText xml:space="preserve">PAGEREF _Toc230463243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76"/>
        <w:tabs>
          <w:tab w:val="right" w:leader="dot" w:pos="8835"/>
        </w:tabs>
        <w:ind w:left="419" w:leftChars="131" w:firstLine="198" w:firstLineChars="62"/>
        <w:rPr>
          <w:rFonts w:hint="eastAsia" w:asciiTheme="minorHAnsi" w:hAnsiTheme="minorHAnsi" w:eastAsiaTheme="minorEastAsia" w:cstheme="minorBidi"/>
          <w:sz w:val="22"/>
          <w14:ligatures w14:val="standardContextual"/>
        </w:rPr>
      </w:pPr>
      <w:r>
        <w:fldChar w:fldCharType="begin"/>
      </w:r>
      <w:r>
        <w:instrText xml:space="preserve"> HYPERLINK \l "_Toc230463244" </w:instrText>
      </w:r>
      <w:r>
        <w:fldChar w:fldCharType="separate"/>
      </w:r>
      <w:r>
        <w:rPr>
          <w:rStyle w:val="94"/>
        </w:rPr>
        <w:t>（三）强基提质，构建优质高效基层社康服务体系</w:t>
      </w:r>
      <w:r>
        <w:rPr>
          <w:rFonts w:hint="eastAsia"/>
        </w:rPr>
        <w:tab/>
      </w:r>
      <w:r>
        <w:rPr>
          <w:rFonts w:hint="eastAsia"/>
        </w:rPr>
        <w:fldChar w:fldCharType="begin"/>
      </w:r>
      <w:r>
        <w:rPr>
          <w:rFonts w:hint="eastAsia"/>
        </w:rPr>
        <w:instrText xml:space="preserve"> </w:instrText>
      </w:r>
      <w:r>
        <w:instrText xml:space="preserve">PAGEREF _Toc230463244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pPr>
        <w:pStyle w:val="76"/>
        <w:tabs>
          <w:tab w:val="right" w:leader="dot" w:pos="8835"/>
        </w:tabs>
        <w:ind w:left="419" w:leftChars="131" w:firstLine="198" w:firstLineChars="62"/>
        <w:rPr>
          <w:rFonts w:hint="eastAsia" w:asciiTheme="minorHAnsi" w:hAnsiTheme="minorHAnsi" w:eastAsiaTheme="minorEastAsia" w:cstheme="minorBidi"/>
          <w:sz w:val="22"/>
          <w14:ligatures w14:val="standardContextual"/>
        </w:rPr>
      </w:pPr>
      <w:r>
        <w:fldChar w:fldCharType="begin"/>
      </w:r>
      <w:r>
        <w:instrText xml:space="preserve"> HYPERLINK \l "_Toc230463245" </w:instrText>
      </w:r>
      <w:r>
        <w:fldChar w:fldCharType="separate"/>
      </w:r>
      <w:r>
        <w:rPr>
          <w:rStyle w:val="94"/>
        </w:rPr>
        <w:t>（四）</w:t>
      </w:r>
      <w:r>
        <w:rPr>
          <w:rStyle w:val="94"/>
          <w:rFonts w:hAnsi="楷体_GB2312" w:cs="楷体_GB2312"/>
        </w:rPr>
        <w:t>传承创新，打造区域中医药服务体系新格局</w:t>
      </w:r>
      <w:r>
        <w:rPr>
          <w:rFonts w:hint="eastAsia"/>
        </w:rPr>
        <w:tab/>
      </w:r>
      <w:r>
        <w:rPr>
          <w:rFonts w:hint="eastAsia"/>
        </w:rPr>
        <w:fldChar w:fldCharType="begin"/>
      </w:r>
      <w:r>
        <w:rPr>
          <w:rFonts w:hint="eastAsia"/>
        </w:rPr>
        <w:instrText xml:space="preserve"> </w:instrText>
      </w:r>
      <w:r>
        <w:instrText xml:space="preserve">PAGEREF _Toc230463245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pPr>
        <w:pStyle w:val="76"/>
        <w:tabs>
          <w:tab w:val="right" w:leader="dot" w:pos="8835"/>
        </w:tabs>
        <w:ind w:left="640" w:firstLine="0" w:firstLineChars="0"/>
        <w:rPr>
          <w:rFonts w:hint="eastAsia" w:asciiTheme="minorHAnsi" w:hAnsiTheme="minorHAnsi" w:eastAsiaTheme="minorEastAsia" w:cstheme="minorBidi"/>
          <w:sz w:val="22"/>
          <w14:ligatures w14:val="standardContextual"/>
        </w:rPr>
      </w:pPr>
      <w:r>
        <w:fldChar w:fldCharType="begin"/>
      </w:r>
      <w:r>
        <w:instrText xml:space="preserve"> HYPERLINK \l "_Toc230463246" </w:instrText>
      </w:r>
      <w:r>
        <w:fldChar w:fldCharType="separate"/>
      </w:r>
      <w:r>
        <w:rPr>
          <w:rStyle w:val="94"/>
        </w:rPr>
        <w:t>（五）健康优先，打造智慧韧性的现代化</w:t>
      </w:r>
      <w:r>
        <w:rPr>
          <w:rStyle w:val="94"/>
          <w:rFonts w:hint="eastAsia"/>
          <w:lang w:eastAsia="zh-CN"/>
        </w:rPr>
        <w:t>“</w:t>
      </w:r>
      <w:r>
        <w:rPr>
          <w:rStyle w:val="94"/>
        </w:rPr>
        <w:t>大公卫</w:t>
      </w:r>
      <w:r>
        <w:rPr>
          <w:rStyle w:val="94"/>
          <w:rFonts w:hint="eastAsia"/>
          <w:lang w:eastAsia="zh-CN"/>
        </w:rPr>
        <w:t>”</w:t>
      </w:r>
      <w:r>
        <w:rPr>
          <w:rStyle w:val="94"/>
        </w:rPr>
        <w:t>体系</w:t>
      </w:r>
      <w:r>
        <w:rPr>
          <w:rFonts w:hint="eastAsia"/>
        </w:rPr>
        <w:tab/>
      </w:r>
      <w:r>
        <w:rPr>
          <w:rFonts w:hint="eastAsia"/>
        </w:rPr>
        <w:fldChar w:fldCharType="begin"/>
      </w:r>
      <w:r>
        <w:rPr>
          <w:rFonts w:hint="eastAsia"/>
        </w:rPr>
        <w:instrText xml:space="preserve"> </w:instrText>
      </w:r>
      <w:r>
        <w:instrText xml:space="preserve">PAGEREF _Toc230463246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pPr>
        <w:pStyle w:val="76"/>
        <w:tabs>
          <w:tab w:val="right" w:leader="dot" w:pos="8835"/>
        </w:tabs>
        <w:ind w:left="640" w:firstLine="0" w:firstLineChars="0"/>
        <w:rPr>
          <w:rFonts w:hint="eastAsia" w:asciiTheme="minorHAnsi" w:hAnsiTheme="minorHAnsi" w:eastAsiaTheme="minorEastAsia" w:cstheme="minorBidi"/>
          <w:sz w:val="22"/>
          <w14:ligatures w14:val="standardContextual"/>
        </w:rPr>
      </w:pPr>
      <w:r>
        <w:fldChar w:fldCharType="begin"/>
      </w:r>
      <w:r>
        <w:instrText xml:space="preserve"> HYPERLINK \l "_Toc230463247" </w:instrText>
      </w:r>
      <w:r>
        <w:fldChar w:fldCharType="separate"/>
      </w:r>
      <w:r>
        <w:rPr>
          <w:rStyle w:val="94"/>
        </w:rPr>
        <w:t>（六）做实创优，系统提升妇幼健康与生育支持服务</w:t>
      </w:r>
      <w:r>
        <w:rPr>
          <w:rFonts w:hint="eastAsia"/>
        </w:rPr>
        <w:tab/>
      </w:r>
      <w:r>
        <w:rPr>
          <w:rFonts w:hint="eastAsia"/>
        </w:rPr>
        <w:fldChar w:fldCharType="begin"/>
      </w:r>
      <w:r>
        <w:rPr>
          <w:rFonts w:hint="eastAsia"/>
        </w:rPr>
        <w:instrText xml:space="preserve"> </w:instrText>
      </w:r>
      <w:r>
        <w:instrText xml:space="preserve">PAGEREF _Toc230463247 \h</w:instrText>
      </w:r>
      <w:r>
        <w:rPr>
          <w:rFonts w:hint="eastAsia"/>
        </w:rPr>
        <w:instrText xml:space="preserve"> </w:instrText>
      </w:r>
      <w:r>
        <w:rPr>
          <w:rFonts w:hint="eastAsia"/>
        </w:rPr>
        <w:fldChar w:fldCharType="separate"/>
      </w:r>
      <w:r>
        <w:t>35</w:t>
      </w:r>
      <w:r>
        <w:rPr>
          <w:rFonts w:hint="eastAsia"/>
        </w:rPr>
        <w:fldChar w:fldCharType="end"/>
      </w:r>
      <w:r>
        <w:rPr>
          <w:rFonts w:hint="eastAsia"/>
        </w:rPr>
        <w:fldChar w:fldCharType="end"/>
      </w:r>
    </w:p>
    <w:p>
      <w:pPr>
        <w:pStyle w:val="76"/>
        <w:tabs>
          <w:tab w:val="right" w:leader="dot" w:pos="8835"/>
        </w:tabs>
        <w:ind w:left="640" w:firstLine="0" w:firstLineChars="0"/>
        <w:rPr>
          <w:rFonts w:hint="eastAsia" w:asciiTheme="minorHAnsi" w:hAnsiTheme="minorHAnsi" w:eastAsiaTheme="minorEastAsia" w:cstheme="minorBidi"/>
          <w:sz w:val="22"/>
          <w14:ligatures w14:val="standardContextual"/>
        </w:rPr>
      </w:pPr>
      <w:r>
        <w:fldChar w:fldCharType="begin"/>
      </w:r>
      <w:r>
        <w:instrText xml:space="preserve"> HYPERLINK \l "_Toc230463248" </w:instrText>
      </w:r>
      <w:r>
        <w:fldChar w:fldCharType="separate"/>
      </w:r>
      <w:r>
        <w:rPr>
          <w:rStyle w:val="94"/>
        </w:rPr>
        <w:t>（七）数智赋能，构建互联互通的智慧健康服务网络</w:t>
      </w:r>
      <w:r>
        <w:rPr>
          <w:rFonts w:hint="eastAsia"/>
        </w:rPr>
        <w:tab/>
      </w:r>
      <w:r>
        <w:rPr>
          <w:rFonts w:hint="eastAsia"/>
        </w:rPr>
        <w:fldChar w:fldCharType="begin"/>
      </w:r>
      <w:r>
        <w:rPr>
          <w:rFonts w:hint="eastAsia"/>
        </w:rPr>
        <w:instrText xml:space="preserve"> </w:instrText>
      </w:r>
      <w:r>
        <w:instrText xml:space="preserve">PAGEREF _Toc230463248 \h</w:instrText>
      </w:r>
      <w:r>
        <w:rPr>
          <w:rFonts w:hint="eastAsia"/>
        </w:rPr>
        <w:instrText xml:space="preserve"> </w:instrText>
      </w:r>
      <w:r>
        <w:rPr>
          <w:rFonts w:hint="eastAsia"/>
        </w:rPr>
        <w:fldChar w:fldCharType="separate"/>
      </w:r>
      <w:r>
        <w:t>39</w:t>
      </w:r>
      <w:r>
        <w:rPr>
          <w:rFonts w:hint="eastAsia"/>
        </w:rPr>
        <w:fldChar w:fldCharType="end"/>
      </w:r>
      <w:r>
        <w:rPr>
          <w:rFonts w:hint="eastAsia"/>
        </w:rPr>
        <w:fldChar w:fldCharType="end"/>
      </w:r>
    </w:p>
    <w:p>
      <w:pPr>
        <w:pStyle w:val="76"/>
        <w:tabs>
          <w:tab w:val="right" w:leader="dot" w:pos="8835"/>
        </w:tabs>
        <w:ind w:left="640" w:firstLine="0" w:firstLineChars="0"/>
        <w:rPr>
          <w:rFonts w:hint="eastAsia" w:asciiTheme="minorHAnsi" w:hAnsiTheme="minorHAnsi" w:eastAsiaTheme="minorEastAsia" w:cstheme="minorBidi"/>
          <w:sz w:val="22"/>
          <w14:ligatures w14:val="standardContextual"/>
        </w:rPr>
      </w:pPr>
      <w:r>
        <w:fldChar w:fldCharType="begin"/>
      </w:r>
      <w:r>
        <w:instrText xml:space="preserve"> HYPERLINK \l "_Toc230463249" </w:instrText>
      </w:r>
      <w:r>
        <w:fldChar w:fldCharType="separate"/>
      </w:r>
      <w:r>
        <w:rPr>
          <w:rStyle w:val="94"/>
        </w:rPr>
        <w:t>（八）夯实根基，建设高素质专业化卫生健康人才队伍</w:t>
      </w:r>
      <w:r>
        <w:rPr>
          <w:rFonts w:hint="eastAsia"/>
        </w:rPr>
        <w:tab/>
      </w:r>
      <w:r>
        <w:rPr>
          <w:rFonts w:hint="eastAsia"/>
        </w:rPr>
        <w:fldChar w:fldCharType="begin"/>
      </w:r>
      <w:r>
        <w:rPr>
          <w:rFonts w:hint="eastAsia"/>
        </w:rPr>
        <w:instrText xml:space="preserve"> </w:instrText>
      </w:r>
      <w:r>
        <w:instrText xml:space="preserve">PAGEREF _Toc230463249 \h</w:instrText>
      </w:r>
      <w:r>
        <w:rPr>
          <w:rFonts w:hint="eastAsia"/>
        </w:rPr>
        <w:instrText xml:space="preserve"> </w:instrText>
      </w:r>
      <w:r>
        <w:rPr>
          <w:rFonts w:hint="eastAsia"/>
        </w:rPr>
        <w:fldChar w:fldCharType="separate"/>
      </w:r>
      <w:r>
        <w:t>42</w:t>
      </w:r>
      <w:r>
        <w:rPr>
          <w:rFonts w:hint="eastAsia"/>
        </w:rPr>
        <w:fldChar w:fldCharType="end"/>
      </w:r>
      <w:r>
        <w:rPr>
          <w:rFonts w:hint="eastAsia"/>
        </w:rPr>
        <w:fldChar w:fldCharType="end"/>
      </w:r>
    </w:p>
    <w:p>
      <w:pPr>
        <w:pStyle w:val="76"/>
        <w:tabs>
          <w:tab w:val="right" w:leader="dot" w:pos="8835"/>
        </w:tabs>
        <w:ind w:left="419" w:leftChars="131" w:firstLine="198" w:firstLineChars="62"/>
        <w:rPr>
          <w:rFonts w:hint="eastAsia" w:asciiTheme="minorHAnsi" w:hAnsiTheme="minorHAnsi" w:eastAsiaTheme="minorEastAsia" w:cstheme="minorBidi"/>
          <w:sz w:val="22"/>
          <w14:ligatures w14:val="standardContextual"/>
        </w:rPr>
      </w:pPr>
      <w:r>
        <w:fldChar w:fldCharType="begin"/>
      </w:r>
      <w:r>
        <w:instrText xml:space="preserve"> HYPERLINK \l "_Toc230463250" </w:instrText>
      </w:r>
      <w:r>
        <w:fldChar w:fldCharType="separate"/>
      </w:r>
      <w:r>
        <w:rPr>
          <w:rStyle w:val="94"/>
        </w:rPr>
        <w:t>（九）党建赋能，打造规范高效卫生健康治理格局</w:t>
      </w:r>
      <w:r>
        <w:rPr>
          <w:rFonts w:hint="eastAsia"/>
        </w:rPr>
        <w:tab/>
      </w:r>
      <w:r>
        <w:rPr>
          <w:rFonts w:hint="eastAsia"/>
        </w:rPr>
        <w:fldChar w:fldCharType="begin"/>
      </w:r>
      <w:r>
        <w:rPr>
          <w:rFonts w:hint="eastAsia"/>
        </w:rPr>
        <w:instrText xml:space="preserve"> </w:instrText>
      </w:r>
      <w:r>
        <w:instrText xml:space="preserve">PAGEREF _Toc230463250 \h</w:instrText>
      </w:r>
      <w:r>
        <w:rPr>
          <w:rFonts w:hint="eastAsia"/>
        </w:rPr>
        <w:instrText xml:space="preserve"> </w:instrText>
      </w:r>
      <w:r>
        <w:rPr>
          <w:rFonts w:hint="eastAsia"/>
        </w:rPr>
        <w:fldChar w:fldCharType="separate"/>
      </w:r>
      <w:r>
        <w:t>45</w:t>
      </w:r>
      <w:r>
        <w:rPr>
          <w:rFonts w:hint="eastAsia"/>
        </w:rPr>
        <w:fldChar w:fldCharType="end"/>
      </w:r>
      <w:r>
        <w:rPr>
          <w:rFonts w:hint="eastAsia"/>
        </w:rPr>
        <w:fldChar w:fldCharType="end"/>
      </w:r>
    </w:p>
    <w:p>
      <w:pPr>
        <w:pStyle w:val="61"/>
        <w:rPr>
          <w:rFonts w:hint="eastAsia" w:asciiTheme="minorHAnsi" w:hAnsiTheme="minorHAnsi" w:eastAsiaTheme="minorEastAsia" w:cstheme="minorBidi"/>
          <w:sz w:val="22"/>
          <w14:ligatures w14:val="standardContextual"/>
        </w:rPr>
      </w:pPr>
      <w:r>
        <w:fldChar w:fldCharType="begin"/>
      </w:r>
      <w:r>
        <w:instrText xml:space="preserve"> HYPERLINK \l "_Toc230463251" </w:instrText>
      </w:r>
      <w:r>
        <w:fldChar w:fldCharType="separate"/>
      </w:r>
      <w:r>
        <w:rPr>
          <w:rStyle w:val="94"/>
        </w:rPr>
        <w:t>五、保障措施</w:t>
      </w:r>
      <w:r>
        <w:rPr>
          <w:rFonts w:hint="eastAsia"/>
        </w:rPr>
        <w:tab/>
      </w:r>
      <w:r>
        <w:rPr>
          <w:rFonts w:hint="eastAsia"/>
        </w:rPr>
        <w:fldChar w:fldCharType="begin"/>
      </w:r>
      <w:r>
        <w:rPr>
          <w:rFonts w:hint="eastAsia"/>
        </w:rPr>
        <w:instrText xml:space="preserve"> </w:instrText>
      </w:r>
      <w:r>
        <w:instrText xml:space="preserve">PAGEREF _Toc230463251 \h</w:instrText>
      </w:r>
      <w:r>
        <w:rPr>
          <w:rFonts w:hint="eastAsia"/>
        </w:rPr>
        <w:instrText xml:space="preserve"> </w:instrText>
      </w:r>
      <w:r>
        <w:rPr>
          <w:rFonts w:hint="eastAsia"/>
        </w:rPr>
        <w:fldChar w:fldCharType="separate"/>
      </w:r>
      <w:r>
        <w:rPr>
          <w:rFonts w:hint="eastAsia"/>
        </w:rPr>
        <w:t>47</w:t>
      </w:r>
      <w:r>
        <w:rPr>
          <w:rFonts w:hint="eastAsia"/>
        </w:rPr>
        <w:fldChar w:fldCharType="end"/>
      </w:r>
      <w:r>
        <w:rPr>
          <w:rFonts w:hint="eastAsia"/>
        </w:rPr>
        <w:fldChar w:fldCharType="end"/>
      </w:r>
    </w:p>
    <w:p>
      <w:pPr>
        <w:pStyle w:val="76"/>
        <w:tabs>
          <w:tab w:val="right" w:leader="dot" w:pos="8835"/>
        </w:tabs>
        <w:ind w:left="419" w:leftChars="131" w:firstLine="198" w:firstLineChars="62"/>
        <w:rPr>
          <w:rFonts w:hint="eastAsia" w:asciiTheme="minorHAnsi" w:hAnsiTheme="minorHAnsi" w:eastAsiaTheme="minorEastAsia" w:cstheme="minorBidi"/>
          <w:sz w:val="22"/>
          <w14:ligatures w14:val="standardContextual"/>
        </w:rPr>
      </w:pPr>
      <w:r>
        <w:fldChar w:fldCharType="begin"/>
      </w:r>
      <w:r>
        <w:instrText xml:space="preserve"> HYPERLINK \l "_Toc230463252" </w:instrText>
      </w:r>
      <w:r>
        <w:fldChar w:fldCharType="separate"/>
      </w:r>
      <w:r>
        <w:rPr>
          <w:rStyle w:val="94"/>
        </w:rPr>
        <w:t>（一）加强组织领导</w:t>
      </w:r>
      <w:r>
        <w:rPr>
          <w:rFonts w:hint="eastAsia"/>
        </w:rPr>
        <w:tab/>
      </w:r>
      <w:r>
        <w:rPr>
          <w:rFonts w:hint="eastAsia"/>
        </w:rPr>
        <w:fldChar w:fldCharType="begin"/>
      </w:r>
      <w:r>
        <w:rPr>
          <w:rFonts w:hint="eastAsia"/>
        </w:rPr>
        <w:instrText xml:space="preserve"> </w:instrText>
      </w:r>
      <w:r>
        <w:instrText xml:space="preserve">PAGEREF _Toc230463252 \h</w:instrText>
      </w:r>
      <w:r>
        <w:rPr>
          <w:rFonts w:hint="eastAsia"/>
        </w:rPr>
        <w:instrText xml:space="preserve"> </w:instrText>
      </w:r>
      <w:r>
        <w:rPr>
          <w:rFonts w:hint="eastAsia"/>
        </w:rPr>
        <w:fldChar w:fldCharType="separate"/>
      </w:r>
      <w:r>
        <w:t>48</w:t>
      </w:r>
      <w:r>
        <w:rPr>
          <w:rFonts w:hint="eastAsia"/>
        </w:rPr>
        <w:fldChar w:fldCharType="end"/>
      </w:r>
      <w:r>
        <w:rPr>
          <w:rFonts w:hint="eastAsia"/>
        </w:rPr>
        <w:fldChar w:fldCharType="end"/>
      </w:r>
    </w:p>
    <w:p>
      <w:pPr>
        <w:pStyle w:val="76"/>
        <w:tabs>
          <w:tab w:val="right" w:leader="dot" w:pos="8835"/>
        </w:tabs>
        <w:ind w:left="419" w:leftChars="131" w:firstLine="198" w:firstLineChars="62"/>
        <w:rPr>
          <w:rFonts w:hint="eastAsia" w:asciiTheme="minorHAnsi" w:hAnsiTheme="minorHAnsi" w:eastAsiaTheme="minorEastAsia" w:cstheme="minorBidi"/>
          <w:sz w:val="22"/>
          <w14:ligatures w14:val="standardContextual"/>
        </w:rPr>
      </w:pPr>
      <w:r>
        <w:fldChar w:fldCharType="begin"/>
      </w:r>
      <w:r>
        <w:instrText xml:space="preserve"> HYPERLINK \l "_Toc230463253" </w:instrText>
      </w:r>
      <w:r>
        <w:fldChar w:fldCharType="separate"/>
      </w:r>
      <w:r>
        <w:rPr>
          <w:rStyle w:val="94"/>
        </w:rPr>
        <w:t>（二）完善财政投入</w:t>
      </w:r>
      <w:r>
        <w:rPr>
          <w:rFonts w:hint="eastAsia"/>
        </w:rPr>
        <w:tab/>
      </w:r>
      <w:r>
        <w:rPr>
          <w:rFonts w:hint="eastAsia"/>
        </w:rPr>
        <w:fldChar w:fldCharType="begin"/>
      </w:r>
      <w:r>
        <w:rPr>
          <w:rFonts w:hint="eastAsia"/>
        </w:rPr>
        <w:instrText xml:space="preserve"> </w:instrText>
      </w:r>
      <w:r>
        <w:instrText xml:space="preserve">PAGEREF _Toc230463253 \h</w:instrText>
      </w:r>
      <w:r>
        <w:rPr>
          <w:rFonts w:hint="eastAsia"/>
        </w:rPr>
        <w:instrText xml:space="preserve"> </w:instrText>
      </w:r>
      <w:r>
        <w:rPr>
          <w:rFonts w:hint="eastAsia"/>
        </w:rPr>
        <w:fldChar w:fldCharType="separate"/>
      </w:r>
      <w:r>
        <w:t>48</w:t>
      </w:r>
      <w:r>
        <w:rPr>
          <w:rFonts w:hint="eastAsia"/>
        </w:rPr>
        <w:fldChar w:fldCharType="end"/>
      </w:r>
      <w:r>
        <w:rPr>
          <w:rFonts w:hint="eastAsia"/>
        </w:rPr>
        <w:fldChar w:fldCharType="end"/>
      </w:r>
    </w:p>
    <w:p>
      <w:pPr>
        <w:pStyle w:val="61"/>
        <w:rPr>
          <w:rFonts w:hint="eastAsia" w:asciiTheme="minorHAnsi" w:hAnsiTheme="minorHAnsi" w:eastAsiaTheme="minorEastAsia" w:cstheme="minorBidi"/>
          <w:sz w:val="22"/>
          <w14:ligatures w14:val="standardContextual"/>
        </w:rPr>
      </w:pPr>
      <w:r>
        <w:rPr>
          <w:rStyle w:val="94"/>
        </w:rPr>
        <w:fldChar w:fldCharType="begin"/>
      </w:r>
      <w:r>
        <w:rPr>
          <w:rStyle w:val="94"/>
        </w:rPr>
        <w:instrText xml:space="preserve"> </w:instrText>
      </w:r>
      <w:r>
        <w:rPr>
          <w:rFonts w:hint="eastAsia"/>
        </w:rPr>
        <w:instrText xml:space="preserve">HYPERLINK \l "_Toc230463254"</w:instrText>
      </w:r>
      <w:r>
        <w:rPr>
          <w:rStyle w:val="94"/>
        </w:rPr>
        <w:instrText xml:space="preserve"> </w:instrText>
      </w:r>
      <w:r>
        <w:rPr>
          <w:rStyle w:val="94"/>
        </w:rPr>
        <w:fldChar w:fldCharType="separate"/>
      </w:r>
      <w:r>
        <w:rPr>
          <w:rStyle w:val="94"/>
          <w:rFonts w:cs="黑体"/>
          <w:lang w:val="en" w:bidi="ar"/>
        </w:rPr>
        <w:t>附件1</w:t>
      </w:r>
      <w:r>
        <w:rPr>
          <w:rStyle w:val="94"/>
          <w:rFonts w:hint="eastAsia" w:cs="黑体"/>
          <w:lang w:val="en" w:bidi="ar"/>
        </w:rPr>
        <w:t xml:space="preserve"> </w:t>
      </w:r>
      <w:r>
        <w:rPr>
          <w:rStyle w:val="94"/>
          <w:rFonts w:cs="黑体"/>
          <w:lang w:val="en" w:bidi="ar"/>
        </w:rPr>
        <w:t>深圳市龙华区卫生健康事业发展“十五五”规划指标解释</w:t>
      </w:r>
      <w:r>
        <w:rPr>
          <w:rFonts w:hint="eastAsia"/>
        </w:rPr>
        <w:tab/>
      </w:r>
      <w:r>
        <w:rPr>
          <w:rFonts w:hint="eastAsia"/>
        </w:rPr>
        <w:fldChar w:fldCharType="begin"/>
      </w:r>
      <w:r>
        <w:rPr>
          <w:rFonts w:hint="eastAsia"/>
        </w:rPr>
        <w:instrText xml:space="preserve"> </w:instrText>
      </w:r>
      <w:r>
        <w:instrText xml:space="preserve">PAGEREF _Toc230463254 \h</w:instrText>
      </w:r>
      <w:r>
        <w:rPr>
          <w:rFonts w:hint="eastAsia"/>
        </w:rPr>
        <w:instrText xml:space="preserve"> </w:instrText>
      </w:r>
      <w:r>
        <w:rPr>
          <w:rFonts w:hint="eastAsia"/>
        </w:rPr>
        <w:fldChar w:fldCharType="separate"/>
      </w:r>
      <w:r>
        <w:rPr>
          <w:rFonts w:hint="eastAsia"/>
        </w:rPr>
        <w:t>50</w:t>
      </w:r>
      <w:r>
        <w:rPr>
          <w:rFonts w:hint="eastAsia"/>
        </w:rPr>
        <w:fldChar w:fldCharType="end"/>
      </w:r>
      <w:r>
        <w:rPr>
          <w:rStyle w:val="94"/>
        </w:rPr>
        <w:fldChar w:fldCharType="end"/>
      </w:r>
    </w:p>
    <w:p>
      <w:pPr>
        <w:pStyle w:val="61"/>
        <w:rPr>
          <w:rFonts w:hint="eastAsia" w:asciiTheme="minorHAnsi" w:hAnsiTheme="minorHAnsi" w:eastAsiaTheme="minorEastAsia" w:cstheme="minorBidi"/>
          <w:sz w:val="22"/>
          <w14:ligatures w14:val="standardContextual"/>
        </w:rPr>
      </w:pPr>
      <w:r>
        <w:rPr>
          <w:rStyle w:val="94"/>
        </w:rPr>
        <w:fldChar w:fldCharType="begin"/>
      </w:r>
      <w:r>
        <w:rPr>
          <w:rStyle w:val="94"/>
        </w:rPr>
        <w:instrText xml:space="preserve"> </w:instrText>
      </w:r>
      <w:r>
        <w:rPr>
          <w:rFonts w:hint="eastAsia"/>
        </w:rPr>
        <w:instrText xml:space="preserve">HYPERLINK \l "_Toc230463255"</w:instrText>
      </w:r>
      <w:r>
        <w:rPr>
          <w:rStyle w:val="94"/>
        </w:rPr>
        <w:instrText xml:space="preserve"> </w:instrText>
      </w:r>
      <w:r>
        <w:rPr>
          <w:rStyle w:val="94"/>
        </w:rPr>
        <w:fldChar w:fldCharType="separate"/>
      </w:r>
      <w:r>
        <w:rPr>
          <w:rStyle w:val="94"/>
          <w:rFonts w:cs="黑体"/>
        </w:rPr>
        <w:t>附件2</w:t>
      </w:r>
      <w:r>
        <w:rPr>
          <w:rStyle w:val="94"/>
          <w:rFonts w:hint="eastAsia" w:cs="黑体"/>
        </w:rPr>
        <w:t xml:space="preserve"> </w:t>
      </w:r>
      <w:r>
        <w:rPr>
          <w:rStyle w:val="94"/>
          <w:rFonts w:cs="黑体"/>
        </w:rPr>
        <w:t>深圳市龙华区卫生健康事业发展“十五五”规划重大项目</w:t>
      </w:r>
      <w:r>
        <w:rPr>
          <w:rFonts w:hint="eastAsia"/>
        </w:rPr>
        <w:tab/>
      </w:r>
      <w:r>
        <w:rPr>
          <w:rFonts w:hint="eastAsia"/>
        </w:rPr>
        <w:fldChar w:fldCharType="begin"/>
      </w:r>
      <w:r>
        <w:rPr>
          <w:rFonts w:hint="eastAsia"/>
        </w:rPr>
        <w:instrText xml:space="preserve"> </w:instrText>
      </w:r>
      <w:r>
        <w:instrText xml:space="preserve">PAGEREF _Toc230463255 \h</w:instrText>
      </w:r>
      <w:r>
        <w:rPr>
          <w:rFonts w:hint="eastAsia"/>
        </w:rPr>
        <w:instrText xml:space="preserve"> </w:instrText>
      </w:r>
      <w:r>
        <w:rPr>
          <w:rFonts w:hint="eastAsia"/>
        </w:rPr>
        <w:fldChar w:fldCharType="separate"/>
      </w:r>
      <w:r>
        <w:rPr>
          <w:rFonts w:hint="eastAsia"/>
        </w:rPr>
        <w:t>55</w:t>
      </w:r>
      <w:r>
        <w:rPr>
          <w:rFonts w:hint="eastAsia"/>
        </w:rPr>
        <w:fldChar w:fldCharType="end"/>
      </w:r>
      <w:r>
        <w:rPr>
          <w:rStyle w:val="94"/>
        </w:rPr>
        <w:fldChar w:fldCharType="end"/>
      </w:r>
    </w:p>
    <w:p>
      <w:pPr>
        <w:pStyle w:val="61"/>
        <w:ind w:firstLine="0" w:firstLineChars="0"/>
        <w:jc w:val="left"/>
        <w:rPr>
          <w:rFonts w:hint="eastAsia" w:hAnsi="仿宋_GB2312" w:cs="仿宋_GB2312"/>
          <w:b/>
          <w:bCs/>
          <w:szCs w:val="32"/>
        </w:rPr>
      </w:pPr>
      <w:r>
        <w:fldChar w:fldCharType="end"/>
      </w:r>
    </w:p>
    <w:p>
      <w:pPr>
        <w:ind w:firstLine="0" w:firstLineChars="0"/>
        <w:jc w:val="left"/>
      </w:pPr>
    </w:p>
    <w:p>
      <w:pPr>
        <w:ind w:firstLine="0" w:firstLineChars="0"/>
        <w:jc w:val="left"/>
      </w:pPr>
    </w:p>
    <w:p>
      <w:pPr>
        <w:ind w:firstLine="0" w:firstLineChars="0"/>
        <w:jc w:val="left"/>
      </w:pPr>
    </w:p>
    <w:p>
      <w:pPr>
        <w:tabs>
          <w:tab w:val="left" w:pos="3564"/>
        </w:tabs>
        <w:ind w:firstLine="0" w:firstLineChars="0"/>
        <w:jc w:val="left"/>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474" w:left="1587" w:header="851" w:footer="992" w:gutter="0"/>
          <w:pgNumType w:fmt="decimal" w:start="1"/>
          <w:cols w:space="0" w:num="1"/>
          <w:docGrid w:type="linesAndChars" w:linePitch="312" w:charSpace="0"/>
        </w:sectPr>
      </w:pPr>
    </w:p>
    <w:p>
      <w:pPr>
        <w:pStyle w:val="88"/>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深圳市龙华区卫生健康事业发展</w:t>
      </w:r>
    </w:p>
    <w:p>
      <w:pPr>
        <w:pStyle w:val="88"/>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“十五五”规划</w:t>
      </w:r>
    </w:p>
    <w:p>
      <w:pPr>
        <w:pStyle w:val="88"/>
        <w:ind w:firstLine="640"/>
        <w:jc w:val="left"/>
        <w:rPr>
          <w:szCs w:val="32"/>
        </w:rPr>
      </w:pPr>
      <w:bookmarkStart w:id="0" w:name="OLE_LINK35"/>
    </w:p>
    <w:p>
      <w:pPr>
        <w:spacing w:after="0"/>
        <w:ind w:firstLine="640"/>
        <w:rPr>
          <w:szCs w:val="32"/>
        </w:rPr>
      </w:pPr>
      <w:bookmarkStart w:id="1" w:name="OLE_LINK6"/>
      <w:r>
        <w:rPr>
          <w:rFonts w:hint="eastAsia"/>
          <w:szCs w:val="32"/>
        </w:rPr>
        <w:t>“十五五”时期（2026—2030年）是龙华区深入践行新时代卫生健康战略、全面建设“健康龙华”的关键攻坚期，也是推动区域医疗能级跃升、打造深圳医疗卫生高地的重要战略窗口期。为加快推进龙华区卫生健康事业高质量、可持续发展，不断提供更优质、更均衡、更有温度的健康服务，依据《“健康中国2030”规划纲要》《深圳市卫生健康事业“十五五”规划》及《龙华区国民经济和社会发展第十五个五年规划纲要》等相关文件，特制定本规划。</w:t>
      </w:r>
    </w:p>
    <w:bookmarkEnd w:id="0"/>
    <w:p>
      <w:pPr>
        <w:pStyle w:val="3"/>
        <w:keepNext w:val="0"/>
        <w:keepLines w:val="0"/>
        <w:spacing w:after="0"/>
        <w:ind w:firstLine="640"/>
      </w:pPr>
      <w:bookmarkStart w:id="2" w:name="_Toc206526475"/>
      <w:bookmarkStart w:id="3" w:name="_Toc230463235"/>
      <w:bookmarkStart w:id="4" w:name="_Toc217379404"/>
      <w:bookmarkStart w:id="5" w:name="OLE_LINK4"/>
      <w:r>
        <w:rPr>
          <w:rFonts w:hint="eastAsia"/>
        </w:rPr>
        <w:t>一、</w:t>
      </w:r>
      <w:bookmarkEnd w:id="2"/>
      <w:bookmarkStart w:id="6" w:name="_Toc206526476"/>
      <w:r>
        <w:rPr>
          <w:rFonts w:hint="eastAsia"/>
        </w:rPr>
        <w:t>发展基础</w:t>
      </w:r>
      <w:bookmarkEnd w:id="3"/>
      <w:bookmarkEnd w:id="4"/>
      <w:bookmarkEnd w:id="6"/>
    </w:p>
    <w:bookmarkEnd w:id="5"/>
    <w:p>
      <w:pPr>
        <w:pStyle w:val="88"/>
        <w:ind w:firstLine="640"/>
        <w:rPr>
          <w:szCs w:val="32"/>
        </w:rPr>
      </w:pPr>
      <w:r>
        <w:rPr>
          <w:rFonts w:hint="eastAsia"/>
          <w:szCs w:val="32"/>
        </w:rPr>
        <w:t>“十四五”时期，龙华区始终坚持以人民健康为中心，实施健康优先发展战略，深化医药卫生体制机制改革，稳步推进重大医疗卫生项目建设。期间群众健康水平持续提升，医疗卫生服务体系不断完善，全生命周期健康管理能力逐步增强，</w:t>
      </w:r>
      <w:r>
        <w:rPr>
          <w:rFonts w:hAnsi="等线" w:cs="仿宋_GB2312"/>
          <w:color w:val="000000" w:themeColor="text1"/>
          <w:szCs w:val="32"/>
          <w:lang w:bidi="ar"/>
          <w14:textFill>
            <w14:solidFill>
              <w14:schemeClr w14:val="tx1"/>
            </w14:solidFill>
          </w14:textFill>
        </w:rPr>
        <w:t>城市公共卫生安全保障能力持续提升，</w:t>
      </w:r>
      <w:r>
        <w:rPr>
          <w:rFonts w:hint="eastAsia"/>
          <w:szCs w:val="32"/>
        </w:rPr>
        <w:t>智慧医疗建设稳步推进，全区卫生健康事业发展取得积极成效，为“十五五”时期推动卫生健康事业高质量发展奠定了坚实基础。</w:t>
      </w:r>
    </w:p>
    <w:p>
      <w:pPr>
        <w:spacing w:after="0"/>
        <w:ind w:firstLine="643"/>
      </w:pPr>
      <w:r>
        <w:rPr>
          <w:b/>
          <w:bCs/>
        </w:rPr>
        <w:t>（一）医疗资源实现历史性飞跃，便民服务与就医体验全面提升。</w:t>
      </w:r>
      <w:r>
        <w:t>市新华医院、市第二儿童医院、市第二人民医院龙华医院等重大医疗卫生项目陆续落地。市人民医院龙华分院、区人民医院外科大楼、区中心医院西区外科大楼等扩建工程完工并投入使用。区妇幼保健院新院（区公共卫生临床中心）、区中医院、区口腔医院等项目顺利启动。全区规模床位达10985张，较</w:t>
      </w:r>
      <w:r>
        <w:rPr>
          <w:rFonts w:hint="eastAsia"/>
        </w:rPr>
        <w:t>“</w:t>
      </w:r>
      <w:r>
        <w:t>十四五</w:t>
      </w:r>
      <w:r>
        <w:rPr>
          <w:rFonts w:hint="eastAsia"/>
        </w:rPr>
        <w:t>”</w:t>
      </w:r>
      <w:r>
        <w:t>初期增长1.58倍。每千常住人口执业（助理）医师2.72人、注册护士3.49人，均较</w:t>
      </w:r>
      <w:r>
        <w:rPr>
          <w:rFonts w:hint="eastAsia"/>
        </w:rPr>
        <w:t>“</w:t>
      </w:r>
      <w:r>
        <w:t>十四五</w:t>
      </w:r>
      <w:r>
        <w:rPr>
          <w:rFonts w:hint="eastAsia"/>
        </w:rPr>
        <w:t>”</w:t>
      </w:r>
      <w:r>
        <w:t>初期实现大幅提升。2025年区人民医院、区中心医院诊疗量分别位居全市医疗机构第一、第三</w:t>
      </w:r>
      <w:r>
        <w:rPr>
          <w:rFonts w:hint="eastAsia"/>
        </w:rPr>
        <w:t>，</w:t>
      </w:r>
      <w:r>
        <w:t>全区诊疗量达到1452万人次，是</w:t>
      </w:r>
      <w:r>
        <w:rPr>
          <w:rFonts w:hint="eastAsia" w:hAnsi="仿宋_GB2312" w:cs="仿宋_GB2312"/>
        </w:rPr>
        <w:t>“十四五”</w:t>
      </w:r>
      <w:r>
        <w:t>初期的2.53倍</w:t>
      </w:r>
      <w:r>
        <w:rPr>
          <w:rFonts w:hint="eastAsia"/>
        </w:rPr>
        <w:t>。惠民方面，</w:t>
      </w:r>
      <w:r>
        <w:t>全市率先试点门诊特定病种待遇认定</w:t>
      </w:r>
      <w:r>
        <w:rPr>
          <w:rFonts w:hint="eastAsia"/>
        </w:rPr>
        <w:t>“</w:t>
      </w:r>
      <w:r>
        <w:t>免申即享</w:t>
      </w:r>
      <w:r>
        <w:rPr>
          <w:rFonts w:hint="eastAsia"/>
        </w:rPr>
        <w:t>”</w:t>
      </w:r>
      <w:r>
        <w:t>，惠及超5000名患者。区人民医院推出</w:t>
      </w:r>
      <w:r>
        <w:rPr>
          <w:rFonts w:hint="eastAsia"/>
        </w:rPr>
        <w:t>“</w:t>
      </w:r>
      <w:r>
        <w:t>全程刷脸就医</w:t>
      </w:r>
      <w:r>
        <w:rPr>
          <w:rFonts w:hint="eastAsia"/>
        </w:rPr>
        <w:t>”</w:t>
      </w:r>
      <w:r>
        <w:t>模式，区中心医院试点</w:t>
      </w:r>
      <w:r>
        <w:rPr>
          <w:rFonts w:hint="eastAsia"/>
        </w:rPr>
        <w:t>“</w:t>
      </w:r>
      <w:r>
        <w:t>无陪护病房</w:t>
      </w:r>
      <w:r>
        <w:rPr>
          <w:rFonts w:hint="eastAsia"/>
        </w:rPr>
        <w:t>”</w:t>
      </w:r>
      <w:r>
        <w:t>服务，区</w:t>
      </w:r>
      <w:r>
        <w:rPr>
          <w:rFonts w:hint="eastAsia"/>
        </w:rPr>
        <w:t>妇幼保健院</w:t>
      </w:r>
      <w:r>
        <w:t>创新</w:t>
      </w:r>
      <w:r>
        <w:rPr>
          <w:rFonts w:hint="eastAsia"/>
        </w:rPr>
        <w:t>“</w:t>
      </w:r>
      <w:r>
        <w:t>群众诉求服务站</w:t>
      </w:r>
      <w:r>
        <w:rPr>
          <w:rFonts w:hint="eastAsia"/>
        </w:rPr>
        <w:t>”</w:t>
      </w:r>
      <w:r>
        <w:t>，辖区患者就医体验进一步优化</w:t>
      </w:r>
      <w:r>
        <w:rPr>
          <w:rFonts w:hint="eastAsia"/>
        </w:rPr>
        <w:t>。</w:t>
      </w:r>
      <w:r>
        <w:t>创新推行</w:t>
      </w:r>
      <w:r>
        <w:rPr>
          <w:rFonts w:hint="eastAsia"/>
        </w:rPr>
        <w:t>“</w:t>
      </w:r>
      <w:r>
        <w:t>集中打包、规模采购</w:t>
      </w:r>
      <w:r>
        <w:rPr>
          <w:rFonts w:hint="eastAsia"/>
        </w:rPr>
        <w:t>”</w:t>
      </w:r>
      <w:r>
        <w:t>模式，开展医疗设备、医用耗材及设备维保的区级批量集采，累计节约采购资金</w:t>
      </w:r>
      <w:r>
        <w:rPr>
          <w:rFonts w:hint="eastAsia"/>
        </w:rPr>
        <w:t>超2000</w:t>
      </w:r>
      <w:r>
        <w:t>万元。</w:t>
      </w:r>
    </w:p>
    <w:p>
      <w:pPr>
        <w:spacing w:after="0"/>
        <w:ind w:firstLine="643"/>
      </w:pPr>
      <w:bookmarkStart w:id="7" w:name="OLE_LINK86"/>
      <w:r>
        <w:rPr>
          <w:b/>
          <w:bCs/>
        </w:rPr>
        <w:t>（二）医疗水平与人才协同突破，三甲创建及学科建设成效显著。</w:t>
      </w:r>
      <w:r>
        <w:t>区属医院综合实力持续增强，区人民医院、区中心医院成功创建三级甲等医院，我区在全市率先完成区属综合医院三甲全覆盖。区妇幼保健院通过三级专科医院评审，实现专科医院发展质的突破。3家区属医院完成胸痛、卒中、创伤、危重孕产妇救治、危重儿童和新生儿救治等急诊急救</w:t>
      </w:r>
      <w:r>
        <w:rPr>
          <w:rFonts w:hint="eastAsia"/>
        </w:rPr>
        <w:t>“</w:t>
      </w:r>
      <w:r>
        <w:t>五大中心</w:t>
      </w:r>
      <w:r>
        <w:rPr>
          <w:rFonts w:hint="eastAsia"/>
        </w:rPr>
        <w:t>”</w:t>
      </w:r>
      <w:r>
        <w:t>建设，全区医疗服务水平全面提升。在2024年国家三级公立医院绩效考核中，区人民医院获评A等级，区妇幼保健院获A+等级，</w:t>
      </w:r>
      <w:r>
        <w:rPr>
          <w:rFonts w:hint="eastAsia"/>
        </w:rPr>
        <w:t>跻身</w:t>
      </w:r>
      <w:r>
        <w:t>全国公立医院第一梯队。学科建设取得扎实进展，区中心医院全科医学科获评市级重点学科，区妇幼保健院孕产保健、新生儿保健、更年期保健3个学科入选市级特色专科建设单位，区人民医院全科医学科和口腔科建成区级品牌重点学科。在全市学科科技量值排名中，共有21个学科进入前10。人才与科研协同发力，区人民医院建成省级博士后创新实践基地和全市唯一全国医疗质量管理培训基地，并成功推动南方科技大学全科医学院落地。累计引进高层次医学团队20个，开展高难度手术258例；68人获聘市级人才、213人获区级人才；承担国家级项目13项、省级48项，获授权专利542项，继续教育项目立项360项。</w:t>
      </w:r>
    </w:p>
    <w:bookmarkEnd w:id="7"/>
    <w:p>
      <w:pPr>
        <w:spacing w:after="0"/>
        <w:ind w:firstLine="643"/>
        <w:rPr>
          <w:rFonts w:hint="eastAsia" w:hAnsi="仿宋_GB2312" w:cs="仿宋_GB2312"/>
        </w:rPr>
      </w:pPr>
      <w:r>
        <w:rPr>
          <w:b/>
          <w:bCs/>
        </w:rPr>
        <w:t>（三）院社融合发展模式成全国典范，基层医疗卫生服务体系进一步筑牢。</w:t>
      </w:r>
      <w:r>
        <w:t>成功获批省级基层卫生健康综合试验区建设单位，医院与社康机构融合发展机制入选全国基层卫生综合改革典型案例，3项院社融合案例获评市级优秀典范。全区社康机构数量从</w:t>
      </w:r>
      <w:r>
        <w:rPr>
          <w:rFonts w:hint="eastAsia" w:hAnsi="仿宋_GB2312" w:cs="仿宋_GB2312"/>
        </w:rPr>
        <w:t>“十四五”</w:t>
      </w:r>
      <w:r>
        <w:t>初期的85家增至135家，平均每个社区社康数达1.96家。全市率先出台公办社康设备配置方案，47家社康机构服务能力达到国家标准，24家社康机构服务能力达到国家推荐标准。2024年，我区社康机构诊疗量、社区健康管理服务绩效考核均居全市第一，2025年社康机构诊疗量占区属医疗机构总诊疗量达66.93%并连续3年保持10%以上的增长速度。家庭医生全人群签约率55.9%、重点人群签约率96.2%，居民健康管理连续6年位居全市第一，分级诊疗指标全国领先。</w:t>
      </w:r>
      <w:r>
        <w:rPr>
          <w:rFonts w:hint="eastAsia" w:hAnsi="仿宋_GB2312" w:cs="仿宋_GB2312"/>
        </w:rPr>
        <w:t>“十分钟社康圈”</w:t>
      </w:r>
      <w:r>
        <w:t>覆盖全区，基本实现</w:t>
      </w:r>
      <w:r>
        <w:rPr>
          <w:rFonts w:hint="eastAsia" w:hAnsi="仿宋_GB2312" w:cs="仿宋_GB2312"/>
        </w:rPr>
        <w:t>“大病到医院、小病到社康”的分级诊疗目标。</w:t>
      </w:r>
    </w:p>
    <w:p>
      <w:pPr>
        <w:spacing w:after="0"/>
        <w:ind w:firstLine="643"/>
      </w:pPr>
      <w:r>
        <w:rPr>
          <w:b/>
          <w:bCs/>
        </w:rPr>
        <w:t>（四）</w:t>
      </w:r>
      <w:r>
        <w:rPr>
          <w:rFonts w:hAnsi="仿宋_GB2312" w:cs="仿宋_GB2312"/>
          <w:b/>
          <w:bCs/>
        </w:rPr>
        <w:t>“</w:t>
      </w:r>
      <w:r>
        <w:rPr>
          <w:b/>
          <w:bCs/>
        </w:rPr>
        <w:t>大疾控</w:t>
      </w:r>
      <w:r>
        <w:rPr>
          <w:rFonts w:hAnsi="仿宋_GB2312" w:cs="仿宋_GB2312"/>
          <w:b/>
          <w:bCs/>
        </w:rPr>
        <w:t>”</w:t>
      </w:r>
      <w:r>
        <w:rPr>
          <w:b/>
          <w:bCs/>
        </w:rPr>
        <w:t>体系初步建成，公共卫生服务保障能力稳步增强。</w:t>
      </w:r>
      <w:r>
        <w:rPr>
          <w:rFonts w:hint="eastAsia" w:hAnsi="仿宋_GB2312" w:cs="仿宋_GB2312"/>
        </w:rPr>
        <w:t>成功应对新冠疫情冲击，有效防控登革热、基孔肯雅热等疾病的传播与扩散。挂牌成立区疾病预防控制局，完成区疾控中心与区卫监所机构整合，疾控机构硬件与人才保障持续完善，实验室新增高通量测序仪等先进设备，检测项目超过200项，具备职业卫生技术服务资质。形成“疾控+街道+社区”三级公共卫生体系，实现街道疾控分中心、社区公共卫生委员会全覆盖，持续深化医防协同机制，创新实施传染病疫情“分级分类”事件处置模式，推行疾控监督员制度试点。基本公共卫生服务考核位居全市前列，国家慢性病综合防控示范区复审成绩位居全国第二，精神卫生综合管理获得省级奖项，结核病志愿者宣传荣获国家级团队和全国最美防痨人、连续7次荣获省优秀组织单位，公共卫生安全保障能力显著增强。</w:t>
      </w:r>
    </w:p>
    <w:p>
      <w:pPr>
        <w:spacing w:after="0"/>
        <w:ind w:firstLine="643"/>
      </w:pPr>
      <w:r>
        <w:rPr>
          <w:b/>
          <w:bCs/>
        </w:rPr>
        <w:t>（五）</w:t>
      </w:r>
      <w:r>
        <w:rPr>
          <w:rFonts w:hint="eastAsia" w:hAnsi="仿宋_GB2312" w:cs="仿宋_GB2312"/>
          <w:b/>
          <w:bCs/>
        </w:rPr>
        <w:t>“健康龙华”</w:t>
      </w:r>
      <w:r>
        <w:rPr>
          <w:b/>
          <w:bCs/>
        </w:rPr>
        <w:t>建设成效显著，生育友好工作持续向好。</w:t>
      </w:r>
      <w:r>
        <w:t>居民健康水平稳步提升，居民健康素养水平从47.57%提升至51.77%，连续6年超过全市平均水平。</w:t>
      </w:r>
      <w:r>
        <w:rPr>
          <w:rFonts w:hint="eastAsia" w:hAnsi="仿宋_GB2312" w:cs="仿宋_GB2312"/>
        </w:rPr>
        <w:t>“万步有约”成绩连续6年全省第一，成为龙华区全民健康特色品牌。深入推进健康影响评价试点，建成各类健康场所347家，“1+6+N”健康体验馆成为健康科普核心阵地。重点人群健康服务持续优化，新生儿死亡率、婴儿死亡率和5岁以下儿童死亡率均控制在较低水平，65岁及以上老年人健康管理率达98.76%，连续6年位列全市考核第一。重点癌症早诊率达65%，高血压、糖尿病、肺结核患者规范管理率分别达到69.92%、74.25%和96.6%，居民整体健康水平显著提升。育幼服务体系初见成效，全区可提供托位16164个，千人托位数达6.26个，托育服务设施社区覆盖率达到100%。</w:t>
      </w:r>
    </w:p>
    <w:p>
      <w:pPr>
        <w:spacing w:after="0"/>
        <w:ind w:firstLine="643"/>
      </w:pPr>
      <w:r>
        <w:rPr>
          <w:b/>
          <w:bCs/>
        </w:rPr>
        <w:t>（六）</w:t>
      </w:r>
      <w:r>
        <w:rPr>
          <w:rFonts w:hint="eastAsia" w:hAnsi="仿宋_GB2312" w:cs="仿宋_GB2312"/>
          <w:b/>
          <w:bCs/>
        </w:rPr>
        <w:t>“数字龙华”</w:t>
      </w:r>
      <w:r>
        <w:rPr>
          <w:b/>
          <w:bCs/>
        </w:rPr>
        <w:t>持续贡献卫生力量，智慧医疗服务体系不断完善。</w:t>
      </w:r>
      <w:r>
        <w:rPr>
          <w:rFonts w:hint="eastAsia" w:hAnsi="仿宋_GB2312" w:cs="仿宋_GB2312"/>
        </w:rPr>
        <w:t>高标准推进“智慧医疗114工程”，建成区级卫生专网、数据中心等基础设施，上线全民健康信息平台、区域临床集成平台（CDR）等10大项目44个子项目。创新开发全国首套公卫督导管理系统，成功入选2025年国家基本公共卫生服务典型案例。建成全省首家诊所综合监管平台及全市首个医防融合路径化系统、网格重点人群精细化管理系统、家庭医生签约服务质量监测及评价系统。3家区属医院成功创建为互联网医院，区人民医院电子病历应用水平达到5级，全域通过国家医疗健康信息互联互通标准化成熟度四级认定。依托“龙华家医”APP，推进AI在智能导诊、病例质控等场景的深度应用，打造全国首个“AI+产前超声系统”，辖区医疗服务智慧化水平显著提高。</w:t>
      </w:r>
    </w:p>
    <w:bookmarkEnd w:id="1"/>
    <w:p>
      <w:pPr>
        <w:pStyle w:val="3"/>
        <w:keepNext w:val="0"/>
        <w:keepLines w:val="0"/>
        <w:spacing w:after="0"/>
        <w:ind w:left="640" w:firstLine="0" w:firstLineChars="0"/>
      </w:pPr>
      <w:bookmarkStart w:id="8" w:name="_Toc230463236"/>
      <w:bookmarkStart w:id="9" w:name="_Toc217379405"/>
      <w:r>
        <w:rPr>
          <w:rFonts w:hint="eastAsia"/>
        </w:rPr>
        <w:t>二、面临形势与存在挑战</w:t>
      </w:r>
      <w:bookmarkEnd w:id="8"/>
      <w:bookmarkEnd w:id="9"/>
    </w:p>
    <w:p>
      <w:pPr>
        <w:spacing w:after="0"/>
        <w:ind w:firstLine="643"/>
      </w:pPr>
      <w:r>
        <w:rPr>
          <w:rFonts w:hint="eastAsia"/>
          <w:b/>
          <w:bCs/>
        </w:rPr>
        <w:t>切实紧跟健康中国战略部署提出的新要求。</w:t>
      </w:r>
      <w:r>
        <w:rPr>
          <w:rFonts w:hint="eastAsia"/>
        </w:rPr>
        <w:t>党的二十大报告将保障人民健康提升至“优先发展的战略位置”，</w:t>
      </w:r>
      <w:bookmarkStart w:id="10" w:name="OLE_LINK87"/>
      <w:r>
        <w:rPr>
          <w:rFonts w:hint="eastAsia"/>
        </w:rPr>
        <w:t>党的二十届三中、四中全会把</w:t>
      </w:r>
      <w:r>
        <w:t>构建优质高效医疗卫生服务体系、深化医药卫生体制改革确立为核心任务</w:t>
      </w:r>
      <w:bookmarkEnd w:id="10"/>
      <w:r>
        <w:rPr>
          <w:rFonts w:hint="eastAsia"/>
        </w:rPr>
        <w:t>，习近平总书记关于健康中国建设重要论述把维护人民健康摆在更加突出的位置，明确了建设健康中国的大政方针和行动纲领。</w:t>
      </w:r>
      <w:r>
        <w:rPr>
          <w:rFonts w:hint="eastAsia"/>
          <w:szCs w:val="32"/>
        </w:rPr>
        <w:t>当前，</w:t>
      </w:r>
      <w:r>
        <w:rPr>
          <w:szCs w:val="32"/>
        </w:rPr>
        <w:t>群众对医疗卫生服务的需求已从</w:t>
      </w:r>
      <w:r>
        <w:rPr>
          <w:rFonts w:hint="eastAsia"/>
          <w:szCs w:val="32"/>
        </w:rPr>
        <w:t>“有没有”</w:t>
      </w:r>
      <w:r>
        <w:rPr>
          <w:szCs w:val="32"/>
        </w:rPr>
        <w:t>向</w:t>
      </w:r>
      <w:r>
        <w:rPr>
          <w:rFonts w:hint="eastAsia"/>
          <w:szCs w:val="32"/>
        </w:rPr>
        <w:t>“好不好、优不优”</w:t>
      </w:r>
      <w:r>
        <w:rPr>
          <w:szCs w:val="32"/>
        </w:rPr>
        <w:t>加速升级，对服务品质、诊疗水平、健康覆盖的多元化期待持续提升。</w:t>
      </w:r>
      <w:r>
        <w:rPr>
          <w:rFonts w:hint="eastAsia"/>
        </w:rPr>
        <w:t>然而我区</w:t>
      </w:r>
      <w:r>
        <w:rPr>
          <w:rFonts w:hint="eastAsia" w:hAnsi="仿宋_GB2312" w:cs="仿宋_GB2312"/>
          <w:szCs w:val="32"/>
        </w:rPr>
        <w:t>医疗卫生事业发展水平与市民群众期待还有差距，难以满足群众对高质量、高水平医疗服务的需求。</w:t>
      </w:r>
    </w:p>
    <w:p>
      <w:pPr>
        <w:spacing w:after="0"/>
        <w:ind w:firstLine="643"/>
        <w:rPr>
          <w:b/>
          <w:bCs/>
        </w:rPr>
      </w:pPr>
      <w:r>
        <w:rPr>
          <w:rFonts w:hint="eastAsia"/>
          <w:b/>
          <w:bCs/>
          <w:szCs w:val="32"/>
        </w:rPr>
        <w:t>抢抓科技创新及人工智能为医疗健康发展带来新机遇。</w:t>
      </w:r>
      <w:r>
        <w:rPr>
          <w:rFonts w:hint="eastAsia"/>
          <w:szCs w:val="32"/>
        </w:rPr>
        <w:t>在新兴产业不断迭新、新兴技术不断升级的时代大背景下，智能终端、远程医疗、智慧健康等新产品、新业态不断涌现，人工智能已成为推动医学领域创新与变革的核心驱动力。龙华区作为“数字经济核心区”，未来还将打造全新的“数智龙华”，拥有</w:t>
      </w:r>
      <w:r>
        <w:rPr>
          <w:szCs w:val="32"/>
        </w:rPr>
        <w:t>雄厚的数字产业基础、密集的创新资源与完善的产业生态，</w:t>
      </w:r>
      <w:r>
        <w:rPr>
          <w:rFonts w:hint="eastAsia"/>
          <w:szCs w:val="32"/>
        </w:rPr>
        <w:t>亟需</w:t>
      </w:r>
      <w:r>
        <w:rPr>
          <w:szCs w:val="32"/>
        </w:rPr>
        <w:t>以数智化建设为抓手</w:t>
      </w:r>
      <w:r>
        <w:rPr>
          <w:rFonts w:hint="eastAsia"/>
          <w:szCs w:val="32"/>
        </w:rPr>
        <w:t>，紧抓人工智能应用浪潮，</w:t>
      </w:r>
      <w:r>
        <w:rPr>
          <w:szCs w:val="32"/>
        </w:rPr>
        <w:t>完善医疗健康数智化基础设施体系，深化数字技术在临床诊疗</w:t>
      </w:r>
      <w:r>
        <w:rPr>
          <w:rFonts w:hint="eastAsia"/>
          <w:szCs w:val="32"/>
        </w:rPr>
        <w:t>、疾病</w:t>
      </w:r>
      <w:r>
        <w:rPr>
          <w:szCs w:val="32"/>
        </w:rPr>
        <w:t>防控、健康管理、科研转化等场景的融合应用</w:t>
      </w:r>
      <w:r>
        <w:rPr>
          <w:rFonts w:hint="eastAsia"/>
          <w:szCs w:val="32"/>
        </w:rPr>
        <w:t>，为卫生健康服务发展注入新活力。</w:t>
      </w:r>
    </w:p>
    <w:p>
      <w:pPr>
        <w:spacing w:after="0"/>
        <w:ind w:firstLine="643"/>
        <w:rPr>
          <w:szCs w:val="32"/>
        </w:rPr>
      </w:pPr>
      <w:r>
        <w:rPr>
          <w:rFonts w:hint="eastAsia"/>
          <w:b/>
          <w:bCs/>
          <w:szCs w:val="32"/>
        </w:rPr>
        <w:t>区属公立医院发展与学科建设短板亟需突破。</w:t>
      </w:r>
      <w:r>
        <w:rPr>
          <w:rFonts w:hint="eastAsia"/>
          <w:szCs w:val="32"/>
        </w:rPr>
        <w:t>“十四五”期间，龙华南部民治、龙华街道成功纳入深圳都市核心区，北部龙华中心晋升为市级功能中心，区域定位显著提升，构建起“双中心”的发展新格局。然而区属公立医院发展面临多重瓶颈，人才队伍建设方面，虽然全区引进了多个高层次医学团队与市区两级人才，但区属医院在吸引和留住顶尖医学专家方面仍存在困难，人才流失风险较大。学科建设方面，品牌影响力不足的问题较为突出，全区仅有1个市级重点学科和3个市级特色专科建设单位，缺乏有显著影响力的优势学科群，难以形成独特的差异性竞争优势。同时，区域内市属医院凭借其品牌、资源和政策优势，进一步加剧了人才与患者的虹吸效应，区属医院亟需探索错位发展路径，明确自身功能定位，避免与市属医院在相同服务领域进行无序竞争。</w:t>
      </w:r>
    </w:p>
    <w:p>
      <w:pPr>
        <w:spacing w:after="0"/>
        <w:ind w:firstLine="643"/>
        <w:rPr>
          <w:szCs w:val="32"/>
        </w:rPr>
      </w:pPr>
      <w:bookmarkStart w:id="11" w:name="OLE_LINK18"/>
      <w:r>
        <w:rPr>
          <w:rFonts w:hint="eastAsia"/>
          <w:b/>
          <w:bCs/>
          <w:szCs w:val="32"/>
        </w:rPr>
        <w:t>新形势下</w:t>
      </w:r>
      <w:bookmarkEnd w:id="11"/>
      <w:r>
        <w:rPr>
          <w:rFonts w:hint="eastAsia"/>
          <w:b/>
          <w:bCs/>
          <w:szCs w:val="32"/>
        </w:rPr>
        <w:t>公立医院运营思维面临革新。</w:t>
      </w:r>
      <w:r>
        <w:rPr>
          <w:rFonts w:hint="eastAsia"/>
          <w:szCs w:val="32"/>
        </w:rPr>
        <w:t>随着医疗服务价格调整、医保支付方式改革等政策纵深推进，公立医院精细化管理要求显著提升，但区属医院当前运营管理体系仍存在诸多适配性不足问题，人力资源成本持续攀升，叠加专项债务利息支付压力，导致医院运营资金周转压力加大。同时现有管理制度在成本管控、绩效考核、资源配置等关键环节的精细化程度不足，未能充分适配政策改革导向与高质量发展需求，制约了医院运营效能提升与可持续发展能力建设。</w:t>
      </w:r>
    </w:p>
    <w:p>
      <w:pPr>
        <w:spacing w:after="0"/>
        <w:ind w:firstLine="643" w:firstLineChars="0"/>
        <w:rPr>
          <w:szCs w:val="32"/>
        </w:rPr>
      </w:pPr>
      <w:bookmarkStart w:id="12" w:name="OLE_LINK16"/>
      <w:r>
        <w:rPr>
          <w:rFonts w:hint="eastAsia"/>
          <w:b/>
          <w:bCs/>
          <w:szCs w:val="32"/>
        </w:rPr>
        <w:t>公共卫生大体系待加强，生育友好型城区建设待完善。</w:t>
      </w:r>
      <w:r>
        <w:rPr>
          <w:rFonts w:hint="eastAsia"/>
          <w:szCs w:val="32"/>
        </w:rPr>
        <w:t>龙华区作为经济大区、产业大区、人口大区、交通大区，具有人群聚集度和流动度高等特点，疾病防控压力巨大，近五年辖区法定传染病报告数由2.35万例增至4.11万例，且病种呈现多样化趋势，叠加群众“重治轻防”理念，制约了协同机制深化与防控效能提升，医疗机构公共卫生服务能力仍需进一步提升。</w:t>
      </w:r>
      <w:bookmarkEnd w:id="12"/>
      <w:r>
        <w:rPr>
          <w:szCs w:val="32"/>
        </w:rPr>
        <w:t>托育多元化供给模式仍需完善，普惠性托位数量不足、社区嵌入式托育设施运行保障薄弱，供给与家庭实际需求存在较大差距，亟需加快构建完善生育支持政策体系，稳步推进生育友好型社会建设。</w:t>
      </w:r>
    </w:p>
    <w:p>
      <w:pPr>
        <w:pStyle w:val="3"/>
        <w:keepNext w:val="0"/>
        <w:keepLines w:val="0"/>
        <w:spacing w:after="0"/>
        <w:ind w:left="640" w:firstLine="0" w:firstLineChars="0"/>
      </w:pPr>
      <w:bookmarkStart w:id="13" w:name="_Toc206526479"/>
      <w:bookmarkStart w:id="14" w:name="_Toc217379406"/>
      <w:bookmarkStart w:id="15" w:name="_Toc230463237"/>
      <w:r>
        <w:rPr>
          <w:rFonts w:hint="eastAsia"/>
        </w:rPr>
        <w:t>三、</w:t>
      </w:r>
      <w:bookmarkEnd w:id="13"/>
      <w:r>
        <w:rPr>
          <w:rFonts w:hint="eastAsia"/>
        </w:rPr>
        <w:t>指导方针与发展目标</w:t>
      </w:r>
      <w:bookmarkEnd w:id="14"/>
      <w:bookmarkEnd w:id="15"/>
    </w:p>
    <w:p>
      <w:pPr>
        <w:pStyle w:val="5"/>
        <w:keepNext w:val="0"/>
        <w:keepLines w:val="0"/>
        <w:spacing w:after="0"/>
        <w:ind w:firstLine="640"/>
      </w:pPr>
      <w:bookmarkStart w:id="16" w:name="_Toc230463238"/>
      <w:bookmarkStart w:id="17" w:name="_Toc206526480"/>
      <w:bookmarkStart w:id="18" w:name="_Toc217379407"/>
      <w:r>
        <w:rPr>
          <w:rFonts w:hint="eastAsia"/>
        </w:rPr>
        <w:t>（一）指导思想</w:t>
      </w:r>
      <w:bookmarkEnd w:id="16"/>
      <w:bookmarkEnd w:id="17"/>
      <w:bookmarkEnd w:id="18"/>
    </w:p>
    <w:p>
      <w:pPr>
        <w:pStyle w:val="47"/>
        <w:spacing w:after="0"/>
        <w:ind w:firstLine="640"/>
        <w:rPr>
          <w:bCs/>
        </w:rPr>
      </w:pPr>
      <w:bookmarkStart w:id="19" w:name="OLE_LINK25"/>
      <w:r>
        <w:rPr>
          <w:rFonts w:hint="eastAsia"/>
        </w:rPr>
        <w:t>以习近平新时代中国特色社会主义思想为指导，深入贯彻党的二十大和二十届历次全会精神，深入学习贯彻习近平总书记对广东、深圳重要讲话和重要指示精神，完整、准确、全面贯彻国家新发展理念和新时代党的卫生健康发展方针，全面推进更高水平的健康龙华建设，坚持以人民健康为中心，以推动高质量发展为主题，以深化医药卫生体制改革为动力，以科技创新为引领，</w:t>
      </w:r>
      <w:r>
        <w:rPr>
          <w:rFonts w:hint="eastAsia" w:ascii="仿宋_GB2312" w:hAnsi="仿宋_GB2312" w:cs="仿宋_GB2312"/>
          <w:szCs w:val="32"/>
        </w:rPr>
        <w:t>构建更成熟定型的分级诊疗格局，</w:t>
      </w:r>
      <w:r>
        <w:rPr>
          <w:rFonts w:hint="eastAsia"/>
        </w:rPr>
        <w:t>全方位全周期保障人民健康，不断增进人民群众健康福祉，统筹推进全区健康事业发展各项工作，在深圳打造体现先行示范标准和要求的医疗卫生服务体系中勇当尖兵</w:t>
      </w:r>
      <w:bookmarkStart w:id="20" w:name="_Toc206526481"/>
      <w:r>
        <w:rPr>
          <w:rFonts w:hint="eastAsia"/>
        </w:rPr>
        <w:t>。</w:t>
      </w:r>
    </w:p>
    <w:bookmarkEnd w:id="19"/>
    <w:p>
      <w:pPr>
        <w:pStyle w:val="5"/>
        <w:keepNext w:val="0"/>
        <w:keepLines w:val="0"/>
        <w:spacing w:after="0"/>
        <w:ind w:firstLine="640"/>
      </w:pPr>
      <w:bookmarkStart w:id="21" w:name="_Toc230463239"/>
      <w:bookmarkStart w:id="22" w:name="_Toc217379408"/>
      <w:r>
        <w:rPr>
          <w:rFonts w:hint="eastAsia"/>
        </w:rPr>
        <w:t>（二）基本原则</w:t>
      </w:r>
      <w:bookmarkEnd w:id="20"/>
      <w:bookmarkEnd w:id="21"/>
      <w:bookmarkEnd w:id="22"/>
    </w:p>
    <w:p>
      <w:pPr>
        <w:spacing w:after="0"/>
        <w:ind w:firstLine="643"/>
      </w:pPr>
      <w:r>
        <w:rPr>
          <w:rFonts w:hint="eastAsia"/>
          <w:b/>
          <w:bCs/>
        </w:rPr>
        <w:t>坚持人民至上、健康优先。</w:t>
      </w:r>
      <w:r>
        <w:rPr>
          <w:rFonts w:hint="eastAsia"/>
        </w:rPr>
        <w:t>以人民群众健康需求为导向，以维护和促进人民群众身心健康、保障社会经济和谐发展为宗旨，优化健康服务供给，优先保障基本医疗卫生服务的公平性和可及性，提升全民健康素养。</w:t>
      </w:r>
    </w:p>
    <w:p>
      <w:pPr>
        <w:spacing w:after="0"/>
        <w:ind w:firstLine="643"/>
      </w:pPr>
      <w:r>
        <w:rPr>
          <w:rFonts w:hint="eastAsia"/>
          <w:b/>
          <w:bCs/>
        </w:rPr>
        <w:t>坚持改革创新、协同发展。</w:t>
      </w:r>
      <w:r>
        <w:rPr>
          <w:rFonts w:hint="eastAsia"/>
        </w:rPr>
        <w:t>深化医药卫生体制改革，推动技术创新、制度创新和服务模式转变，推进医疗、医保、医药“三医联动”改革，在实践中不断探索规律、深化认识，激发卫生健康事业发展活力。</w:t>
      </w:r>
    </w:p>
    <w:p>
      <w:pPr>
        <w:spacing w:after="0"/>
        <w:ind w:firstLine="643"/>
      </w:pPr>
      <w:r>
        <w:rPr>
          <w:rFonts w:hint="eastAsia"/>
          <w:b/>
          <w:bCs/>
        </w:rPr>
        <w:t>坚持统筹协调、系统整合。</w:t>
      </w:r>
      <w:r>
        <w:rPr>
          <w:rFonts w:hint="eastAsia"/>
        </w:rPr>
        <w:t>坚持政府主导、科学筹划、兼顾各方，统筹区域卫生健康资源配置，注重中西医并重，加强医疗服务体系与公共卫生体系的协同发展，促进健康事业与健康产业深度融合。</w:t>
      </w:r>
    </w:p>
    <w:p>
      <w:pPr>
        <w:spacing w:after="0"/>
        <w:ind w:firstLine="643"/>
      </w:pPr>
      <w:r>
        <w:rPr>
          <w:rFonts w:hint="eastAsia"/>
          <w:b/>
          <w:bCs/>
        </w:rPr>
        <w:t>坚持预防为主、医防协同。</w:t>
      </w:r>
      <w:r>
        <w:rPr>
          <w:rFonts w:hint="eastAsia"/>
        </w:rPr>
        <w:t>推动公共卫生体系更加完善，提升疾病预防控制能力，持续做好国家慢性病综合防控示范区建设，建成与区域发展需求相匹配的重大突发公共卫生事件应急管理能力，推动卫生健康工作由以治病为中心向以健康为中心转变。</w:t>
      </w:r>
    </w:p>
    <w:p>
      <w:pPr>
        <w:spacing w:after="0"/>
        <w:ind w:firstLine="643"/>
      </w:pPr>
      <w:r>
        <w:rPr>
          <w:rFonts w:hint="eastAsia"/>
          <w:b/>
          <w:bCs/>
        </w:rPr>
        <w:t>坚持系统治理、共建共享。</w:t>
      </w:r>
      <w:r>
        <w:rPr>
          <w:rFonts w:hint="eastAsia"/>
        </w:rPr>
        <w:t>主动顺应科技和产业变革大趋势，全面落实生育支持政策，积极应对人口结构变化挑战，推动健康服务和保障体系转型发展，充分调动政府、社会、个人等各方积极性，形成政府主导、部门协同、社会参与、个人负责的健康治理格局。</w:t>
      </w:r>
    </w:p>
    <w:p>
      <w:pPr>
        <w:pStyle w:val="5"/>
        <w:keepNext w:val="0"/>
        <w:keepLines w:val="0"/>
        <w:spacing w:after="0"/>
        <w:ind w:firstLine="640"/>
      </w:pPr>
      <w:bookmarkStart w:id="23" w:name="_Toc217379409"/>
      <w:bookmarkStart w:id="24" w:name="_Toc206526482"/>
      <w:bookmarkStart w:id="25" w:name="_Toc230463240"/>
      <w:r>
        <w:rPr>
          <w:rFonts w:hint="eastAsia"/>
        </w:rPr>
        <w:t>（三）发展目标</w:t>
      </w:r>
      <w:bookmarkEnd w:id="23"/>
      <w:bookmarkEnd w:id="24"/>
      <w:bookmarkEnd w:id="25"/>
    </w:p>
    <w:p>
      <w:pPr>
        <w:spacing w:after="0"/>
        <w:ind w:firstLine="640"/>
      </w:pPr>
      <w:r>
        <w:rPr>
          <w:rFonts w:hint="eastAsia"/>
        </w:rPr>
        <w:t>深化医药卫生领域改革发展，聚焦建设更高水平的健康龙华，</w:t>
      </w:r>
      <w:r>
        <w:t>推动</w:t>
      </w:r>
      <w:r>
        <w:rPr>
          <w:rFonts w:hint="eastAsia"/>
        </w:rPr>
        <w:t>全区</w:t>
      </w:r>
      <w:r>
        <w:t>卫生健康事业从</w:t>
      </w:r>
      <w:r>
        <w:rPr>
          <w:rFonts w:hint="eastAsia"/>
        </w:rPr>
        <w:t>“</w:t>
      </w:r>
      <w:r>
        <w:t>规模扩张</w:t>
      </w:r>
      <w:r>
        <w:rPr>
          <w:rFonts w:hint="eastAsia"/>
        </w:rPr>
        <w:t>”</w:t>
      </w:r>
      <w:r>
        <w:t>向</w:t>
      </w:r>
      <w:r>
        <w:rPr>
          <w:rFonts w:hint="eastAsia"/>
        </w:rPr>
        <w:t>“</w:t>
      </w:r>
      <w:r>
        <w:t>内涵提质</w:t>
      </w:r>
      <w:r>
        <w:rPr>
          <w:rFonts w:hint="eastAsia"/>
        </w:rPr>
        <w:t>”</w:t>
      </w:r>
      <w:r>
        <w:t>转变，以</w:t>
      </w:r>
      <w:r>
        <w:rPr>
          <w:rFonts w:hint="eastAsia"/>
        </w:rPr>
        <w:t>“</w:t>
      </w:r>
      <w:r>
        <w:t>强基层、深融合</w:t>
      </w:r>
      <w:r>
        <w:rPr>
          <w:rFonts w:hint="eastAsia"/>
        </w:rPr>
        <w:t>”</w:t>
      </w:r>
      <w:r>
        <w:t>为核心，持续巩固和深化</w:t>
      </w:r>
      <w:bookmarkStart w:id="26" w:name="OLE_LINK29"/>
      <w:r>
        <w:rPr>
          <w:rFonts w:hint="eastAsia"/>
        </w:rPr>
        <w:t>紧密型城市医疗集团建设成果</w:t>
      </w:r>
      <w:bookmarkEnd w:id="26"/>
      <w:r>
        <w:rPr>
          <w:rFonts w:hint="eastAsia"/>
        </w:rPr>
        <w:t>，</w:t>
      </w:r>
      <w:r>
        <w:t>全面建成体系完整、分工明确、运行高效、富有韧性的分级诊疗</w:t>
      </w:r>
      <w:r>
        <w:rPr>
          <w:rFonts w:hint="eastAsia"/>
        </w:rPr>
        <w:t>“</w:t>
      </w:r>
      <w:r>
        <w:t>龙华模式</w:t>
      </w:r>
      <w:r>
        <w:rPr>
          <w:rFonts w:hint="eastAsia"/>
        </w:rPr>
        <w:t>”。奋力建设深圳中轴“医疗高地”“健康福地”。</w:t>
      </w:r>
    </w:p>
    <w:p>
      <w:pPr>
        <w:widowControl/>
        <w:spacing w:after="0"/>
        <w:ind w:firstLine="643"/>
        <w:jc w:val="left"/>
      </w:pPr>
      <w:r>
        <w:rPr>
          <w:rFonts w:hint="eastAsia"/>
          <w:b/>
          <w:bCs/>
        </w:rPr>
        <w:t>——打造高效</w:t>
      </w:r>
      <w:r>
        <w:rPr>
          <w:b/>
          <w:bCs/>
        </w:rPr>
        <w:t>协同</w:t>
      </w:r>
      <w:r>
        <w:rPr>
          <w:rFonts w:hint="eastAsia"/>
          <w:b/>
          <w:bCs/>
        </w:rPr>
        <w:t>的</w:t>
      </w:r>
      <w:r>
        <w:rPr>
          <w:b/>
          <w:bCs/>
        </w:rPr>
        <w:t>分级诊疗</w:t>
      </w:r>
      <w:r>
        <w:rPr>
          <w:rFonts w:hint="eastAsia"/>
          <w:b/>
          <w:bCs/>
        </w:rPr>
        <w:t>新标杆。</w:t>
      </w:r>
      <w:bookmarkStart w:id="27" w:name="OLE_LINK63"/>
      <w:r>
        <w:rPr>
          <w:rFonts w:hint="eastAsia"/>
        </w:rPr>
        <w:t>依托区人民医院、区中心医院两大医疗集团，充分发挥集团内部人力、财务、采购、医保、信息、绩效的深度整合优势，以管理一体、服务同质、责任共担、健康共管的区域协同与医防融合的紧密型城市医疗集团为抓手，</w:t>
      </w:r>
      <w:r>
        <w:rPr>
          <w:rFonts w:hint="eastAsia" w:ascii="仿宋_GB2312" w:hAnsi="Calibri" w:eastAsia="仿宋_GB2312" w:cs="Times New Roman"/>
          <w:color w:val="auto"/>
          <w:kern w:val="2"/>
          <w:sz w:val="32"/>
          <w:shd w:val="clear" w:color="auto" w:fill="auto"/>
          <w:lang w:bidi="ar"/>
        </w:rPr>
        <w:t>推动分级诊疗体系从试点探索、局部推进转向全面成型、系统高效的新阶段</w:t>
      </w:r>
      <w:r>
        <w:rPr>
          <w:rFonts w:hint="eastAsia"/>
        </w:rPr>
        <w:t>。</w:t>
      </w:r>
      <w:bookmarkEnd w:id="27"/>
    </w:p>
    <w:p>
      <w:pPr>
        <w:spacing w:after="0"/>
        <w:ind w:firstLine="643"/>
        <w:rPr>
          <w:b/>
          <w:bCs/>
        </w:rPr>
      </w:pPr>
      <w:r>
        <w:rPr>
          <w:rFonts w:hint="eastAsia"/>
          <w:b/>
          <w:bCs/>
        </w:rPr>
        <w:t>——迈向区属医院内涵发展新台阶。</w:t>
      </w:r>
      <w:r>
        <w:rPr>
          <w:rFonts w:hint="eastAsia"/>
        </w:rPr>
        <w:t>推动区属医院医教研融合发展</w:t>
      </w:r>
      <w:r>
        <w:t>与精细化管理</w:t>
      </w:r>
      <w:r>
        <w:rPr>
          <w:rFonts w:hint="eastAsia"/>
        </w:rPr>
        <w:t>，力争公立医院“国考”达到A级及以上不少于3家、创建市级以上重点学科或特色专科不少于2个、国家级科研立项不少于5项，通过国际医院评审不少于1家，全面建成全科医学院和规培基地。</w:t>
      </w:r>
    </w:p>
    <w:p>
      <w:pPr>
        <w:spacing w:after="0"/>
        <w:ind w:firstLine="643"/>
      </w:pPr>
      <w:r>
        <w:rPr>
          <w:rFonts w:hint="eastAsia"/>
          <w:b/>
          <w:bCs/>
        </w:rPr>
        <w:t>——建设数智赋能医疗卫生新生态。</w:t>
      </w:r>
      <w:r>
        <w:rPr>
          <w:rFonts w:hint="eastAsia"/>
        </w:rPr>
        <w:t>依托数智龙华建设，加快推进数智赋能卫生健康服务，力争电子病历达到5级以上、智慧服务水平达到3级的区属医院不少于3家，建成鸿蒙生态与信创标杆医院1家以上，</w:t>
      </w:r>
      <w:r>
        <w:t>以数字化全面赋能</w:t>
      </w:r>
      <w:r>
        <w:rPr>
          <w:rFonts w:hint="eastAsia"/>
        </w:rPr>
        <w:t>分级诊疗、</w:t>
      </w:r>
      <w:r>
        <w:t>医疗服务、公共卫生和医院管理</w:t>
      </w:r>
      <w:r>
        <w:rPr>
          <w:rFonts w:hint="eastAsia"/>
        </w:rPr>
        <w:t>。</w:t>
      </w:r>
    </w:p>
    <w:p>
      <w:pPr>
        <w:spacing w:after="0"/>
        <w:ind w:firstLine="643"/>
        <w:rPr>
          <w:highlight w:val="none"/>
        </w:rPr>
      </w:pPr>
      <w:r>
        <w:rPr>
          <w:rFonts w:hint="eastAsia"/>
          <w:b/>
          <w:bCs/>
        </w:rPr>
        <w:t>——创建生育友好城区建设新面貌。</w:t>
      </w:r>
      <w:r>
        <w:rPr>
          <w:rFonts w:hint="eastAsia"/>
        </w:rPr>
        <w:t>依据辖区人口发展趋势，健全覆盖全人群、全生命周期的健康服务体系；落实生育支持政策体系和激励措施，加强普惠托育服务体系建设，发展医育结合服务，推动建设生育友好城区，</w:t>
      </w:r>
      <w:r>
        <w:rPr>
          <w:rFonts w:hint="eastAsia"/>
          <w:highlight w:val="none"/>
        </w:rPr>
        <w:t>3岁以下婴幼儿入托率提高6.5个百分点。</w:t>
      </w:r>
    </w:p>
    <w:p>
      <w:pPr>
        <w:spacing w:after="0"/>
        <w:ind w:firstLine="643"/>
      </w:pPr>
      <w:r>
        <w:rPr>
          <w:rFonts w:hint="eastAsia"/>
          <w:b/>
          <w:bCs/>
        </w:rPr>
        <w:t>——开启社会健康共治共享新格局。</w:t>
      </w:r>
      <w:r>
        <w:rPr>
          <w:rFonts w:hint="eastAsia"/>
        </w:rPr>
        <w:t>推动将健康融入所有政策，建设完善健康支持性环境，做强疾病预防控制体系，深入开展爱国卫生运动，推动居民主要健康指标和就医满意度位居全市前列，努力建设更高水平的健康龙华。</w:t>
      </w:r>
    </w:p>
    <w:p>
      <w:pPr>
        <w:pStyle w:val="88"/>
        <w:ind w:firstLine="0" w:firstLineChars="0"/>
        <w:jc w:val="center"/>
        <w:rPr>
          <w:rFonts w:hint="eastAsia" w:ascii="黑体" w:hAnsi="黑体" w:eastAsia="黑体"/>
          <w:sz w:val="24"/>
        </w:rPr>
      </w:pPr>
      <w:r>
        <w:rPr>
          <w:rFonts w:hint="eastAsia" w:ascii="黑体" w:hAnsi="黑体" w:eastAsia="黑体"/>
          <w:sz w:val="24"/>
        </w:rPr>
        <w:t>表1：深圳市龙华区卫生健康“十五五”发展规划指标体系</w:t>
      </w:r>
    </w:p>
    <w:tbl>
      <w:tblPr>
        <w:tblStyle w:val="90"/>
        <w:tblW w:w="492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55"/>
        <w:gridCol w:w="534"/>
        <w:gridCol w:w="4861"/>
        <w:gridCol w:w="1127"/>
        <w:gridCol w:w="11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tblHeader/>
          <w:jc w:val="center"/>
        </w:trPr>
        <w:tc>
          <w:tcPr>
            <w:tcW w:w="703"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黑体" w:cs="黑体"/>
                <w:b/>
                <w:bCs/>
                <w:color w:val="000000"/>
                <w:spacing w:val="-10"/>
                <w:kern w:val="28"/>
                <w:sz w:val="24"/>
              </w:rPr>
            </w:pPr>
            <w:r>
              <w:rPr>
                <w:rFonts w:hint="eastAsia" w:hAnsi="黑体" w:cs="黑体"/>
                <w:b/>
                <w:bCs/>
                <w:color w:val="000000"/>
                <w:spacing w:val="-10"/>
                <w:kern w:val="28"/>
                <w:sz w:val="24"/>
              </w:rPr>
              <w:t>类别</w:t>
            </w: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黑体" w:cs="黑体"/>
                <w:b/>
                <w:bCs/>
                <w:color w:val="000000"/>
                <w:spacing w:val="-10"/>
                <w:kern w:val="28"/>
                <w:sz w:val="24"/>
              </w:rPr>
            </w:pPr>
            <w:r>
              <w:rPr>
                <w:rFonts w:hint="eastAsia" w:hAnsi="黑体" w:cs="黑体"/>
                <w:b/>
                <w:bCs/>
                <w:color w:val="000000"/>
                <w:spacing w:val="-10"/>
                <w:kern w:val="28"/>
                <w:sz w:val="24"/>
              </w:rPr>
              <w:t>序号</w:t>
            </w:r>
          </w:p>
        </w:tc>
        <w:tc>
          <w:tcPr>
            <w:tcW w:w="2722"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黑体" w:cs="黑体"/>
                <w:b/>
                <w:bCs/>
                <w:color w:val="000000"/>
                <w:spacing w:val="-10"/>
                <w:kern w:val="28"/>
                <w:sz w:val="24"/>
              </w:rPr>
            </w:pPr>
            <w:r>
              <w:rPr>
                <w:rFonts w:hint="eastAsia" w:hAnsi="黑体" w:cs="黑体"/>
                <w:b/>
                <w:bCs/>
                <w:color w:val="000000"/>
                <w:spacing w:val="-10"/>
                <w:kern w:val="28"/>
                <w:sz w:val="24"/>
              </w:rPr>
              <w:t>指标名称</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黑体" w:cs="黑体"/>
                <w:b/>
                <w:bCs/>
                <w:color w:val="000000"/>
                <w:spacing w:val="-10"/>
                <w:kern w:val="28"/>
                <w:sz w:val="24"/>
              </w:rPr>
            </w:pPr>
            <w:r>
              <w:rPr>
                <w:rFonts w:hint="eastAsia" w:hAnsi="黑体" w:cs="黑体"/>
                <w:b/>
                <w:bCs/>
                <w:color w:val="000000"/>
                <w:spacing w:val="-10"/>
                <w:kern w:val="28"/>
                <w:sz w:val="24"/>
              </w:rPr>
              <w:t>2030年</w:t>
            </w:r>
          </w:p>
        </w:tc>
        <w:tc>
          <w:tcPr>
            <w:tcW w:w="645"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黑体" w:cs="黑体"/>
                <w:b/>
                <w:bCs/>
                <w:color w:val="000000"/>
                <w:spacing w:val="-10"/>
                <w:kern w:val="28"/>
                <w:sz w:val="24"/>
              </w:rPr>
            </w:pPr>
            <w:r>
              <w:rPr>
                <w:rFonts w:hint="eastAsia" w:hAnsi="黑体" w:cs="黑体"/>
                <w:b/>
                <w:bCs/>
                <w:color w:val="000000"/>
                <w:spacing w:val="-10"/>
                <w:kern w:val="28"/>
                <w:sz w:val="24"/>
              </w:rPr>
              <w:t>指标</w:t>
            </w:r>
          </w:p>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黑体" w:cs="黑体"/>
                <w:b/>
                <w:bCs/>
                <w:color w:val="000000"/>
                <w:spacing w:val="-10"/>
                <w:kern w:val="28"/>
                <w:sz w:val="24"/>
              </w:rPr>
            </w:pPr>
            <w:r>
              <w:rPr>
                <w:rFonts w:hint="eastAsia" w:hAnsi="黑体" w:cs="黑体"/>
                <w:b/>
                <w:bCs/>
                <w:color w:val="000000"/>
                <w:spacing w:val="-10"/>
                <w:kern w:val="28"/>
                <w:sz w:val="24"/>
              </w:rPr>
              <w:t>属性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jc w:val="center"/>
        </w:trPr>
        <w:tc>
          <w:tcPr>
            <w:tcW w:w="703" w:type="pct"/>
            <w:vMerge w:val="restar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b/>
                <w:bCs/>
                <w:spacing w:val="-10"/>
                <w:kern w:val="28"/>
                <w:sz w:val="22"/>
                <w:szCs w:val="22"/>
              </w:rPr>
            </w:pPr>
            <w:r>
              <w:rPr>
                <w:rFonts w:hint="eastAsia"/>
                <w:b/>
                <w:bCs/>
                <w:spacing w:val="-10"/>
                <w:kern w:val="28"/>
                <w:sz w:val="22"/>
                <w:szCs w:val="22"/>
              </w:rPr>
              <w:t>医疗服务体系</w:t>
            </w: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sz w:val="24"/>
              </w:rPr>
            </w:pPr>
            <w:r>
              <w:rPr>
                <w:rFonts w:hint="eastAsia"/>
                <w:spacing w:val="-10"/>
                <w:kern w:val="28"/>
                <w:sz w:val="22"/>
                <w:szCs w:val="22"/>
              </w:rPr>
              <w:t>1</w:t>
            </w:r>
          </w:p>
        </w:tc>
        <w:tc>
          <w:tcPr>
            <w:tcW w:w="2722"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rFonts w:hint="eastAsia" w:hAnsi="仿宋_GB2312" w:cs="仿宋_GB2312"/>
                <w:color w:val="000000"/>
                <w:spacing w:val="-10"/>
                <w:sz w:val="24"/>
              </w:rPr>
            </w:pPr>
            <w:r>
              <w:rPr>
                <w:rFonts w:hint="eastAsia"/>
                <w:color w:val="000000"/>
                <w:spacing w:val="-10"/>
                <w:kern w:val="28"/>
                <w:sz w:val="22"/>
                <w:szCs w:val="22"/>
              </w:rPr>
              <w:t>居民健康素养水平（%）</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sz w:val="24"/>
              </w:rPr>
            </w:pPr>
            <w:r>
              <w:rPr>
                <w:rFonts w:hint="eastAsia"/>
                <w:color w:val="000000"/>
                <w:spacing w:val="-10"/>
                <w:kern w:val="28"/>
                <w:sz w:val="22"/>
                <w:szCs w:val="22"/>
              </w:rPr>
              <w:t>≥52</w:t>
            </w:r>
          </w:p>
        </w:tc>
        <w:tc>
          <w:tcPr>
            <w:tcW w:w="645"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jc w:val="center"/>
        </w:trPr>
        <w:tc>
          <w:tcPr>
            <w:tcW w:w="703" w:type="pct"/>
            <w:vMerge w:val="continue"/>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b/>
                <w:bCs/>
                <w:spacing w:val="-10"/>
                <w:kern w:val="28"/>
                <w:sz w:val="22"/>
                <w:szCs w:val="22"/>
              </w:rPr>
            </w:pP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sz w:val="24"/>
                <w:lang w:val="en"/>
              </w:rPr>
            </w:pPr>
            <w:r>
              <w:rPr>
                <w:rFonts w:hint="eastAsia"/>
                <w:spacing w:val="-10"/>
                <w:kern w:val="28"/>
                <w:sz w:val="22"/>
                <w:szCs w:val="22"/>
              </w:rPr>
              <w:t>2</w:t>
            </w:r>
          </w:p>
        </w:tc>
        <w:tc>
          <w:tcPr>
            <w:tcW w:w="2722"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rFonts w:hint="eastAsia" w:hAnsi="仿宋_GB2312" w:cs="仿宋_GB2312"/>
                <w:color w:val="000000"/>
                <w:spacing w:val="-10"/>
                <w:sz w:val="24"/>
              </w:rPr>
            </w:pPr>
            <w:r>
              <w:rPr>
                <w:rFonts w:hint="eastAsia"/>
                <w:color w:val="000000"/>
                <w:spacing w:val="-10"/>
                <w:kern w:val="28"/>
                <w:sz w:val="22"/>
                <w:szCs w:val="22"/>
              </w:rPr>
              <w:t>婴儿死亡率（‰）</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sz w:val="24"/>
              </w:rPr>
            </w:pPr>
            <w:r>
              <w:rPr>
                <w:rFonts w:hint="eastAsia"/>
                <w:color w:val="000000"/>
                <w:spacing w:val="-10"/>
                <w:kern w:val="28"/>
                <w:sz w:val="22"/>
                <w:szCs w:val="22"/>
              </w:rPr>
              <w:t>≤2.5</w:t>
            </w:r>
          </w:p>
        </w:tc>
        <w:tc>
          <w:tcPr>
            <w:tcW w:w="645"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jc w:val="center"/>
        </w:trPr>
        <w:tc>
          <w:tcPr>
            <w:tcW w:w="703" w:type="pct"/>
            <w:vMerge w:val="continue"/>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b/>
                <w:bCs/>
                <w:spacing w:val="-10"/>
                <w:kern w:val="28"/>
                <w:sz w:val="22"/>
                <w:szCs w:val="22"/>
              </w:rPr>
            </w:pP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sz w:val="24"/>
                <w:lang w:val="en"/>
              </w:rPr>
            </w:pPr>
            <w:r>
              <w:rPr>
                <w:rFonts w:hint="eastAsia"/>
                <w:spacing w:val="-10"/>
                <w:kern w:val="28"/>
                <w:sz w:val="22"/>
                <w:szCs w:val="22"/>
              </w:rPr>
              <w:t>3</w:t>
            </w:r>
          </w:p>
        </w:tc>
        <w:tc>
          <w:tcPr>
            <w:tcW w:w="2722"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rFonts w:hint="eastAsia" w:hAnsi="仿宋_GB2312" w:cs="仿宋_GB2312"/>
                <w:color w:val="000000"/>
                <w:spacing w:val="-10"/>
                <w:sz w:val="24"/>
              </w:rPr>
            </w:pPr>
            <w:r>
              <w:rPr>
                <w:rFonts w:hint="eastAsia"/>
                <w:color w:val="000000"/>
                <w:spacing w:val="-10"/>
                <w:kern w:val="28"/>
                <w:sz w:val="22"/>
                <w:szCs w:val="22"/>
              </w:rPr>
              <w:t>孕产妇死亡率（1/10万）</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sz w:val="24"/>
              </w:rPr>
            </w:pPr>
            <w:r>
              <w:rPr>
                <w:rFonts w:hint="eastAsia"/>
                <w:color w:val="000000"/>
                <w:spacing w:val="-10"/>
                <w:kern w:val="28"/>
                <w:sz w:val="22"/>
                <w:szCs w:val="22"/>
              </w:rPr>
              <w:t>≤6.5</w:t>
            </w:r>
          </w:p>
        </w:tc>
        <w:tc>
          <w:tcPr>
            <w:tcW w:w="645"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jc w:val="center"/>
        </w:trPr>
        <w:tc>
          <w:tcPr>
            <w:tcW w:w="703" w:type="pct"/>
            <w:vMerge w:val="continue"/>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b/>
                <w:bCs/>
                <w:spacing w:val="-10"/>
                <w:kern w:val="28"/>
                <w:sz w:val="22"/>
                <w:szCs w:val="22"/>
              </w:rPr>
            </w:pP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sz w:val="24"/>
                <w:lang w:val="en"/>
              </w:rPr>
            </w:pPr>
            <w:r>
              <w:rPr>
                <w:rFonts w:hint="eastAsia"/>
                <w:spacing w:val="-10"/>
                <w:kern w:val="28"/>
                <w:sz w:val="22"/>
                <w:szCs w:val="22"/>
              </w:rPr>
              <w:t>4</w:t>
            </w:r>
          </w:p>
        </w:tc>
        <w:tc>
          <w:tcPr>
            <w:tcW w:w="2722"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rFonts w:hint="eastAsia" w:hAnsi="仿宋_GB2312" w:cs="仿宋_GB2312"/>
                <w:color w:val="000000"/>
                <w:spacing w:val="-10"/>
                <w:sz w:val="24"/>
              </w:rPr>
            </w:pPr>
            <w:r>
              <w:rPr>
                <w:rFonts w:hint="eastAsia"/>
                <w:color w:val="000000"/>
                <w:spacing w:val="-10"/>
                <w:kern w:val="28"/>
                <w:sz w:val="22"/>
                <w:szCs w:val="22"/>
              </w:rPr>
              <w:t>重点癌症早诊率（%）</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sz w:val="24"/>
              </w:rPr>
            </w:pPr>
            <w:r>
              <w:rPr>
                <w:rFonts w:hint="eastAsia"/>
                <w:color w:val="000000"/>
                <w:spacing w:val="-10"/>
                <w:kern w:val="28"/>
                <w:sz w:val="22"/>
                <w:szCs w:val="22"/>
              </w:rPr>
              <w:t>≥70</w:t>
            </w:r>
          </w:p>
        </w:tc>
        <w:tc>
          <w:tcPr>
            <w:tcW w:w="645"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jc w:val="center"/>
        </w:trPr>
        <w:tc>
          <w:tcPr>
            <w:tcW w:w="703" w:type="pct"/>
            <w:vMerge w:val="continue"/>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b/>
                <w:bCs/>
                <w:spacing w:val="-10"/>
                <w:kern w:val="28"/>
                <w:sz w:val="22"/>
                <w:szCs w:val="22"/>
              </w:rPr>
            </w:pP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sz w:val="24"/>
                <w:lang w:val="en"/>
              </w:rPr>
            </w:pPr>
            <w:r>
              <w:rPr>
                <w:rFonts w:hint="eastAsia"/>
                <w:spacing w:val="-10"/>
                <w:kern w:val="28"/>
                <w:sz w:val="22"/>
                <w:szCs w:val="22"/>
              </w:rPr>
              <w:t>5</w:t>
            </w:r>
          </w:p>
        </w:tc>
        <w:tc>
          <w:tcPr>
            <w:tcW w:w="2722"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rFonts w:hint="eastAsia" w:hAnsi="仿宋_GB2312" w:cs="仿宋_GB2312"/>
                <w:color w:val="000000"/>
                <w:spacing w:val="-10"/>
                <w:sz w:val="24"/>
              </w:rPr>
            </w:pPr>
            <w:r>
              <w:rPr>
                <w:rFonts w:hint="eastAsia"/>
                <w:color w:val="000000"/>
                <w:spacing w:val="-10"/>
                <w:kern w:val="28"/>
                <w:sz w:val="22"/>
                <w:szCs w:val="22"/>
              </w:rPr>
              <w:t>重大慢性病过早死亡率（%）</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sz w:val="24"/>
              </w:rPr>
            </w:pPr>
            <w:r>
              <w:rPr>
                <w:rFonts w:hint="eastAsia"/>
                <w:color w:val="000000"/>
                <w:spacing w:val="-10"/>
                <w:kern w:val="28"/>
                <w:sz w:val="22"/>
                <w:szCs w:val="22"/>
              </w:rPr>
              <w:t>≤8</w:t>
            </w:r>
          </w:p>
        </w:tc>
        <w:tc>
          <w:tcPr>
            <w:tcW w:w="645"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jc w:val="center"/>
        </w:trPr>
        <w:tc>
          <w:tcPr>
            <w:tcW w:w="703" w:type="pct"/>
            <w:vMerge w:val="continue"/>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b/>
                <w:bCs/>
                <w:spacing w:val="-10"/>
                <w:kern w:val="28"/>
                <w:sz w:val="22"/>
                <w:szCs w:val="22"/>
              </w:rPr>
            </w:pP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sz w:val="24"/>
                <w:lang w:val="en"/>
              </w:rPr>
            </w:pPr>
            <w:r>
              <w:rPr>
                <w:rFonts w:hint="eastAsia"/>
                <w:spacing w:val="-10"/>
                <w:kern w:val="28"/>
                <w:sz w:val="22"/>
                <w:szCs w:val="22"/>
              </w:rPr>
              <w:t>6</w:t>
            </w:r>
          </w:p>
        </w:tc>
        <w:tc>
          <w:tcPr>
            <w:tcW w:w="2722"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rFonts w:hint="eastAsia" w:hAnsi="仿宋_GB2312" w:cs="仿宋_GB2312"/>
                <w:color w:val="000000"/>
                <w:spacing w:val="-10"/>
                <w:sz w:val="24"/>
              </w:rPr>
            </w:pPr>
            <w:r>
              <w:rPr>
                <w:rFonts w:hint="eastAsia"/>
                <w:color w:val="000000"/>
                <w:spacing w:val="-10"/>
                <w:kern w:val="28"/>
                <w:sz w:val="22"/>
                <w:szCs w:val="22"/>
              </w:rPr>
              <w:t>每千人口拥有执业（助理）医师（人）</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sz w:val="24"/>
              </w:rPr>
            </w:pPr>
            <w:r>
              <w:rPr>
                <w:rFonts w:hint="eastAsia"/>
                <w:color w:val="000000"/>
                <w:spacing w:val="-10"/>
                <w:kern w:val="28"/>
                <w:sz w:val="22"/>
                <w:szCs w:val="22"/>
              </w:rPr>
              <w:t>≥3.5</w:t>
            </w:r>
          </w:p>
        </w:tc>
        <w:tc>
          <w:tcPr>
            <w:tcW w:w="645"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jc w:val="center"/>
        </w:trPr>
        <w:tc>
          <w:tcPr>
            <w:tcW w:w="703" w:type="pct"/>
            <w:vMerge w:val="continue"/>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b/>
                <w:bCs/>
                <w:spacing w:val="-10"/>
                <w:kern w:val="28"/>
                <w:sz w:val="22"/>
                <w:szCs w:val="22"/>
              </w:rPr>
            </w:pP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sz w:val="24"/>
                <w:lang w:val="en"/>
              </w:rPr>
            </w:pPr>
            <w:r>
              <w:rPr>
                <w:rFonts w:hint="eastAsia"/>
                <w:spacing w:val="-10"/>
                <w:kern w:val="28"/>
                <w:sz w:val="22"/>
                <w:szCs w:val="22"/>
              </w:rPr>
              <w:t>7</w:t>
            </w:r>
          </w:p>
        </w:tc>
        <w:tc>
          <w:tcPr>
            <w:tcW w:w="2722"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rFonts w:hint="eastAsia" w:hAnsi="仿宋_GB2312" w:cs="仿宋_GB2312"/>
                <w:color w:val="000000"/>
                <w:spacing w:val="-10"/>
                <w:sz w:val="24"/>
              </w:rPr>
            </w:pPr>
            <w:r>
              <w:rPr>
                <w:rFonts w:hint="eastAsia"/>
                <w:color w:val="000000"/>
                <w:spacing w:val="-10"/>
                <w:kern w:val="28"/>
                <w:sz w:val="22"/>
                <w:szCs w:val="22"/>
              </w:rPr>
              <w:t>每10万人口拥有精神科执业（助理）医师数（人）</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sz w:val="24"/>
              </w:rPr>
            </w:pPr>
            <w:r>
              <w:rPr>
                <w:rFonts w:hint="eastAsia"/>
                <w:color w:val="000000"/>
                <w:spacing w:val="-10"/>
                <w:kern w:val="28"/>
                <w:sz w:val="22"/>
                <w:szCs w:val="22"/>
              </w:rPr>
              <w:t>≥4.9</w:t>
            </w:r>
          </w:p>
        </w:tc>
        <w:tc>
          <w:tcPr>
            <w:tcW w:w="645"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jc w:val="center"/>
        </w:trPr>
        <w:tc>
          <w:tcPr>
            <w:tcW w:w="703" w:type="pct"/>
            <w:vMerge w:val="continue"/>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b/>
                <w:bCs/>
                <w:spacing w:val="-10"/>
                <w:kern w:val="28"/>
                <w:sz w:val="22"/>
                <w:szCs w:val="22"/>
              </w:rPr>
            </w:pP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lang w:val="en"/>
              </w:rPr>
            </w:pPr>
            <w:r>
              <w:rPr>
                <w:rFonts w:hint="eastAsia"/>
                <w:spacing w:val="-10"/>
                <w:kern w:val="28"/>
                <w:sz w:val="22"/>
                <w:szCs w:val="22"/>
              </w:rPr>
              <w:t>8</w:t>
            </w:r>
          </w:p>
        </w:tc>
        <w:tc>
          <w:tcPr>
            <w:tcW w:w="2722"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rFonts w:hint="eastAsia" w:hAnsi="仿宋_GB2312" w:cs="仿宋_GB2312"/>
                <w:color w:val="000000"/>
                <w:spacing w:val="-12"/>
                <w:kern w:val="28"/>
                <w:sz w:val="24"/>
              </w:rPr>
            </w:pPr>
            <w:r>
              <w:rPr>
                <w:rFonts w:hint="eastAsia"/>
                <w:color w:val="000000"/>
                <w:spacing w:val="-10"/>
                <w:kern w:val="28"/>
                <w:sz w:val="22"/>
                <w:szCs w:val="22"/>
              </w:rPr>
              <w:t>每千人口拥有注册护士数（人）</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≥4.3</w:t>
            </w:r>
          </w:p>
        </w:tc>
        <w:tc>
          <w:tcPr>
            <w:tcW w:w="645"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jc w:val="center"/>
        </w:trPr>
        <w:tc>
          <w:tcPr>
            <w:tcW w:w="703" w:type="pct"/>
            <w:vMerge w:val="continue"/>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b/>
                <w:bCs/>
                <w:spacing w:val="-10"/>
                <w:kern w:val="28"/>
                <w:sz w:val="22"/>
                <w:szCs w:val="22"/>
              </w:rPr>
            </w:pP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lang w:val="en"/>
              </w:rPr>
            </w:pPr>
            <w:r>
              <w:rPr>
                <w:rFonts w:hint="eastAsia"/>
                <w:spacing w:val="-10"/>
                <w:kern w:val="28"/>
                <w:sz w:val="22"/>
                <w:szCs w:val="22"/>
              </w:rPr>
              <w:t>9</w:t>
            </w:r>
          </w:p>
        </w:tc>
        <w:tc>
          <w:tcPr>
            <w:tcW w:w="2722"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rFonts w:hint="eastAsia" w:hAnsi="仿宋_GB2312" w:cs="仿宋_GB2312"/>
                <w:color w:val="000000"/>
                <w:spacing w:val="-10"/>
                <w:kern w:val="28"/>
                <w:sz w:val="24"/>
              </w:rPr>
            </w:pPr>
            <w:r>
              <w:rPr>
                <w:rFonts w:hint="eastAsia"/>
                <w:color w:val="000000"/>
                <w:spacing w:val="-10"/>
                <w:kern w:val="28"/>
                <w:sz w:val="22"/>
                <w:szCs w:val="22"/>
              </w:rPr>
              <w:t>医护比</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color w:val="000000"/>
                <w:spacing w:val="-10"/>
                <w:kern w:val="28"/>
                <w:sz w:val="22"/>
                <w:szCs w:val="22"/>
              </w:rPr>
              <w:t>1</w:t>
            </w:r>
            <w:r>
              <w:rPr>
                <w:rFonts w:hint="eastAsia"/>
                <w:color w:val="000000"/>
                <w:spacing w:val="-10"/>
                <w:kern w:val="28"/>
                <w:sz w:val="22"/>
                <w:szCs w:val="22"/>
              </w:rPr>
              <w:t>:</w:t>
            </w:r>
            <w:r>
              <w:rPr>
                <w:color w:val="000000"/>
                <w:spacing w:val="-10"/>
                <w:kern w:val="28"/>
                <w:sz w:val="22"/>
                <w:szCs w:val="22"/>
              </w:rPr>
              <w:t>1.2</w:t>
            </w:r>
          </w:p>
        </w:tc>
        <w:tc>
          <w:tcPr>
            <w:tcW w:w="645"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jc w:val="center"/>
        </w:trPr>
        <w:tc>
          <w:tcPr>
            <w:tcW w:w="703" w:type="pct"/>
            <w:vMerge w:val="continue"/>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b/>
                <w:bCs/>
                <w:spacing w:val="-10"/>
                <w:kern w:val="28"/>
                <w:sz w:val="22"/>
                <w:szCs w:val="22"/>
              </w:rPr>
            </w:pP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spacing w:val="-10"/>
                <w:kern w:val="28"/>
                <w:sz w:val="22"/>
                <w:szCs w:val="22"/>
              </w:rPr>
              <w:t>10</w:t>
            </w:r>
          </w:p>
        </w:tc>
        <w:tc>
          <w:tcPr>
            <w:tcW w:w="2722"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rFonts w:hint="eastAsia" w:hAnsi="仿宋_GB2312" w:cs="仿宋_GB2312"/>
                <w:color w:val="000000"/>
                <w:spacing w:val="-10"/>
                <w:kern w:val="28"/>
                <w:sz w:val="24"/>
              </w:rPr>
            </w:pPr>
            <w:r>
              <w:rPr>
                <w:rFonts w:hint="eastAsia"/>
                <w:color w:val="000000"/>
                <w:spacing w:val="-10"/>
                <w:kern w:val="28"/>
                <w:sz w:val="22"/>
                <w:szCs w:val="22"/>
              </w:rPr>
              <w:t>家庭医生重点人群签约服务覆盖率（%）</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≥94</w:t>
            </w:r>
          </w:p>
        </w:tc>
        <w:tc>
          <w:tcPr>
            <w:tcW w:w="645"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jc w:val="center"/>
        </w:trPr>
        <w:tc>
          <w:tcPr>
            <w:tcW w:w="703" w:type="pct"/>
            <w:vMerge w:val="continue"/>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b/>
                <w:bCs/>
                <w:spacing w:val="-10"/>
                <w:kern w:val="28"/>
                <w:sz w:val="22"/>
                <w:szCs w:val="22"/>
              </w:rPr>
            </w:pP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sz w:val="24"/>
              </w:rPr>
            </w:pPr>
            <w:r>
              <w:rPr>
                <w:rFonts w:hint="eastAsia"/>
                <w:spacing w:val="-10"/>
                <w:kern w:val="28"/>
                <w:sz w:val="22"/>
                <w:szCs w:val="22"/>
              </w:rPr>
              <w:t>11</w:t>
            </w:r>
          </w:p>
        </w:tc>
        <w:tc>
          <w:tcPr>
            <w:tcW w:w="2722"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jc w:val="left"/>
              <w:rPr>
                <w:rFonts w:hint="eastAsia" w:hAnsi="仿宋_GB2312" w:cs="仿宋_GB2312"/>
                <w:color w:val="000000"/>
                <w:spacing w:val="-10"/>
                <w:sz w:val="24"/>
              </w:rPr>
            </w:pPr>
            <w:r>
              <w:rPr>
                <w:rFonts w:hint="eastAsia"/>
                <w:color w:val="000000"/>
                <w:spacing w:val="-10"/>
                <w:kern w:val="28"/>
                <w:sz w:val="22"/>
                <w:szCs w:val="22"/>
              </w:rPr>
              <w:t>社康机构诊疗量占全区总诊疗量比例（%）</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color w:val="000000"/>
                <w:spacing w:val="-10"/>
                <w:kern w:val="28"/>
                <w:sz w:val="22"/>
                <w:szCs w:val="22"/>
              </w:rPr>
            </w:pPr>
            <w:r>
              <w:rPr>
                <w:rFonts w:hint="eastAsia"/>
                <w:color w:val="000000"/>
                <w:spacing w:val="-10"/>
                <w:kern w:val="28"/>
                <w:sz w:val="22"/>
                <w:szCs w:val="22"/>
              </w:rPr>
              <w:t>≥65</w:t>
            </w:r>
          </w:p>
        </w:tc>
        <w:tc>
          <w:tcPr>
            <w:tcW w:w="645" w:type="pct"/>
            <w:vAlign w:val="center"/>
          </w:tcPr>
          <w:p>
            <w:pPr>
              <w:pBdr>
                <w:top w:val="none" w:color="auto" w:sz="0" w:space="1"/>
                <w:left w:val="none" w:color="auto" w:sz="0" w:space="4"/>
                <w:bottom w:val="none" w:color="auto" w:sz="0" w:space="1"/>
                <w:right w:val="none" w:color="auto" w:sz="0" w:space="4"/>
              </w:pBdr>
              <w:spacing w:after="8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jc w:val="center"/>
        </w:trPr>
        <w:tc>
          <w:tcPr>
            <w:tcW w:w="703" w:type="pct"/>
            <w:vMerge w:val="continue"/>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b/>
                <w:bCs/>
                <w:spacing w:val="-10"/>
                <w:kern w:val="28"/>
                <w:sz w:val="22"/>
                <w:szCs w:val="22"/>
              </w:rPr>
            </w:pP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sz w:val="24"/>
              </w:rPr>
            </w:pPr>
            <w:r>
              <w:rPr>
                <w:rFonts w:hint="eastAsia"/>
                <w:spacing w:val="-10"/>
                <w:kern w:val="28"/>
                <w:sz w:val="22"/>
                <w:szCs w:val="22"/>
              </w:rPr>
              <w:t>12</w:t>
            </w:r>
          </w:p>
        </w:tc>
        <w:tc>
          <w:tcPr>
            <w:tcW w:w="2722"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rFonts w:hint="eastAsia" w:hAnsi="仿宋_GB2312" w:cs="仿宋_GB2312"/>
                <w:color w:val="000000"/>
                <w:sz w:val="24"/>
                <w:highlight w:val="none"/>
              </w:rPr>
            </w:pPr>
            <w:r>
              <w:rPr>
                <w:rFonts w:hint="eastAsia" w:hAnsi="仿宋_GB2312" w:cs="仿宋_GB2312"/>
                <w:color w:val="000000"/>
                <w:sz w:val="24"/>
                <w:highlight w:val="none"/>
              </w:rPr>
              <w:t>3岁以下婴幼儿入托率提高（百分点）</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color w:val="000000"/>
                <w:spacing w:val="-10"/>
                <w:kern w:val="28"/>
                <w:sz w:val="22"/>
                <w:szCs w:val="22"/>
                <w:highlight w:val="none"/>
              </w:rPr>
            </w:pPr>
            <w:r>
              <w:rPr>
                <w:rFonts w:hint="eastAsia"/>
                <w:color w:val="000000"/>
                <w:spacing w:val="-10"/>
                <w:kern w:val="28"/>
                <w:sz w:val="22"/>
                <w:szCs w:val="22"/>
                <w:highlight w:val="none"/>
              </w:rPr>
              <w:t>≥6.5</w:t>
            </w:r>
          </w:p>
        </w:tc>
        <w:tc>
          <w:tcPr>
            <w:tcW w:w="645"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highlight w:val="none"/>
              </w:rPr>
            </w:pPr>
            <w:r>
              <w:rPr>
                <w:rFonts w:hint="eastAsia"/>
                <w:color w:val="000000"/>
                <w:spacing w:val="-10"/>
                <w:kern w:val="28"/>
                <w:sz w:val="22"/>
                <w:szCs w:val="22"/>
                <w:highlight w:val="none"/>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jc w:val="center"/>
        </w:trPr>
        <w:tc>
          <w:tcPr>
            <w:tcW w:w="703" w:type="pct"/>
            <w:vMerge w:val="continue"/>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b/>
                <w:bCs/>
                <w:spacing w:val="-10"/>
                <w:kern w:val="28"/>
                <w:sz w:val="22"/>
                <w:szCs w:val="22"/>
              </w:rPr>
            </w:pP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sz w:val="24"/>
                <w:lang w:val="en"/>
              </w:rPr>
            </w:pPr>
            <w:r>
              <w:rPr>
                <w:rFonts w:hint="eastAsia"/>
                <w:spacing w:val="-10"/>
                <w:kern w:val="28"/>
                <w:sz w:val="22"/>
                <w:szCs w:val="22"/>
              </w:rPr>
              <w:t>13</w:t>
            </w:r>
          </w:p>
        </w:tc>
        <w:tc>
          <w:tcPr>
            <w:tcW w:w="2722"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rFonts w:hint="eastAsia" w:hAnsi="仿宋_GB2312" w:cs="仿宋_GB2312"/>
                <w:color w:val="000000"/>
                <w:spacing w:val="-10"/>
                <w:sz w:val="24"/>
              </w:rPr>
            </w:pPr>
            <w:r>
              <w:rPr>
                <w:rFonts w:hint="eastAsia"/>
                <w:color w:val="000000"/>
                <w:spacing w:val="-10"/>
                <w:kern w:val="28"/>
                <w:sz w:val="22"/>
                <w:szCs w:val="22"/>
              </w:rPr>
              <w:t>国家三级公立医疗机构绩效监测达到A等次及以上机构数（个）</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color w:val="000000"/>
                <w:spacing w:val="-10"/>
                <w:kern w:val="28"/>
                <w:sz w:val="22"/>
                <w:szCs w:val="22"/>
              </w:rPr>
            </w:pPr>
            <w:r>
              <w:rPr>
                <w:rFonts w:hint="eastAsia"/>
                <w:color w:val="000000"/>
                <w:spacing w:val="-10"/>
                <w:kern w:val="28"/>
                <w:sz w:val="22"/>
                <w:szCs w:val="22"/>
              </w:rPr>
              <w:t>≥3</w:t>
            </w:r>
          </w:p>
        </w:tc>
        <w:tc>
          <w:tcPr>
            <w:tcW w:w="645"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jc w:val="center"/>
        </w:trPr>
        <w:tc>
          <w:tcPr>
            <w:tcW w:w="703" w:type="pct"/>
            <w:vMerge w:val="restar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b/>
                <w:bCs/>
                <w:spacing w:val="-10"/>
                <w:kern w:val="28"/>
                <w:sz w:val="22"/>
                <w:szCs w:val="22"/>
              </w:rPr>
            </w:pPr>
            <w:r>
              <w:rPr>
                <w:rFonts w:hint="eastAsia"/>
                <w:b/>
                <w:bCs/>
                <w:spacing w:val="-10"/>
                <w:kern w:val="28"/>
                <w:sz w:val="22"/>
                <w:szCs w:val="22"/>
              </w:rPr>
              <w:t>医学创新策源地</w:t>
            </w: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spacing w:val="-10"/>
                <w:kern w:val="28"/>
                <w:sz w:val="22"/>
                <w:szCs w:val="22"/>
              </w:rPr>
              <w:t>14</w:t>
            </w:r>
          </w:p>
        </w:tc>
        <w:tc>
          <w:tcPr>
            <w:tcW w:w="2722"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rFonts w:hint="eastAsia" w:hAnsi="仿宋_GB2312" w:cs="仿宋_GB2312"/>
                <w:color w:val="000000"/>
                <w:spacing w:val="-10"/>
                <w:kern w:val="28"/>
                <w:sz w:val="24"/>
              </w:rPr>
            </w:pPr>
            <w:r>
              <w:rPr>
                <w:rFonts w:hint="eastAsia"/>
                <w:color w:val="000000"/>
                <w:spacing w:val="-10"/>
                <w:kern w:val="28"/>
                <w:sz w:val="22"/>
                <w:szCs w:val="22"/>
              </w:rPr>
              <w:t>市级重点学科或特色专科</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color w:val="000000"/>
                <w:spacing w:val="-10"/>
                <w:kern w:val="28"/>
                <w:sz w:val="22"/>
                <w:szCs w:val="22"/>
              </w:rPr>
            </w:pPr>
            <w:r>
              <w:rPr>
                <w:rFonts w:hint="eastAsia"/>
                <w:color w:val="000000"/>
                <w:spacing w:val="-10"/>
                <w:kern w:val="28"/>
                <w:sz w:val="22"/>
                <w:szCs w:val="22"/>
              </w:rPr>
              <w:t>≥2</w:t>
            </w:r>
          </w:p>
        </w:tc>
        <w:tc>
          <w:tcPr>
            <w:tcW w:w="645"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jc w:val="center"/>
        </w:trPr>
        <w:tc>
          <w:tcPr>
            <w:tcW w:w="703" w:type="pct"/>
            <w:vMerge w:val="continue"/>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b/>
                <w:bCs/>
                <w:spacing w:val="-10"/>
                <w:kern w:val="28"/>
                <w:sz w:val="22"/>
                <w:szCs w:val="22"/>
              </w:rPr>
            </w:pP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sz w:val="24"/>
                <w:lang w:val="en"/>
              </w:rPr>
            </w:pPr>
            <w:r>
              <w:rPr>
                <w:rFonts w:hint="eastAsia"/>
                <w:spacing w:val="-10"/>
                <w:kern w:val="28"/>
                <w:sz w:val="22"/>
                <w:szCs w:val="22"/>
              </w:rPr>
              <w:t>15</w:t>
            </w:r>
          </w:p>
        </w:tc>
        <w:tc>
          <w:tcPr>
            <w:tcW w:w="2722"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rFonts w:hint="eastAsia" w:hAnsi="仿宋_GB2312" w:cs="仿宋_GB2312"/>
                <w:color w:val="000000"/>
                <w:spacing w:val="-10"/>
                <w:kern w:val="28"/>
                <w:sz w:val="24"/>
                <w:lang w:val="en"/>
              </w:rPr>
            </w:pPr>
            <w:r>
              <w:rPr>
                <w:rFonts w:hint="eastAsia"/>
                <w:color w:val="000000"/>
                <w:spacing w:val="-10"/>
                <w:kern w:val="28"/>
                <w:sz w:val="22"/>
                <w:szCs w:val="22"/>
              </w:rPr>
              <w:t>开展国际医院评审认证医院数（家）</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color w:val="000000"/>
                <w:spacing w:val="-10"/>
                <w:kern w:val="28"/>
                <w:sz w:val="22"/>
                <w:szCs w:val="22"/>
              </w:rPr>
            </w:pPr>
            <w:r>
              <w:rPr>
                <w:color w:val="000000"/>
                <w:spacing w:val="-10"/>
                <w:kern w:val="28"/>
                <w:sz w:val="22"/>
                <w:szCs w:val="22"/>
              </w:rPr>
              <w:t>1</w:t>
            </w:r>
          </w:p>
        </w:tc>
        <w:tc>
          <w:tcPr>
            <w:tcW w:w="645"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jc w:val="center"/>
        </w:trPr>
        <w:tc>
          <w:tcPr>
            <w:tcW w:w="703" w:type="pct"/>
            <w:vMerge w:val="continue"/>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b/>
                <w:bCs/>
                <w:spacing w:val="-10"/>
                <w:kern w:val="28"/>
                <w:sz w:val="22"/>
                <w:szCs w:val="22"/>
              </w:rPr>
            </w:pP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sz w:val="24"/>
                <w:lang w:val="en"/>
              </w:rPr>
            </w:pPr>
            <w:r>
              <w:rPr>
                <w:rFonts w:hint="eastAsia"/>
                <w:spacing w:val="-10"/>
                <w:kern w:val="28"/>
                <w:sz w:val="22"/>
                <w:szCs w:val="22"/>
              </w:rPr>
              <w:t>16</w:t>
            </w:r>
          </w:p>
        </w:tc>
        <w:tc>
          <w:tcPr>
            <w:tcW w:w="2722" w:type="pct"/>
            <w:vAlign w:val="center"/>
          </w:tcPr>
          <w:p>
            <w:pPr>
              <w:pBdr>
                <w:top w:val="none" w:color="auto" w:sz="0" w:space="1"/>
                <w:left w:val="none" w:color="auto" w:sz="0" w:space="4"/>
                <w:bottom w:val="none" w:color="auto" w:sz="0" w:space="1"/>
                <w:right w:val="none" w:color="auto" w:sz="0" w:space="4"/>
              </w:pBdr>
              <w:tabs>
                <w:tab w:val="left" w:pos="4858"/>
              </w:tabs>
              <w:spacing w:after="0" w:line="400" w:lineRule="exact"/>
              <w:ind w:firstLine="0" w:firstLineChars="0"/>
              <w:contextualSpacing/>
              <w:jc w:val="left"/>
              <w:rPr>
                <w:rFonts w:hint="eastAsia" w:hAnsi="仿宋_GB2312" w:cs="仿宋_GB2312"/>
                <w:color w:val="000000"/>
                <w:spacing w:val="-10"/>
                <w:sz w:val="24"/>
              </w:rPr>
            </w:pPr>
            <w:r>
              <w:rPr>
                <w:rFonts w:hint="eastAsia"/>
                <w:color w:val="000000"/>
                <w:spacing w:val="-10"/>
                <w:kern w:val="28"/>
                <w:sz w:val="22"/>
                <w:szCs w:val="22"/>
              </w:rPr>
              <w:t>每年承接药械临床试验数（项）</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color w:val="000000"/>
                <w:spacing w:val="-10"/>
                <w:kern w:val="28"/>
                <w:sz w:val="22"/>
                <w:szCs w:val="22"/>
              </w:rPr>
            </w:pPr>
            <w:r>
              <w:rPr>
                <w:rFonts w:hint="eastAsia"/>
                <w:color w:val="000000"/>
                <w:spacing w:val="-10"/>
                <w:kern w:val="28"/>
                <w:sz w:val="22"/>
                <w:szCs w:val="22"/>
              </w:rPr>
              <w:t>≥15</w:t>
            </w:r>
          </w:p>
        </w:tc>
        <w:tc>
          <w:tcPr>
            <w:tcW w:w="645"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jc w:val="center"/>
        </w:trPr>
        <w:tc>
          <w:tcPr>
            <w:tcW w:w="703" w:type="pct"/>
            <w:vMerge w:val="continue"/>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b/>
                <w:bCs/>
                <w:spacing w:val="-10"/>
                <w:kern w:val="28"/>
                <w:sz w:val="22"/>
                <w:szCs w:val="22"/>
              </w:rPr>
            </w:pP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sz w:val="24"/>
                <w:lang w:val="en"/>
              </w:rPr>
            </w:pPr>
            <w:r>
              <w:rPr>
                <w:rFonts w:hint="eastAsia"/>
                <w:spacing w:val="-10"/>
                <w:kern w:val="28"/>
                <w:sz w:val="22"/>
                <w:szCs w:val="22"/>
              </w:rPr>
              <w:t>17</w:t>
            </w:r>
          </w:p>
        </w:tc>
        <w:tc>
          <w:tcPr>
            <w:tcW w:w="2722"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rFonts w:hint="eastAsia" w:hAnsi="仿宋_GB2312" w:cs="仿宋_GB2312"/>
                <w:color w:val="000000"/>
                <w:spacing w:val="-10"/>
                <w:sz w:val="24"/>
              </w:rPr>
            </w:pPr>
            <w:r>
              <w:rPr>
                <w:rFonts w:hint="eastAsia"/>
                <w:color w:val="000000"/>
                <w:spacing w:val="-10"/>
                <w:kern w:val="28"/>
                <w:sz w:val="22"/>
                <w:szCs w:val="22"/>
              </w:rPr>
              <w:t>AI赋能医疗健康场景典型应用推广数（项）</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color w:val="000000"/>
                <w:spacing w:val="-10"/>
                <w:kern w:val="28"/>
                <w:sz w:val="22"/>
                <w:szCs w:val="22"/>
              </w:rPr>
            </w:pPr>
            <w:r>
              <w:rPr>
                <w:rFonts w:hint="eastAsia"/>
                <w:color w:val="000000"/>
                <w:spacing w:val="-10"/>
                <w:kern w:val="28"/>
                <w:sz w:val="22"/>
                <w:szCs w:val="22"/>
              </w:rPr>
              <w:t>≥</w:t>
            </w:r>
            <w:r>
              <w:rPr>
                <w:color w:val="000000"/>
                <w:spacing w:val="-10"/>
                <w:kern w:val="28"/>
                <w:sz w:val="22"/>
                <w:szCs w:val="22"/>
              </w:rPr>
              <w:t>5</w:t>
            </w:r>
          </w:p>
        </w:tc>
        <w:tc>
          <w:tcPr>
            <w:tcW w:w="645"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jc w:val="center"/>
        </w:trPr>
        <w:tc>
          <w:tcPr>
            <w:tcW w:w="703" w:type="pct"/>
            <w:vMerge w:val="restar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spacing w:val="-10"/>
                <w:kern w:val="28"/>
                <w:sz w:val="22"/>
                <w:szCs w:val="22"/>
              </w:rPr>
            </w:pPr>
            <w:r>
              <w:rPr>
                <w:rFonts w:hint="eastAsia"/>
                <w:b/>
                <w:bCs/>
                <w:spacing w:val="-10"/>
                <w:kern w:val="28"/>
                <w:sz w:val="22"/>
                <w:szCs w:val="22"/>
              </w:rPr>
              <w:t>智慧医疗示范地</w:t>
            </w: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spacing w:val="-10"/>
                <w:kern w:val="28"/>
                <w:sz w:val="22"/>
                <w:szCs w:val="22"/>
              </w:rPr>
            </w:pPr>
            <w:r>
              <w:rPr>
                <w:rFonts w:hint="eastAsia"/>
                <w:spacing w:val="-10"/>
                <w:kern w:val="28"/>
                <w:sz w:val="22"/>
                <w:szCs w:val="22"/>
              </w:rPr>
              <w:t>18</w:t>
            </w:r>
          </w:p>
        </w:tc>
        <w:tc>
          <w:tcPr>
            <w:tcW w:w="2722"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rFonts w:hint="eastAsia" w:hAnsi="仿宋_GB2312" w:cs="仿宋_GB2312"/>
                <w:color w:val="000000"/>
                <w:spacing w:val="-10"/>
                <w:kern w:val="28"/>
                <w:sz w:val="24"/>
              </w:rPr>
            </w:pPr>
            <w:r>
              <w:rPr>
                <w:rFonts w:hint="eastAsia"/>
                <w:color w:val="000000"/>
                <w:spacing w:val="-10"/>
                <w:kern w:val="28"/>
                <w:sz w:val="22"/>
                <w:szCs w:val="22"/>
              </w:rPr>
              <w:t>医疗健康数据产品（服务）</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color w:val="000000"/>
                <w:spacing w:val="-10"/>
                <w:kern w:val="28"/>
                <w:sz w:val="22"/>
                <w:szCs w:val="22"/>
              </w:rPr>
            </w:pPr>
            <w:r>
              <w:rPr>
                <w:rFonts w:hint="eastAsia"/>
                <w:color w:val="000000"/>
                <w:spacing w:val="-10"/>
                <w:kern w:val="28"/>
                <w:sz w:val="22"/>
                <w:szCs w:val="22"/>
              </w:rPr>
              <w:t>≥</w:t>
            </w:r>
            <w:r>
              <w:rPr>
                <w:color w:val="000000"/>
                <w:spacing w:val="-10"/>
                <w:kern w:val="28"/>
                <w:sz w:val="22"/>
                <w:szCs w:val="22"/>
              </w:rPr>
              <w:t>10</w:t>
            </w:r>
          </w:p>
        </w:tc>
        <w:tc>
          <w:tcPr>
            <w:tcW w:w="645"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jc w:val="center"/>
        </w:trPr>
        <w:tc>
          <w:tcPr>
            <w:tcW w:w="703" w:type="pct"/>
            <w:vMerge w:val="continue"/>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spacing w:val="-10"/>
                <w:kern w:val="28"/>
                <w:sz w:val="22"/>
                <w:szCs w:val="22"/>
              </w:rPr>
            </w:pP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spacing w:val="-10"/>
                <w:kern w:val="28"/>
                <w:sz w:val="22"/>
                <w:szCs w:val="22"/>
              </w:rPr>
            </w:pPr>
            <w:r>
              <w:rPr>
                <w:rFonts w:hint="eastAsia"/>
                <w:spacing w:val="-10"/>
                <w:kern w:val="28"/>
                <w:sz w:val="22"/>
                <w:szCs w:val="22"/>
              </w:rPr>
              <w:t>19</w:t>
            </w:r>
          </w:p>
        </w:tc>
        <w:tc>
          <w:tcPr>
            <w:tcW w:w="2722"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rFonts w:hint="eastAsia" w:hAnsi="仿宋_GB2312" w:cs="仿宋_GB2312"/>
                <w:color w:val="000000"/>
                <w:spacing w:val="-10"/>
                <w:kern w:val="28"/>
                <w:sz w:val="24"/>
              </w:rPr>
            </w:pPr>
            <w:r>
              <w:rPr>
                <w:rFonts w:hint="eastAsia"/>
                <w:color w:val="000000"/>
                <w:spacing w:val="-10"/>
                <w:kern w:val="28"/>
                <w:sz w:val="22"/>
                <w:szCs w:val="22"/>
              </w:rPr>
              <w:t>电子病历5级及以上水平医院（家）</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color w:val="000000"/>
                <w:spacing w:val="-10"/>
                <w:kern w:val="28"/>
                <w:sz w:val="22"/>
                <w:szCs w:val="22"/>
              </w:rPr>
            </w:pPr>
            <w:r>
              <w:rPr>
                <w:color w:val="000000"/>
                <w:spacing w:val="-10"/>
                <w:kern w:val="28"/>
                <w:sz w:val="22"/>
                <w:szCs w:val="22"/>
              </w:rPr>
              <w:t>3</w:t>
            </w:r>
          </w:p>
        </w:tc>
        <w:tc>
          <w:tcPr>
            <w:tcW w:w="645"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7" w:hRule="atLeast"/>
          <w:jc w:val="center"/>
        </w:trPr>
        <w:tc>
          <w:tcPr>
            <w:tcW w:w="703" w:type="pct"/>
            <w:vMerge w:val="continue"/>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spacing w:val="-10"/>
                <w:kern w:val="28"/>
                <w:sz w:val="22"/>
                <w:szCs w:val="22"/>
              </w:rPr>
            </w:pPr>
          </w:p>
        </w:tc>
        <w:tc>
          <w:tcPr>
            <w:tcW w:w="299"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spacing w:val="-10"/>
                <w:kern w:val="28"/>
                <w:sz w:val="22"/>
                <w:szCs w:val="22"/>
              </w:rPr>
            </w:pPr>
            <w:r>
              <w:rPr>
                <w:rFonts w:hint="eastAsia"/>
                <w:spacing w:val="-10"/>
                <w:kern w:val="28"/>
                <w:sz w:val="22"/>
                <w:szCs w:val="22"/>
              </w:rPr>
              <w:t>20</w:t>
            </w:r>
          </w:p>
        </w:tc>
        <w:tc>
          <w:tcPr>
            <w:tcW w:w="2722"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left"/>
              <w:rPr>
                <w:rFonts w:hint="eastAsia" w:hAnsi="仿宋_GB2312" w:cs="仿宋_GB2312"/>
                <w:color w:val="000000"/>
                <w:spacing w:val="-10"/>
                <w:sz w:val="24"/>
              </w:rPr>
            </w:pPr>
            <w:r>
              <w:rPr>
                <w:rFonts w:hint="eastAsia"/>
                <w:color w:val="000000"/>
                <w:spacing w:val="-10"/>
                <w:kern w:val="28"/>
                <w:sz w:val="22"/>
                <w:szCs w:val="22"/>
              </w:rPr>
              <w:t>智慧服务达到三级的医院数（家）</w:t>
            </w:r>
          </w:p>
        </w:tc>
        <w:tc>
          <w:tcPr>
            <w:tcW w:w="631"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color w:val="000000"/>
                <w:spacing w:val="-10"/>
                <w:kern w:val="28"/>
                <w:sz w:val="22"/>
                <w:szCs w:val="22"/>
              </w:rPr>
            </w:pPr>
            <w:r>
              <w:rPr>
                <w:color w:val="000000"/>
                <w:spacing w:val="-10"/>
                <w:kern w:val="28"/>
                <w:sz w:val="22"/>
                <w:szCs w:val="22"/>
              </w:rPr>
              <w:t>1</w:t>
            </w:r>
          </w:p>
        </w:tc>
        <w:tc>
          <w:tcPr>
            <w:tcW w:w="645" w:type="pct"/>
            <w:vAlign w:val="center"/>
          </w:tcPr>
          <w:p>
            <w:pPr>
              <w:pBdr>
                <w:top w:val="none" w:color="auto" w:sz="0" w:space="1"/>
                <w:left w:val="none" w:color="auto" w:sz="0" w:space="4"/>
                <w:bottom w:val="none" w:color="auto" w:sz="0" w:space="1"/>
                <w:right w:val="none" w:color="auto" w:sz="0" w:space="4"/>
              </w:pBdr>
              <w:spacing w:after="0" w:line="400" w:lineRule="exact"/>
              <w:ind w:firstLine="0" w:firstLineChars="0"/>
              <w:contextualSpacing/>
              <w:jc w:val="center"/>
              <w:rPr>
                <w:rFonts w:hint="eastAsia" w:hAnsi="仿宋_GB2312" w:cs="仿宋_GB2312"/>
                <w:color w:val="000000"/>
                <w:spacing w:val="-10"/>
                <w:kern w:val="28"/>
                <w:sz w:val="24"/>
              </w:rPr>
            </w:pPr>
            <w:r>
              <w:rPr>
                <w:rFonts w:hint="eastAsia"/>
                <w:color w:val="000000"/>
                <w:spacing w:val="-10"/>
                <w:kern w:val="28"/>
                <w:sz w:val="22"/>
                <w:szCs w:val="22"/>
              </w:rPr>
              <w:t>预期性</w:t>
            </w:r>
          </w:p>
        </w:tc>
      </w:tr>
    </w:tbl>
    <w:p>
      <w:pPr>
        <w:pStyle w:val="3"/>
        <w:keepNext w:val="0"/>
        <w:keepLines w:val="0"/>
        <w:spacing w:after="0"/>
        <w:ind w:firstLine="640"/>
      </w:pPr>
      <w:bookmarkStart w:id="28" w:name="_Toc206526483"/>
      <w:bookmarkStart w:id="29" w:name="_Toc230463241"/>
      <w:bookmarkStart w:id="30" w:name="_Toc217379410"/>
      <w:r>
        <w:rPr>
          <w:rFonts w:hint="eastAsia"/>
        </w:rPr>
        <w:t>四、</w:t>
      </w:r>
      <w:bookmarkEnd w:id="28"/>
      <w:r>
        <w:rPr>
          <w:rFonts w:hint="eastAsia"/>
        </w:rPr>
        <w:t>重点任务</w:t>
      </w:r>
      <w:bookmarkEnd w:id="29"/>
      <w:bookmarkEnd w:id="30"/>
    </w:p>
    <w:p>
      <w:pPr>
        <w:pStyle w:val="5"/>
        <w:keepNext w:val="0"/>
        <w:keepLines w:val="0"/>
        <w:spacing w:after="0"/>
        <w:ind w:firstLine="640"/>
      </w:pPr>
      <w:bookmarkStart w:id="31" w:name="_Toc230463242"/>
      <w:bookmarkStart w:id="32" w:name="_Toc217379411"/>
      <w:bookmarkStart w:id="33" w:name="_Toc206526488"/>
      <w:bookmarkStart w:id="34" w:name="OLE_LINK3"/>
      <w:bookmarkStart w:id="35" w:name="OLE_LINK9"/>
      <w:bookmarkStart w:id="36" w:name="_Toc206526484"/>
      <w:r>
        <w:rPr>
          <w:rFonts w:hint="eastAsia"/>
        </w:rPr>
        <w:t>（一）高位规划，构建更成熟定型的分级诊疗格局</w:t>
      </w:r>
      <w:bookmarkEnd w:id="31"/>
      <w:bookmarkEnd w:id="32"/>
      <w:bookmarkEnd w:id="33"/>
    </w:p>
    <w:bookmarkEnd w:id="34"/>
    <w:p>
      <w:pPr>
        <w:pStyle w:val="88"/>
        <w:rPr>
          <w:rFonts w:hint="default" w:hAnsi="仿宋_GB2312" w:cs="仿宋_GB2312"/>
          <w:b w:val="0"/>
          <w:bCs w:val="0"/>
          <w:szCs w:val="32"/>
          <w:lang w:bidi="ar"/>
        </w:rPr>
      </w:pPr>
      <w:bookmarkStart w:id="37" w:name="OLE_LINK11"/>
      <w:bookmarkStart w:id="38" w:name="_Toc206526492"/>
      <w:r>
        <w:rPr>
          <w:rFonts w:hint="default" w:hAnsi="仿宋_GB2312" w:cs="仿宋_GB2312"/>
          <w:b/>
          <w:bCs/>
          <w:szCs w:val="32"/>
          <w:lang w:bidi="ar"/>
        </w:rPr>
        <w:t>1.打造协同高效的联动机制。</w:t>
      </w:r>
      <w:r>
        <w:rPr>
          <w:rFonts w:hint="default" w:hAnsi="仿宋_GB2312" w:cs="仿宋_GB2312"/>
          <w:b w:val="0"/>
          <w:bCs w:val="0"/>
          <w:szCs w:val="32"/>
          <w:lang w:bidi="ar"/>
        </w:rPr>
        <w:t>以加快建设具有龙华特点的分级诊疗体系、更好满足居民多层次多样化的健康服务需求为目标，围绕“基层首诊、双向转诊、急慢分治、上下联动”的</w:t>
      </w:r>
      <w:r>
        <w:rPr>
          <w:rFonts w:hint="default" w:ascii="仿宋_GB2312" w:hAnsi="仿宋_GB2312" w:eastAsia="仿宋_GB2312" w:cs="仿宋_GB2312"/>
          <w:b w:val="0"/>
          <w:bCs w:val="0"/>
          <w:szCs w:val="32"/>
          <w:shd w:val="clear"/>
          <w:lang w:bidi="ar"/>
        </w:rPr>
        <w:t>核心方针</w:t>
      </w:r>
      <w:r>
        <w:rPr>
          <w:rFonts w:hint="default" w:hAnsi="仿宋_GB2312" w:cs="仿宋_GB2312"/>
          <w:b w:val="0"/>
          <w:bCs w:val="0"/>
          <w:szCs w:val="32"/>
          <w:lang w:bidi="ar"/>
        </w:rPr>
        <w:t>，健全工作统筹推进机制</w:t>
      </w:r>
      <w:r>
        <w:rPr>
          <w:rFonts w:hint="eastAsia" w:hAnsi="仿宋_GB2312" w:cs="仿宋_GB2312"/>
          <w:b w:val="0"/>
          <w:bCs w:val="0"/>
          <w:szCs w:val="32"/>
          <w:lang w:bidi="ar"/>
        </w:rPr>
        <w:t>，</w:t>
      </w:r>
      <w:r>
        <w:rPr>
          <w:rFonts w:hint="default" w:hAnsi="仿宋_GB2312" w:cs="仿宋_GB2312"/>
          <w:b w:val="0"/>
          <w:bCs w:val="0"/>
          <w:szCs w:val="32"/>
          <w:lang w:bidi="ar"/>
        </w:rPr>
        <w:t>推动健康融入所有政策。全面落实政府投入保障责任，深化财政、医保、薪酬联动改革，形成协同高效的联动机制。强化医保政策与财政补助的杠杆引导作用，巩固医保差异化报销和以事定费差异化补助政策，优化基层医疗机构与上级医院保障梯度。优化紧密型城市医疗集团医保总额预算、结余留用、合理超支分担机制，提升医保基金使用效益。完善慢病长处方、家庭病床、家庭医生签约服务等医保支持政策。</w:t>
      </w:r>
      <w:r>
        <w:rPr>
          <w:rFonts w:hint="eastAsia" w:ascii="仿宋_GB2312" w:hAnsi="仿宋_GB2312" w:eastAsia="仿宋_GB2312" w:cs="仿宋_GB2312"/>
          <w:b w:val="0"/>
          <w:bCs w:val="0"/>
          <w:kern w:val="2"/>
          <w:sz w:val="32"/>
          <w:szCs w:val="32"/>
          <w:shd w:val="clear"/>
          <w:lang w:bidi="ar"/>
        </w:rPr>
        <w:t>强化“三医”协同</w:t>
      </w:r>
      <w:r>
        <w:rPr>
          <w:rFonts w:hint="default" w:hAnsi="仿宋_GB2312" w:cs="仿宋_GB2312"/>
          <w:b w:val="0"/>
          <w:bCs w:val="0"/>
          <w:szCs w:val="32"/>
          <w:lang w:bidi="ar"/>
        </w:rPr>
        <w:t>联动</w:t>
      </w:r>
      <w:r>
        <w:rPr>
          <w:rFonts w:hint="eastAsia" w:ascii="仿宋_GB2312" w:hAnsi="仿宋_GB2312" w:eastAsia="仿宋_GB2312" w:cs="仿宋_GB2312"/>
          <w:b w:val="0"/>
          <w:bCs w:val="0"/>
          <w:kern w:val="2"/>
          <w:sz w:val="32"/>
          <w:szCs w:val="32"/>
          <w:shd w:val="clear"/>
          <w:lang w:bidi="ar"/>
        </w:rPr>
        <w:t>，</w:t>
      </w:r>
      <w:r>
        <w:rPr>
          <w:rFonts w:hint="default" w:hAnsi="仿宋_GB2312" w:cs="仿宋_GB2312"/>
          <w:b w:val="0"/>
          <w:bCs w:val="0"/>
          <w:szCs w:val="32"/>
          <w:lang w:bidi="ar"/>
        </w:rPr>
        <w:t>持续打造可复制、可推广的分级诊疗“龙华样板”。</w:t>
      </w:r>
    </w:p>
    <w:p>
      <w:pPr>
        <w:pStyle w:val="88"/>
        <w:jc w:val="left"/>
        <w:rPr>
          <w:rFonts w:hint="default" w:hAnsi="仿宋_GB2312" w:cs="仿宋_GB2312"/>
          <w:b w:val="0"/>
          <w:bCs w:val="0"/>
          <w:szCs w:val="32"/>
          <w:lang w:bidi="ar"/>
        </w:rPr>
      </w:pPr>
      <w:r>
        <w:rPr>
          <w:rFonts w:hint="default" w:hAnsi="仿宋_GB2312" w:cs="仿宋_GB2312"/>
          <w:b/>
          <w:bCs/>
          <w:szCs w:val="32"/>
          <w:lang w:bidi="ar"/>
        </w:rPr>
        <w:t>2.优化各级医疗卫生机构布局和功能配置。</w:t>
      </w:r>
      <w:r>
        <w:rPr>
          <w:rFonts w:hint="default" w:hAnsi="仿宋_GB2312" w:cs="仿宋_GB2312"/>
          <w:b w:val="0"/>
          <w:bCs w:val="0"/>
          <w:szCs w:val="32"/>
          <w:lang w:bidi="ar"/>
        </w:rPr>
        <w:t>结合我区人口分布、城市更新、产业布局等要素，</w:t>
      </w:r>
      <w:r>
        <w:rPr>
          <w:rFonts w:hint="eastAsia" w:hAnsi="仿宋_GB2312" w:cs="仿宋_GB2312"/>
          <w:b w:val="0"/>
          <w:bCs w:val="0"/>
          <w:szCs w:val="32"/>
          <w:lang w:bidi="ar"/>
        </w:rPr>
        <w:t>科学统筹全域医疗资源配置</w:t>
      </w:r>
      <w:r>
        <w:rPr>
          <w:rFonts w:hint="default" w:hAnsi="仿宋_GB2312" w:cs="仿宋_GB2312"/>
          <w:b w:val="0"/>
          <w:bCs w:val="0"/>
          <w:szCs w:val="32"/>
          <w:lang w:bidi="ar"/>
        </w:rPr>
        <w:t>。优化社康机构网点布局，巩固提升“十分钟健康圈”，</w:t>
      </w:r>
      <w:r>
        <w:rPr>
          <w:rFonts w:hint="eastAsia" w:hAnsi="仿宋_GB2312" w:cs="仿宋_GB2312"/>
          <w:b w:val="0"/>
          <w:bCs w:val="0"/>
          <w:szCs w:val="32"/>
          <w:lang w:bidi="ar"/>
        </w:rPr>
        <w:t>推动医疗资源均衡布局、高效利用，不断提升医疗服务可及性与公平性</w:t>
      </w:r>
      <w:r>
        <w:rPr>
          <w:rFonts w:hint="default" w:hAnsi="仿宋_GB2312" w:cs="仿宋_GB2312"/>
          <w:b w:val="0"/>
          <w:bCs w:val="0"/>
          <w:szCs w:val="32"/>
          <w:lang w:bidi="ar"/>
        </w:rPr>
        <w:t>。</w:t>
      </w:r>
      <w:r>
        <w:rPr>
          <w:rFonts w:hint="eastAsia" w:hAnsi="仿宋_GB2312" w:cs="仿宋_GB2312"/>
          <w:b w:val="0"/>
          <w:bCs w:val="0"/>
          <w:szCs w:val="32"/>
          <w:lang w:bidi="ar"/>
        </w:rPr>
        <w:t>明确各级医疗机构功能定位，</w:t>
      </w:r>
      <w:r>
        <w:rPr>
          <w:rFonts w:hint="default" w:hAnsi="仿宋_GB2312" w:cs="仿宋_GB2312"/>
          <w:b w:val="0"/>
          <w:bCs w:val="0"/>
          <w:szCs w:val="32"/>
          <w:lang w:bidi="ar"/>
        </w:rPr>
        <w:t>强化三级公立医院疑难危重病诊疗、多学科诊疗、医学教学、技术辐射</w:t>
      </w:r>
      <w:r>
        <w:rPr>
          <w:rFonts w:hint="eastAsia" w:hAnsi="仿宋_GB2312" w:cs="仿宋_GB2312"/>
          <w:b w:val="0"/>
          <w:bCs w:val="0"/>
          <w:szCs w:val="32"/>
          <w:lang w:bidi="ar"/>
        </w:rPr>
        <w:t>等方面的核心作用</w:t>
      </w:r>
      <w:r>
        <w:rPr>
          <w:rFonts w:hint="default" w:hAnsi="仿宋_GB2312" w:cs="仿宋_GB2312"/>
          <w:b w:val="0"/>
          <w:bCs w:val="0"/>
          <w:szCs w:val="32"/>
          <w:lang w:bidi="ar"/>
        </w:rPr>
        <w:t>，夯实社康机构服务基础，重点承接常见病、多发病诊疗，全面落实首诊服务、基本医疗、基本公共卫生、健康管理、慢病随访、长期护理等职责。</w:t>
      </w:r>
    </w:p>
    <w:p>
      <w:pPr>
        <w:pStyle w:val="88"/>
        <w:jc w:val="left"/>
        <w:rPr>
          <w:rFonts w:hint="default" w:hAnsi="仿宋_GB2312" w:cs="仿宋_GB2312"/>
          <w:b w:val="0"/>
          <w:bCs w:val="0"/>
          <w:szCs w:val="32"/>
          <w:lang w:bidi="ar"/>
        </w:rPr>
      </w:pPr>
      <w:r>
        <w:rPr>
          <w:rFonts w:hint="default" w:hAnsi="仿宋_GB2312" w:cs="仿宋_GB2312"/>
          <w:b/>
          <w:bCs/>
          <w:szCs w:val="32"/>
          <w:lang w:bidi="ar"/>
        </w:rPr>
        <w:t>3.深化紧密型城市医疗集团建设。</w:t>
      </w:r>
      <w:r>
        <w:rPr>
          <w:rFonts w:hint="default" w:hAnsi="仿宋_GB2312" w:cs="仿宋_GB2312"/>
          <w:b w:val="0"/>
          <w:bCs w:val="0"/>
          <w:szCs w:val="32"/>
          <w:lang w:bidi="ar"/>
        </w:rPr>
        <w:t>贯彻落实紧密型城市医疗集团“院办院管”体制，完善医疗集团治理结构，完善医疗、运营、信息、人事、财务、绩效一体化管理，</w:t>
      </w:r>
      <w:r>
        <w:rPr>
          <w:rFonts w:hint="eastAsia" w:hAnsi="仿宋_GB2312" w:cs="仿宋_GB2312"/>
          <w:b w:val="0"/>
          <w:bCs w:val="0"/>
          <w:szCs w:val="32"/>
          <w:lang w:bidi="ar"/>
        </w:rPr>
        <w:t>提升集团整体运行效能</w:t>
      </w:r>
      <w:r>
        <w:rPr>
          <w:rFonts w:hint="default" w:hAnsi="仿宋_GB2312" w:cs="仿宋_GB2312"/>
          <w:b w:val="0"/>
          <w:bCs w:val="0"/>
          <w:szCs w:val="32"/>
          <w:lang w:bidi="ar"/>
        </w:rPr>
        <w:t>。深化医院与社康“机构、人员、数据、全专、服务”五个融合</w:t>
      </w:r>
      <w:r>
        <w:rPr>
          <w:rFonts w:hint="eastAsia" w:hAnsi="仿宋_GB2312" w:cs="仿宋_GB2312"/>
          <w:b w:val="0"/>
          <w:bCs w:val="0"/>
          <w:szCs w:val="32"/>
          <w:lang w:bidi="ar"/>
        </w:rPr>
        <w:t>推动优质医疗资源上下贯通、高效联动</w:t>
      </w:r>
      <w:r>
        <w:rPr>
          <w:rFonts w:hint="default" w:hAnsi="仿宋_GB2312" w:cs="仿宋_GB2312"/>
          <w:b w:val="0"/>
          <w:bCs w:val="0"/>
          <w:szCs w:val="32"/>
          <w:lang w:bidi="ar"/>
        </w:rPr>
        <w:t>。</w:t>
      </w:r>
      <w:r>
        <w:rPr>
          <w:rFonts w:hint="eastAsia" w:hAnsi="仿宋_GB2312" w:cs="仿宋_GB2312"/>
          <w:b w:val="0"/>
          <w:bCs w:val="0"/>
          <w:szCs w:val="32"/>
          <w:lang w:bidi="ar"/>
        </w:rPr>
        <w:t>统一诊疗规范与质控标准，加强业务培训，推进医疗质量同质化</w:t>
      </w:r>
      <w:r>
        <w:rPr>
          <w:rFonts w:hint="default" w:hAnsi="仿宋_GB2312" w:cs="仿宋_GB2312"/>
          <w:b w:val="0"/>
          <w:bCs w:val="0"/>
          <w:szCs w:val="32"/>
          <w:lang w:bidi="ar"/>
        </w:rPr>
        <w:t>管理。健全家医签约、健康管理、安宁疗护、康复护理、医养结合、医育结合衔接机制，形成预防、治疗、康复、健康管理全周期服务闭环。</w:t>
      </w:r>
    </w:p>
    <w:p>
      <w:pPr>
        <w:pStyle w:val="88"/>
        <w:jc w:val="left"/>
        <w:rPr>
          <w:rFonts w:hint="default" w:hAnsi="仿宋_GB2312" w:cs="仿宋_GB2312"/>
          <w:b w:val="0"/>
          <w:bCs w:val="0"/>
          <w:szCs w:val="32"/>
          <w:lang w:bidi="ar"/>
        </w:rPr>
      </w:pPr>
      <w:r>
        <w:rPr>
          <w:rFonts w:hint="default" w:hAnsi="仿宋_GB2312" w:cs="仿宋_GB2312"/>
          <w:b/>
          <w:bCs/>
          <w:szCs w:val="32"/>
          <w:lang w:bidi="ar"/>
        </w:rPr>
        <w:t>4.完善高效转诊会诊服务机制。</w:t>
      </w:r>
      <w:r>
        <w:rPr>
          <w:rFonts w:hint="default" w:hAnsi="仿宋_GB2312" w:cs="仿宋_GB2312"/>
          <w:b w:val="0"/>
          <w:bCs w:val="0"/>
          <w:szCs w:val="32"/>
          <w:lang w:bidi="ar"/>
        </w:rPr>
        <w:t>健全区属公立医院转诊会诊服务体系，明确专门机构或部门承担转诊会诊相关工作，为群众提供全流程、一体化服务保障。探索以全科医学科为纽带设立会诊转诊服务中心，建立规范、高效、便捷的转诊绿色通道，明确上转、下转标准与流程，推动社康与上级医院设立慢性病联合门诊、联合病房，推进防治康管全链条协同提供连续性健康管理服务。探索医保支付对基层转诊会诊支持政策，推行家庭医生预约转诊住院“起付线可连续计算”措施，</w:t>
      </w:r>
      <w:r>
        <w:rPr>
          <w:rFonts w:hint="eastAsia" w:hAnsi="仿宋_GB2312" w:cs="仿宋_GB2312"/>
          <w:b w:val="0"/>
          <w:bCs w:val="0"/>
          <w:szCs w:val="32"/>
          <w:lang w:bidi="ar"/>
        </w:rPr>
        <w:t>健全转诊</w:t>
      </w:r>
      <w:r>
        <w:rPr>
          <w:rFonts w:hint="default" w:hAnsi="仿宋_GB2312" w:cs="仿宋_GB2312"/>
          <w:b w:val="0"/>
          <w:bCs w:val="0"/>
          <w:szCs w:val="32"/>
          <w:lang w:bidi="ar"/>
        </w:rPr>
        <w:t>会诊</w:t>
      </w:r>
      <w:r>
        <w:rPr>
          <w:rFonts w:hint="eastAsia" w:hAnsi="仿宋_GB2312" w:cs="仿宋_GB2312"/>
          <w:b w:val="0"/>
          <w:bCs w:val="0"/>
          <w:szCs w:val="32"/>
          <w:lang w:bidi="ar"/>
        </w:rPr>
        <w:t>相关费用合理分担机制</w:t>
      </w:r>
      <w:r>
        <w:rPr>
          <w:rFonts w:hint="default" w:hAnsi="仿宋_GB2312" w:cs="仿宋_GB2312"/>
          <w:b w:val="0"/>
          <w:bCs w:val="0"/>
          <w:szCs w:val="32"/>
          <w:lang w:bidi="ar"/>
        </w:rPr>
        <w:t>。</w:t>
      </w:r>
    </w:p>
    <w:bookmarkEnd w:id="35"/>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642" w:type="dxa"/>
            <w:vAlign w:val="center"/>
          </w:tcPr>
          <w:p>
            <w:pPr>
              <w:spacing w:after="0" w:line="580" w:lineRule="exact"/>
              <w:ind w:firstLine="0" w:firstLineChars="0"/>
              <w:jc w:val="center"/>
              <w:rPr>
                <w:rFonts w:hint="eastAsia" w:hAnsi="黑体" w:cs="黑体"/>
                <w:b/>
                <w:bCs/>
                <w:sz w:val="28"/>
                <w:szCs w:val="28"/>
              </w:rPr>
            </w:pPr>
            <w:bookmarkStart w:id="39" w:name="OLE_LINK7"/>
            <w:r>
              <w:rPr>
                <w:rFonts w:hint="eastAsia" w:hAnsi="黑体" w:cs="黑体"/>
                <w:b/>
                <w:bCs/>
                <w:sz w:val="28"/>
                <w:szCs w:val="28"/>
              </w:rPr>
              <w:t>专栏1：分级诊疗“龙华模式”建设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642" w:type="dxa"/>
            <w:vAlign w:val="center"/>
          </w:tcPr>
          <w:p>
            <w:pPr>
              <w:pStyle w:val="8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2"/>
              <w:rPr>
                <w:rFonts w:hint="eastAsia" w:hAnsi="仿宋_GB2312" w:cs="仿宋_GB2312"/>
                <w:bCs/>
                <w:sz w:val="28"/>
                <w:szCs w:val="28"/>
                <w:lang w:bidi="ar"/>
              </w:rPr>
            </w:pPr>
            <w:r>
              <w:rPr>
                <w:rFonts w:hint="eastAsia" w:hAnsi="仿宋_GB2312" w:cs="仿宋_GB2312"/>
                <w:b/>
                <w:sz w:val="28"/>
                <w:szCs w:val="28"/>
                <w:lang w:bidi="ar"/>
              </w:rPr>
              <w:t>优质医疗资源下沉专项行动：</w:t>
            </w:r>
            <w:r>
              <w:rPr>
                <w:rFonts w:hint="eastAsia" w:hAnsi="仿宋_GB2312" w:cs="仿宋_GB2312"/>
                <w:bCs/>
                <w:sz w:val="28"/>
                <w:szCs w:val="28"/>
                <w:lang w:bidi="ar"/>
              </w:rPr>
              <w:t>打造基层健康服务品牌，推进社康特色化、差异化发展，将参与医防融合情况作为重点学科绩效评价的重要指标。加大全科医生转岗力度，力争重点学科全科医生转岗比例不低于50%。</w:t>
            </w:r>
            <w:r>
              <w:rPr>
                <w:rFonts w:hAnsi="仿宋_GB2312" w:cs="仿宋_GB2312"/>
                <w:bCs/>
                <w:sz w:val="28"/>
                <w:szCs w:val="28"/>
                <w:lang w:bidi="ar"/>
              </w:rPr>
              <w:t>推动全专融合，</w:t>
            </w:r>
            <w:r>
              <w:rPr>
                <w:rFonts w:hint="eastAsia" w:hAnsi="仿宋_GB2312" w:cs="仿宋_GB2312"/>
                <w:bCs/>
                <w:sz w:val="28"/>
                <w:szCs w:val="28"/>
                <w:lang w:bidi="ar"/>
              </w:rPr>
              <w:t>支持院本部优质专科资源下放，鼓励各学科开设社康专家工作室或开展“专家进社康”活动。</w:t>
            </w:r>
          </w:p>
          <w:p>
            <w:pPr>
              <w:pStyle w:val="8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2"/>
              <w:rPr>
                <w:rFonts w:hint="eastAsia" w:hAnsi="仿宋_GB2312" w:cs="仿宋_GB2312"/>
                <w:bCs/>
                <w:sz w:val="28"/>
                <w:szCs w:val="28"/>
                <w:lang w:bidi="ar"/>
              </w:rPr>
            </w:pPr>
            <w:r>
              <w:rPr>
                <w:rFonts w:hint="eastAsia" w:hAnsi="仿宋_GB2312" w:cs="仿宋_GB2312"/>
                <w:b/>
                <w:sz w:val="28"/>
                <w:szCs w:val="28"/>
                <w:lang w:bidi="ar"/>
              </w:rPr>
              <w:t>区域绿色上转通道计划：</w:t>
            </w:r>
            <w:r>
              <w:rPr>
                <w:rFonts w:hint="eastAsia" w:hAnsi="仿宋_GB2312" w:cs="仿宋_GB2312"/>
                <w:bCs/>
                <w:sz w:val="28"/>
                <w:szCs w:val="28"/>
                <w:lang w:bidi="ar"/>
              </w:rPr>
              <w:t>区属医院至少预留1/3门诊号源和1/4住院床位，优先保障家庭医生签约服务团队及社康机构转诊需求。推广家庭医生预约专科门诊、开具大型设备检查、直接预约住院等服务模式。</w:t>
            </w:r>
          </w:p>
          <w:p>
            <w:pPr>
              <w:pStyle w:val="8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2"/>
              <w:rPr>
                <w:rFonts w:hint="eastAsia" w:hAnsi="仿宋_GB2312" w:cs="仿宋_GB2312"/>
                <w:bCs/>
                <w:sz w:val="28"/>
                <w:szCs w:val="28"/>
                <w:lang w:bidi="ar"/>
              </w:rPr>
            </w:pPr>
            <w:r>
              <w:rPr>
                <w:rFonts w:hint="eastAsia" w:hAnsi="仿宋_GB2312" w:cs="仿宋_GB2312"/>
                <w:b/>
                <w:sz w:val="28"/>
                <w:szCs w:val="28"/>
                <w:lang w:bidi="ar"/>
              </w:rPr>
              <w:t>区域精准下转模式计划：</w:t>
            </w:r>
            <w:r>
              <w:rPr>
                <w:rFonts w:hint="eastAsia" w:hAnsi="仿宋_GB2312" w:cs="仿宋_GB2312"/>
                <w:bCs/>
                <w:sz w:val="28"/>
                <w:szCs w:val="28"/>
                <w:lang w:bidi="ar"/>
              </w:rPr>
              <w:t>转诊机构应根据患者诊疗信息实现精准下转至社康，优先转诊至签约社康，其次为居住地就近社康，所有确诊早孕的孕妇、慢性病患者（高血压、糖尿病、慢阻肺）、老年人实现应转尽转。</w:t>
            </w:r>
          </w:p>
          <w:p>
            <w:pPr>
              <w:pStyle w:val="8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2"/>
              <w:rPr>
                <w:rFonts w:hint="eastAsia" w:hAnsi="仿宋_GB2312" w:cs="仿宋_GB2312"/>
                <w:bCs/>
                <w:sz w:val="28"/>
                <w:szCs w:val="28"/>
                <w:lang w:bidi="ar"/>
              </w:rPr>
            </w:pPr>
            <w:r>
              <w:rPr>
                <w:rFonts w:hint="eastAsia" w:hAnsi="仿宋_GB2312" w:cs="仿宋_GB2312"/>
                <w:b/>
                <w:sz w:val="28"/>
                <w:szCs w:val="28"/>
                <w:lang w:bidi="ar"/>
              </w:rPr>
              <w:t>“一站式”全专结合服务项目：</w:t>
            </w:r>
            <w:r>
              <w:rPr>
                <w:rFonts w:hint="eastAsia" w:hAnsi="仿宋_GB2312" w:cs="仿宋_GB2312"/>
                <w:bCs/>
                <w:sz w:val="28"/>
                <w:szCs w:val="28"/>
                <w:lang w:bidi="ar"/>
              </w:rPr>
              <w:t>通过在社康设立专家工作室、专科医生直接参与签约服务、家庭医生经绿色通道优先转诊专科医生等形式，为签约居民提供“一站式”全专结合服务，优化全专融合服务机制，加强全科与专科的协作衔接，打通诊疗服务的“最后一公里”。</w:t>
            </w:r>
          </w:p>
        </w:tc>
      </w:tr>
      <w:bookmarkEnd w:id="37"/>
      <w:bookmarkEnd w:id="39"/>
    </w:tbl>
    <w:p>
      <w:pPr>
        <w:pStyle w:val="5"/>
        <w:keepNext w:val="0"/>
        <w:keepLines w:val="0"/>
        <w:spacing w:after="0"/>
        <w:ind w:firstLine="640"/>
        <w:rPr>
          <w:rFonts w:hint="eastAsia" w:hAnsi="楷体_GB2312" w:cs="楷体_GB2312"/>
        </w:rPr>
      </w:pPr>
      <w:bookmarkStart w:id="40" w:name="_Toc230463243"/>
      <w:bookmarkStart w:id="41" w:name="_Toc217379412"/>
      <w:r>
        <w:rPr>
          <w:rFonts w:hint="eastAsia" w:hAnsi="楷体_GB2312" w:cs="楷体_GB2312"/>
        </w:rPr>
        <w:t>（二）</w:t>
      </w:r>
      <w:r>
        <w:rPr>
          <w:rFonts w:hAnsi="楷体_GB2312" w:cs="楷体_GB2312"/>
        </w:rPr>
        <w:t>做优做强</w:t>
      </w:r>
      <w:r>
        <w:rPr>
          <w:rFonts w:hint="eastAsia" w:hAnsi="楷体_GB2312" w:cs="楷体_GB2312"/>
        </w:rPr>
        <w:t>，</w:t>
      </w:r>
      <w:r>
        <w:rPr>
          <w:rFonts w:hAnsi="楷体_GB2312" w:cs="楷体_GB2312"/>
        </w:rPr>
        <w:t>推动公立医院高质量内涵式发展</w:t>
      </w:r>
      <w:bookmarkEnd w:id="38"/>
      <w:bookmarkEnd w:id="40"/>
      <w:bookmarkEnd w:id="41"/>
    </w:p>
    <w:p>
      <w:pPr>
        <w:ind w:firstLine="643"/>
        <w:rPr>
          <w:rFonts w:hint="eastAsia" w:hAnsi="仿宋_GB2312" w:cs="仿宋_GB2312"/>
          <w:szCs w:val="32"/>
        </w:rPr>
      </w:pPr>
      <w:r>
        <w:rPr>
          <w:rFonts w:hint="eastAsia"/>
          <w:b/>
          <w:bCs/>
        </w:rPr>
        <w:t>5.实施区属公立医院高质量发展战略。</w:t>
      </w:r>
      <w:r>
        <w:rPr>
          <w:rFonts w:hint="eastAsia" w:hAnsi="仿宋_GB2312" w:cs="仿宋_GB2312"/>
          <w:bCs/>
          <w:szCs w:val="32"/>
        </w:rPr>
        <w:t>统筹推进区属公立医院高质量错位发展，持续推进区人民医院、区中心医院高水平建设，支持区妇幼保健院争创三级甲等医院，推动区中医院、区口腔医院新建医院高标准建设运营，</w:t>
      </w:r>
      <w:r>
        <w:rPr>
          <w:rFonts w:hint="eastAsia"/>
        </w:rPr>
        <w:t>力争公立医院“国考”达到A级及以上不少于3家。鼓励区属医院与高水平医学院校共建附属医院，深化区属医院与南方科技大学、深圳大学、广州中医药大学、南方医科大学、深圳理工大学等高水平医学院校的合作，推动“产学研”深度融合，打造“医教研产才”综合体。</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642" w:type="dxa"/>
            <w:vAlign w:val="center"/>
          </w:tcPr>
          <w:p>
            <w:pPr>
              <w:spacing w:after="0" w:line="580" w:lineRule="exact"/>
              <w:ind w:firstLine="0" w:firstLineChars="0"/>
              <w:jc w:val="center"/>
              <w:rPr>
                <w:rFonts w:hint="eastAsia" w:hAnsi="黑体" w:cs="黑体"/>
                <w:b/>
                <w:bCs/>
                <w:sz w:val="28"/>
                <w:szCs w:val="28"/>
              </w:rPr>
            </w:pPr>
            <w:r>
              <w:rPr>
                <w:rFonts w:hint="eastAsia" w:hAnsi="黑体" w:cs="黑体"/>
                <w:b/>
                <w:bCs/>
                <w:sz w:val="28"/>
                <w:szCs w:val="28"/>
              </w:rPr>
              <w:t>专栏2：区属公立医院高质量发展行动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642" w:type="dxa"/>
            <w:vAlign w:val="center"/>
          </w:tcPr>
          <w:p>
            <w:pPr>
              <w:widowControl/>
              <w:spacing w:after="0" w:line="240" w:lineRule="auto"/>
              <w:ind w:firstLine="562"/>
              <w:jc w:val="left"/>
              <w:rPr>
                <w:rFonts w:hint="eastAsia" w:hAnsi="仿宋_GB2312" w:cs="仿宋_GB2312"/>
                <w:b/>
                <w:sz w:val="28"/>
                <w:szCs w:val="28"/>
                <w:lang w:bidi="ar"/>
              </w:rPr>
            </w:pPr>
            <w:r>
              <w:rPr>
                <w:rFonts w:hint="eastAsia" w:hAnsi="仿宋_GB2312" w:cs="仿宋_GB2312"/>
                <w:b/>
                <w:sz w:val="28"/>
                <w:szCs w:val="28"/>
                <w:lang w:bidi="ar"/>
              </w:rPr>
              <w:t>区人民医院：</w:t>
            </w:r>
            <w:r>
              <w:rPr>
                <w:rFonts w:hint="eastAsia" w:hAnsi="仿宋_GB2312" w:cs="仿宋_GB2312"/>
                <w:bCs/>
                <w:sz w:val="28"/>
                <w:szCs w:val="28"/>
                <w:lang w:bidi="ar"/>
              </w:rPr>
              <w:t>推动建成均质等效的分级诊疗协同机制新范式。到2030年，力争国家三级公立医院绩效考核进入A+级序列，医院技术水平、服务能力和运营效益达到全市区级医院先进水平，居民健康及医疗服务指标达到国内先进水平。全面推进信息化与智能化建设，实现电子病历系统应用水平分级评价6级水准、智慧服务分级评估3级、互联互通标准化成熟度达5级乙等。增加省级及以上科研项目5-10项，独立或参与出版医学专著5-10册，科研成果转化4-8项。</w:t>
            </w:r>
          </w:p>
          <w:p>
            <w:pPr>
              <w:widowControl/>
              <w:spacing w:after="0" w:line="240" w:lineRule="auto"/>
              <w:ind w:firstLine="562"/>
              <w:jc w:val="left"/>
              <w:rPr>
                <w:rFonts w:hint="eastAsia" w:hAnsi="仿宋_GB2312" w:cs="仿宋_GB2312"/>
                <w:b/>
                <w:sz w:val="28"/>
                <w:szCs w:val="28"/>
                <w:lang w:bidi="ar"/>
              </w:rPr>
            </w:pPr>
            <w:r>
              <w:rPr>
                <w:rFonts w:hint="eastAsia" w:hAnsi="仿宋_GB2312" w:cs="仿宋_GB2312"/>
                <w:b/>
                <w:sz w:val="28"/>
                <w:szCs w:val="28"/>
                <w:lang w:bidi="ar"/>
              </w:rPr>
              <w:t>南方科技大学全科医学院项目：</w:t>
            </w:r>
            <w:r>
              <w:rPr>
                <w:rFonts w:hint="eastAsia" w:hAnsi="仿宋_GB2312" w:cs="仿宋_GB2312"/>
                <w:bCs/>
                <w:sz w:val="28"/>
                <w:szCs w:val="28"/>
                <w:lang w:bidi="ar"/>
              </w:rPr>
              <w:t>支持建设南方科技大学全科医学院，打造学科交叉融合型师资队伍，探索形成全链条全科医学人才培养体系，聚焦重点领域形成突破性成果。依托南方科技大学全科医学院建成一流全科医师培养基地、全科住院医师规培基地，谋划建设全科医学技能培训中心等项目，力争未来5年招收全科医学博士30人左右。</w:t>
            </w:r>
          </w:p>
          <w:p>
            <w:pPr>
              <w:widowControl/>
              <w:spacing w:after="0" w:line="240" w:lineRule="auto"/>
              <w:ind w:firstLine="562"/>
              <w:jc w:val="left"/>
              <w:rPr>
                <w:rFonts w:hint="eastAsia" w:hAnsi="仿宋_GB2312" w:cs="仿宋_GB2312"/>
                <w:bCs/>
                <w:sz w:val="28"/>
                <w:szCs w:val="28"/>
                <w:lang w:bidi="ar"/>
              </w:rPr>
            </w:pPr>
            <w:r>
              <w:rPr>
                <w:rFonts w:hint="eastAsia" w:hAnsi="仿宋_GB2312" w:cs="仿宋_GB2312"/>
                <w:b/>
                <w:sz w:val="28"/>
                <w:szCs w:val="28"/>
                <w:lang w:bidi="ar"/>
              </w:rPr>
              <w:t>区中心医院：</w:t>
            </w:r>
            <w:r>
              <w:rPr>
                <w:rFonts w:hint="eastAsia" w:hAnsi="仿宋_GB2312" w:cs="仿宋_GB2312"/>
                <w:bCs/>
                <w:sz w:val="28"/>
                <w:szCs w:val="28"/>
                <w:lang w:bidi="ar"/>
              </w:rPr>
              <w:t>锚定“打造区域领先、特色鲜明的现代化综合性医院”战略定位，推动医院高标准通过三甲复审，国家三级公立医院绩效考核进入A级序列，国考核心指标达市内先进水平，医疗技术、服务能级稳居全国区级医院第一方阵，实现全院病区优质护理服务100%覆盖，免陪照护病区覆盖率100%。高质量完成深圳大学附属医院创建，获批1个市级临床教学培训示范中心，与3-5家顶尖企业共建转化平台，转化成果5项以上。突破2-3项国家级限制性技术。建成5G智慧医疗示范院区。新增国家级科研项目3项、省部级15项、市厅级20项，承接40-50项药物/医疗器械临床试验项目。</w:t>
            </w:r>
          </w:p>
          <w:p>
            <w:pPr>
              <w:widowControl/>
              <w:spacing w:after="0" w:line="240" w:lineRule="auto"/>
              <w:ind w:firstLine="562"/>
              <w:jc w:val="left"/>
              <w:rPr>
                <w:rFonts w:hint="eastAsia" w:hAnsi="仿宋_GB2312" w:cs="仿宋_GB2312"/>
                <w:b/>
                <w:sz w:val="28"/>
                <w:szCs w:val="28"/>
                <w:lang w:bidi="ar"/>
              </w:rPr>
            </w:pPr>
            <w:r>
              <w:rPr>
                <w:rFonts w:hint="eastAsia" w:hAnsi="仿宋_GB2312" w:cs="仿宋_GB2312"/>
                <w:b/>
                <w:sz w:val="28"/>
                <w:szCs w:val="28"/>
                <w:lang w:bidi="ar"/>
              </w:rPr>
              <w:t>区妇幼保健院：</w:t>
            </w:r>
            <w:r>
              <w:rPr>
                <w:rFonts w:hint="eastAsia" w:hAnsi="仿宋_GB2312" w:cs="仿宋_GB2312"/>
                <w:bCs/>
                <w:sz w:val="28"/>
                <w:szCs w:val="28"/>
                <w:lang w:bidi="ar"/>
              </w:rPr>
              <w:t>锚定“服务大湾区妇儿、打造行业标杆”定位，全力创建三级甲等妇幼保健院，完成新院区（区公共卫生临床中心）建设，构建“国家级学科引领、省级专科突破、市级优势夯实”的阶梯式学科矩阵，守好生育安全底线，落实“五健”促进行动。到2030年，力争国家三级公立医院绩效考核保持A+级序列，取得夫精人工授精（AIH）、体外受精-胚胎移植（IVF-ET）辅助生殖资质。实现电子病历五级评审达标，夯实智慧医疗基础，保持群众满意度全市前十名。</w:t>
            </w:r>
          </w:p>
          <w:p>
            <w:pPr>
              <w:widowControl/>
              <w:spacing w:after="0" w:line="240" w:lineRule="auto"/>
              <w:ind w:firstLine="562"/>
              <w:jc w:val="left"/>
              <w:rPr>
                <w:rFonts w:hint="eastAsia" w:hAnsi="仿宋_GB2312" w:cs="仿宋_GB2312"/>
                <w:bCs/>
                <w:sz w:val="28"/>
                <w:szCs w:val="28"/>
                <w:lang w:bidi="ar"/>
              </w:rPr>
            </w:pPr>
            <w:r>
              <w:rPr>
                <w:rFonts w:hint="eastAsia" w:hAnsi="仿宋_GB2312" w:cs="仿宋_GB2312"/>
                <w:b/>
                <w:sz w:val="28"/>
                <w:szCs w:val="28"/>
                <w:lang w:bidi="ar"/>
              </w:rPr>
              <w:t>区中医院：</w:t>
            </w:r>
            <w:r>
              <w:rPr>
                <w:rFonts w:hint="eastAsia" w:hAnsi="仿宋_GB2312" w:cs="仿宋_GB2312"/>
                <w:bCs/>
                <w:sz w:val="28"/>
                <w:szCs w:val="28"/>
                <w:lang w:bidi="ar"/>
              </w:rPr>
              <w:t>以聚焦全链条的中西医结合特色诊疗服务，建设“立足龙华、辐射湾区、全国知名”的现代化、智慧化、特色化高水平的三级甲等中医医院为建设目标。医院正式开业1年内，开放床位达到医院设计床位25%以上；开业后2年内，开放床位达到医院设计床位50%以上；开业后3年内，门、急诊全部开放，开放床位达到医院设计床位75%以上；达到三级中医院建设标准；完成智慧医院基础框架搭建，上线AI辅助诊断系统。</w:t>
            </w:r>
          </w:p>
          <w:p>
            <w:pPr>
              <w:pStyle w:val="88"/>
              <w:ind w:firstLine="560"/>
              <w:rPr>
                <w:rFonts w:hint="eastAsia" w:hAnsi="仿宋_GB2312" w:cs="仿宋_GB2312"/>
                <w:bCs/>
                <w:sz w:val="28"/>
                <w:szCs w:val="28"/>
                <w:lang w:bidi="ar"/>
              </w:rPr>
            </w:pPr>
            <w:r>
              <w:rPr>
                <w:rFonts w:hint="eastAsia" w:hAnsi="仿宋_GB2312" w:cs="仿宋_GB2312"/>
                <w:b/>
                <w:sz w:val="28"/>
                <w:szCs w:val="28"/>
                <w:lang w:bidi="ar"/>
              </w:rPr>
              <w:t>区口腔医院：</w:t>
            </w:r>
            <w:r>
              <w:rPr>
                <w:rFonts w:hint="eastAsia" w:hAnsi="仿宋_GB2312" w:cs="仿宋_GB2312"/>
                <w:bCs/>
                <w:sz w:val="28"/>
                <w:szCs w:val="28"/>
                <w:lang w:bidi="ar"/>
              </w:rPr>
              <w:t>围绕建设成区域专科门类最全、服务体系完善、诊疗水平先进，集医疗、科研、教学、预防等功能为一体的现代化三级甲等口腔专科医院为目标，2029年开业运营并开放急诊综合科、牙体牙髓科、口腔预防科等21个科室，2030年开放50张床位、60台牙椅。</w:t>
            </w:r>
          </w:p>
        </w:tc>
      </w:tr>
    </w:tbl>
    <w:p>
      <w:pPr>
        <w:pStyle w:val="88"/>
        <w:ind w:firstLine="643"/>
        <w:rPr>
          <w:rFonts w:hint="eastAsia" w:hAnsi="仿宋_GB2312" w:cs="仿宋_GB2312"/>
        </w:rPr>
      </w:pPr>
      <w:bookmarkStart w:id="42" w:name="OLE_LINK43"/>
      <w:r>
        <w:rPr>
          <w:rFonts w:hint="eastAsia" w:hAnsi="仿宋_GB2312" w:cs="仿宋_GB2312"/>
          <w:b/>
          <w:bCs/>
        </w:rPr>
        <w:t>6.</w:t>
      </w:r>
      <w:bookmarkStart w:id="43" w:name="OLE_LINK67"/>
      <w:r>
        <w:rPr>
          <w:rFonts w:hint="eastAsia"/>
          <w:b/>
          <w:bCs/>
        </w:rPr>
        <w:t>提升重点学科专科建设水平</w:t>
      </w:r>
      <w:bookmarkEnd w:id="43"/>
      <w:r>
        <w:rPr>
          <w:rFonts w:hint="eastAsia"/>
          <w:b/>
          <w:bCs/>
        </w:rPr>
        <w:t>。</w:t>
      </w:r>
      <w:r>
        <w:rPr>
          <w:rFonts w:hint="eastAsia"/>
        </w:rPr>
        <w:t>做强三甲医院龙头效应，集中力量发展区人民医院全科医学科、口腔科，区中心医院烧伤外科3个区级品牌重点学科，从科研、教学、人才引进、设备购置、学术会议举办等方面全面给予其资源倾斜</w:t>
      </w:r>
      <w:r>
        <w:rPr>
          <w:rFonts w:hint="eastAsia" w:hAnsi="仿宋_GB2312" w:cs="仿宋_GB2312"/>
        </w:rPr>
        <w:t>，</w:t>
      </w:r>
      <w:r>
        <w:rPr>
          <w:rFonts w:hAnsi="仿宋_GB2312" w:cs="仿宋_GB2312"/>
        </w:rPr>
        <w:t>强化特色优势，打造学科高峰</w:t>
      </w:r>
      <w:r>
        <w:rPr>
          <w:rFonts w:hint="eastAsia"/>
        </w:rPr>
        <w:t>。支持区人民医院全科医学科建立基层全科医生“阶梯式”继续教育人才培养体系，打造深圳市全科医学示范中心，支持口腔科深化院社融合，推动院部-社康口腔同质化发展，打造“预防优先、医防共融”的服务模式。支持区中心医院烧伤外科积极开展皮肤移植、创面修复、气道盥洗等先进技术，专科能力达到省内先进水平，强化品牌学科优势，推进区属医院专科差异化、特色化、品牌化发展。</w:t>
      </w:r>
      <w:r>
        <w:t>支持区妇保院发挥妇幼专科特色，在妇幼保健，儿童康复等领域发力，与综合医院形成互补。</w:t>
      </w:r>
      <w:r>
        <w:rPr>
          <w:rFonts w:hAnsi="仿宋_GB2312" w:cs="仿宋_GB2312"/>
        </w:rPr>
        <w:t>“十五五”期间，力争新增2个及以上市级医学重点学科或特色专科，打造1-2个在国内具有影响力的临床专科</w:t>
      </w:r>
      <w:r>
        <w:rPr>
          <w:rFonts w:hint="eastAsia" w:hAnsi="仿宋_GB2312" w:cs="仿宋_GB2312"/>
        </w:rPr>
        <w:t>。</w:t>
      </w:r>
    </w:p>
    <w:bookmarkEnd w:id="42"/>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tcBorders>
              <w:top w:val="single" w:color="auto" w:sz="4" w:space="0"/>
              <w:left w:val="single" w:color="auto" w:sz="4" w:space="0"/>
              <w:bottom w:val="single" w:color="auto" w:sz="4" w:space="0"/>
              <w:right w:val="single" w:color="auto" w:sz="4" w:space="0"/>
            </w:tcBorders>
            <w:vAlign w:val="center"/>
          </w:tcPr>
          <w:p>
            <w:pPr>
              <w:spacing w:after="0" w:line="580" w:lineRule="exact"/>
              <w:ind w:firstLine="0" w:firstLineChars="0"/>
              <w:jc w:val="center"/>
              <w:rPr>
                <w:rFonts w:hint="eastAsia" w:hAnsi="仿宋_GB2312" w:cs="仿宋_GB2312"/>
                <w:b/>
                <w:bCs/>
              </w:rPr>
            </w:pPr>
            <w:r>
              <w:rPr>
                <w:rFonts w:hint="eastAsia" w:hAnsi="黑体" w:cs="黑体"/>
                <w:b/>
                <w:bCs/>
                <w:sz w:val="28"/>
                <w:szCs w:val="28"/>
              </w:rPr>
              <w:t>专栏3：重点学科建设工程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784" w:type="dxa"/>
            <w:tcBorders>
              <w:top w:val="single" w:color="auto" w:sz="4" w:space="0"/>
              <w:left w:val="single" w:color="auto" w:sz="4" w:space="0"/>
              <w:bottom w:val="single" w:color="auto" w:sz="4" w:space="0"/>
              <w:right w:val="single" w:color="auto" w:sz="4" w:space="0"/>
            </w:tcBorders>
            <w:vAlign w:val="center"/>
          </w:tcPr>
          <w:p>
            <w:pPr>
              <w:pStyle w:val="88"/>
              <w:ind w:firstLine="562"/>
              <w:rPr>
                <w:rFonts w:hint="eastAsia" w:hAnsi="仿宋_GB2312" w:cs="仿宋_GB2312"/>
                <w:bCs/>
                <w:sz w:val="28"/>
                <w:szCs w:val="28"/>
                <w:lang w:bidi="ar"/>
              </w:rPr>
            </w:pPr>
            <w:r>
              <w:rPr>
                <w:rFonts w:hint="eastAsia" w:hAnsi="仿宋_GB2312" w:cs="仿宋_GB2312"/>
                <w:b/>
                <w:sz w:val="28"/>
                <w:szCs w:val="28"/>
                <w:lang w:bidi="ar"/>
              </w:rPr>
              <w:t>区人民医院：</w:t>
            </w:r>
            <w:r>
              <w:rPr>
                <w:rFonts w:hint="eastAsia" w:hAnsi="仿宋_GB2312" w:cs="仿宋_GB2312"/>
                <w:bCs/>
                <w:sz w:val="28"/>
                <w:szCs w:val="28"/>
                <w:lang w:bidi="ar"/>
              </w:rPr>
              <w:t>以发展“两学科两中心”（全科医学科、口腔科、骨科医学中心、消化病诊疗中心)为优先引领、其他学科（心内科、泌尿外科、急诊科、临床心理科）协同的发展体系。争取发展1个国家级全科医学重点专科，1—2个省级医学重点专科、1-2个市级医学重点专科、10个区级医学重点学科。</w:t>
            </w:r>
          </w:p>
          <w:p>
            <w:pPr>
              <w:pStyle w:val="88"/>
              <w:ind w:firstLine="562"/>
              <w:rPr>
                <w:rFonts w:hint="eastAsia" w:hAnsi="仿宋_GB2312" w:cs="仿宋_GB2312"/>
                <w:bCs/>
                <w:sz w:val="28"/>
                <w:szCs w:val="28"/>
                <w:lang w:bidi="ar"/>
              </w:rPr>
            </w:pPr>
            <w:r>
              <w:rPr>
                <w:rFonts w:hint="eastAsia" w:hAnsi="仿宋_GB2312" w:cs="仿宋_GB2312"/>
                <w:b/>
                <w:sz w:val="28"/>
                <w:szCs w:val="28"/>
                <w:lang w:bidi="ar"/>
              </w:rPr>
              <w:t>区中心医院：</w:t>
            </w:r>
            <w:r>
              <w:rPr>
                <w:rFonts w:hint="eastAsia" w:hAnsi="仿宋_GB2312" w:cs="仿宋_GB2312"/>
                <w:color w:val="000000"/>
                <w:kern w:val="0"/>
                <w:sz w:val="28"/>
                <w:szCs w:val="28"/>
                <w:lang w:bidi="ar"/>
              </w:rPr>
              <w:t>以“创伤中心、皮肤美容与抗衰老中心、老年疾病诊疗中心、中西医结合康复中心、睡眠中心”五大专科集群为牵引，坚持“品牌学科重点建，一般学科全面建”原则，聚焦特色化、差异化发展，实施“3+X”学科分层建设策略，优先发展烧伤整形外科暨皮肤美容科、肾内科、老年医学科、神经内科、心血管内科、康复医学科，争创1—2个市级重点学科，1个达到省级重点专科建设标准，通过专科集群化发展，建设技术特色鲜明、服务链条完整的区域医疗高地。</w:t>
            </w:r>
          </w:p>
          <w:p>
            <w:pPr>
              <w:pStyle w:val="88"/>
              <w:ind w:firstLine="562"/>
              <w:rPr>
                <w:rFonts w:hint="eastAsia" w:hAnsi="仿宋_GB2312" w:cs="仿宋_GB2312"/>
                <w:bCs/>
                <w:sz w:val="28"/>
                <w:szCs w:val="28"/>
                <w:lang w:bidi="ar"/>
              </w:rPr>
            </w:pPr>
            <w:r>
              <w:rPr>
                <w:rFonts w:hint="eastAsia" w:hAnsi="仿宋_GB2312" w:cs="仿宋_GB2312"/>
                <w:b/>
                <w:sz w:val="28"/>
                <w:szCs w:val="28"/>
                <w:lang w:bidi="ar"/>
              </w:rPr>
              <w:t>区妇幼保健院：</w:t>
            </w:r>
            <w:r>
              <w:rPr>
                <w:rFonts w:hint="eastAsia" w:hAnsi="仿宋_GB2312" w:cs="仿宋_GB2312"/>
                <w:bCs/>
                <w:sz w:val="28"/>
                <w:szCs w:val="28"/>
                <w:lang w:bidi="ar"/>
              </w:rPr>
              <w:t>优先发展儿童神经康复科、产科、妇科、新生儿科，争取发展儿童神经康复科为市级医学重点专科并争取发展为国家级特色专科，开设中医妇科、儿科联合门诊，争创省级中医特色专科。建设青春期保健特色专科门诊，完善从儿童到老年女性的全周期妇科专科体系。</w:t>
            </w:r>
          </w:p>
          <w:p>
            <w:pPr>
              <w:pStyle w:val="88"/>
              <w:ind w:firstLine="562"/>
              <w:rPr>
                <w:rFonts w:hint="eastAsia" w:hAnsi="仿宋_GB2312" w:cs="仿宋_GB2312"/>
                <w:bCs/>
                <w:sz w:val="28"/>
                <w:szCs w:val="28"/>
                <w:lang w:bidi="ar"/>
              </w:rPr>
            </w:pPr>
            <w:r>
              <w:rPr>
                <w:rFonts w:hint="eastAsia" w:hAnsi="仿宋_GB2312" w:cs="仿宋_GB2312"/>
                <w:b/>
                <w:sz w:val="28"/>
                <w:szCs w:val="28"/>
                <w:lang w:bidi="ar"/>
              </w:rPr>
              <w:t>区中医院：</w:t>
            </w:r>
            <w:r>
              <w:rPr>
                <w:rFonts w:hint="eastAsia" w:hAnsi="仿宋_GB2312" w:cs="仿宋_GB2312"/>
                <w:bCs/>
                <w:sz w:val="28"/>
                <w:szCs w:val="28"/>
                <w:lang w:bidi="ar"/>
              </w:rPr>
              <w:t>重点发展急诊科、妇科、肿瘤科、骨伤科、肝胆脾胃病科、针灸推拿康复科等专科，开展中医药高层次人才的培养和引进，依托总院专科人才资源，引进名老中医药专家团队。</w:t>
            </w:r>
          </w:p>
          <w:p>
            <w:pPr>
              <w:pStyle w:val="88"/>
              <w:ind w:firstLine="562"/>
              <w:rPr>
                <w:rFonts w:hint="eastAsia" w:hAnsi="仿宋_GB2312" w:cs="仿宋_GB2312"/>
                <w:bCs/>
                <w:sz w:val="28"/>
                <w:szCs w:val="28"/>
                <w:lang w:bidi="ar"/>
              </w:rPr>
            </w:pPr>
            <w:r>
              <w:rPr>
                <w:rFonts w:hint="eastAsia" w:hAnsi="仿宋_GB2312" w:cs="仿宋_GB2312"/>
                <w:b/>
                <w:sz w:val="28"/>
                <w:szCs w:val="28"/>
                <w:lang w:bidi="ar"/>
              </w:rPr>
              <w:t>区口腔医院：</w:t>
            </w:r>
            <w:r>
              <w:rPr>
                <w:rFonts w:hint="eastAsia" w:hAnsi="仿宋_GB2312" w:cs="仿宋_GB2312"/>
                <w:bCs/>
                <w:sz w:val="28"/>
                <w:szCs w:val="28"/>
                <w:lang w:bidi="ar"/>
              </w:rPr>
              <w:t>重点发展口腔全科（基础诊疗）、口腔正畸与种植科（特色专科）、智慧口腔创新专科（试点方向），引入南方医科大学国家临床重点专科以及相关学科的技术骨干，作为医院的主要技术支撑；聘任知名医学专家，担任医院各临床科室学科带头人。</w:t>
            </w:r>
          </w:p>
        </w:tc>
      </w:tr>
    </w:tbl>
    <w:p>
      <w:pPr>
        <w:pStyle w:val="88"/>
        <w:ind w:firstLine="643"/>
        <w:jc w:val="left"/>
        <w:rPr>
          <w:rFonts w:hint="eastAsia" w:hAnsi="仿宋_GB2312" w:cs="仿宋_GB2312"/>
        </w:rPr>
      </w:pPr>
      <w:bookmarkStart w:id="44" w:name="OLE_LINK33"/>
      <w:r>
        <w:rPr>
          <w:rFonts w:hint="eastAsia" w:hAnsi="仿宋_GB2312" w:cs="仿宋_GB2312"/>
          <w:b/>
          <w:bCs/>
        </w:rPr>
        <w:t>7.持续提升专科医疗水平。</w:t>
      </w:r>
      <w:r>
        <w:rPr>
          <w:rFonts w:hint="eastAsia" w:hAnsi="仿宋_GB2312" w:cs="仿宋_GB2312"/>
        </w:rPr>
        <w:t>加快推进区中医院、区妇幼保健院新院（区公共卫生临床中心）、区口腔医院等专科项目建设，着力补齐优质特色专科医疗资源短板。积极推动专科医院与紧密型城市医疗集团在管理机制、技术协作、服务衔接等方面深度融合，探索构建功能互补、协同发展的区域整合型医疗联合体。</w:t>
      </w:r>
      <w:r>
        <w:t>大力推广多学科协作诊疗（MDT）模式，针对肿瘤、心脑血管、疑难复杂疾病等重点领域建立标准化MDT门诊，带动学科深度融合与诊疗能力提升。</w:t>
      </w:r>
      <w:r>
        <w:rPr>
          <w:rFonts w:hAnsi="仿宋_GB2312" w:cs="仿宋_GB2312"/>
        </w:rPr>
        <w:t>鼓励区属医院参与残疾人康复中心合作运营，依托区属医院的公共医疗资源与技术优势，打造“医、康、教、养”四位一体的区级枢纽型专业康复机构。</w:t>
      </w:r>
      <w:r>
        <w:rPr>
          <w:rFonts w:hint="eastAsia" w:hAnsi="仿宋_GB2312" w:cs="仿宋_GB2312"/>
        </w:rPr>
        <w:t>因地制宜培育办好基层特色专科，提高常见病多发病诊治水平。引导社会办医疗机构与公立医疗机构错位、协同发展，强化问题与需求导向，引导和规范社会力量举办康复医疗中心、护理中心等医疗机构。</w:t>
      </w:r>
    </w:p>
    <w:bookmarkEnd w:id="44"/>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vAlign w:val="center"/>
          </w:tcPr>
          <w:p>
            <w:pPr>
              <w:spacing w:after="0" w:line="580" w:lineRule="exact"/>
              <w:ind w:firstLine="0" w:firstLineChars="0"/>
              <w:jc w:val="center"/>
              <w:rPr>
                <w:rFonts w:hint="eastAsia" w:hAnsi="黑体" w:cs="黑体"/>
                <w:b/>
                <w:bCs/>
                <w:sz w:val="28"/>
                <w:szCs w:val="28"/>
              </w:rPr>
            </w:pPr>
            <w:r>
              <w:rPr>
                <w:rFonts w:hint="eastAsia" w:hAnsi="黑体" w:cs="黑体"/>
                <w:b/>
                <w:bCs/>
                <w:sz w:val="28"/>
                <w:szCs w:val="28"/>
              </w:rPr>
              <w:t>专栏4：专科医疗水平提升工程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642" w:type="dxa"/>
            <w:vAlign w:val="center"/>
          </w:tcPr>
          <w:p>
            <w:pPr>
              <w:spacing w:after="0"/>
              <w:ind w:firstLine="562" w:firstLineChars="0"/>
              <w:rPr>
                <w:rFonts w:hint="eastAsia" w:hAnsi="仿宋_GB2312" w:cs="仿宋_GB2312"/>
                <w:bCs/>
                <w:sz w:val="28"/>
                <w:szCs w:val="28"/>
                <w:lang w:bidi="ar"/>
              </w:rPr>
            </w:pPr>
            <w:r>
              <w:rPr>
                <w:rFonts w:hint="eastAsia" w:hAnsi="仿宋_GB2312" w:cs="仿宋_GB2312"/>
                <w:b/>
                <w:sz w:val="28"/>
                <w:szCs w:val="28"/>
                <w:lang w:bidi="ar"/>
              </w:rPr>
              <w:t>区中医院（区疾控中心大楼）新建工程项目：</w:t>
            </w:r>
            <w:r>
              <w:rPr>
                <w:rFonts w:hint="eastAsia" w:hAnsi="仿宋_GB2312" w:cs="仿宋_GB2312"/>
                <w:bCs/>
                <w:sz w:val="28"/>
                <w:szCs w:val="28"/>
                <w:lang w:bidi="ar"/>
              </w:rPr>
              <w:t>推动建成以中医医疗、保健养生为一体的综合性服务体系的首家区级中医院。项目建设用地32260平方米，总建筑面积207860平方米，包括地上建筑面积131893平方米、地下建筑面积75966平方米（含停车位1190个，其中充电桩车位452个），规划建设中医院床位800张。</w:t>
            </w:r>
          </w:p>
          <w:p>
            <w:pPr>
              <w:spacing w:after="0"/>
              <w:ind w:firstLine="562" w:firstLineChars="0"/>
              <w:rPr>
                <w:rFonts w:hint="eastAsia" w:hAnsi="仿宋_GB2312" w:cs="仿宋_GB2312"/>
                <w:bCs/>
                <w:sz w:val="28"/>
                <w:szCs w:val="28"/>
                <w:lang w:bidi="ar"/>
              </w:rPr>
            </w:pPr>
            <w:r>
              <w:rPr>
                <w:rFonts w:hint="eastAsia" w:hAnsi="仿宋_GB2312" w:cs="仿宋_GB2312"/>
                <w:b/>
                <w:sz w:val="28"/>
                <w:szCs w:val="28"/>
                <w:lang w:bidi="ar"/>
              </w:rPr>
              <w:t>区妇幼保健院（区公共卫生临床中心）新建工程项目：</w:t>
            </w:r>
            <w:r>
              <w:rPr>
                <w:rFonts w:hint="eastAsia" w:hAnsi="仿宋_GB2312" w:cs="仿宋_GB2312"/>
                <w:bCs/>
                <w:sz w:val="28"/>
                <w:szCs w:val="28"/>
                <w:lang w:bidi="ar"/>
              </w:rPr>
              <w:t>推进龙华区妇幼保健院新院、区公共卫生临床中心建设，优化诊疗环境与流程，提升区域妇幼医疗保健与医学研究能力。项目建设用地44487平方米，总建筑面积262130平方米，其中妇幼保健院205781平方米、公共卫生临床中心56349平方米，规划床位1000张，其中妇幼保健院800张、公共卫生临床中心200张。</w:t>
            </w:r>
          </w:p>
          <w:p>
            <w:pPr>
              <w:spacing w:after="0"/>
              <w:ind w:firstLine="562" w:firstLineChars="0"/>
              <w:rPr>
                <w:rFonts w:hint="eastAsia" w:hAnsi="仿宋_GB2312" w:cs="仿宋_GB2312"/>
                <w:bCs/>
                <w:sz w:val="28"/>
                <w:szCs w:val="28"/>
                <w:lang w:bidi="ar"/>
              </w:rPr>
            </w:pPr>
            <w:r>
              <w:rPr>
                <w:rFonts w:hint="eastAsia" w:hAnsi="仿宋_GB2312" w:cs="仿宋_GB2312"/>
                <w:b/>
                <w:sz w:val="28"/>
                <w:szCs w:val="28"/>
                <w:lang w:bidi="ar"/>
              </w:rPr>
              <w:t>区口腔医院新建工程项目：</w:t>
            </w:r>
            <w:r>
              <w:rPr>
                <w:rFonts w:hint="eastAsia" w:hAnsi="仿宋_GB2312" w:cs="仿宋_GB2312"/>
                <w:bCs/>
                <w:sz w:val="28"/>
                <w:szCs w:val="28"/>
                <w:lang w:bidi="ar"/>
              </w:rPr>
              <w:t>支持建设龙华区口腔医院，</w:t>
            </w:r>
            <w:r>
              <w:rPr>
                <w:rFonts w:hint="eastAsia" w:hAnsi="仿宋_GB2312" w:cs="仿宋_GB2312"/>
                <w:sz w:val="28"/>
                <w:szCs w:val="28"/>
                <w:lang w:bidi="ar"/>
              </w:rPr>
              <w:t>项目建设用地8900平方米，总建筑面积48000平方米，规划床位50张，牙椅150台，</w:t>
            </w:r>
            <w:r>
              <w:rPr>
                <w:rFonts w:hint="eastAsia" w:hAnsi="仿宋_GB2312" w:cs="仿宋_GB2312"/>
                <w:bCs/>
                <w:sz w:val="28"/>
                <w:szCs w:val="28"/>
                <w:lang w:bidi="ar"/>
              </w:rPr>
              <w:t>全面提高口腔医疗服务的可及性和连续性。</w:t>
            </w:r>
          </w:p>
          <w:p>
            <w:pPr>
              <w:spacing w:after="0"/>
              <w:ind w:firstLine="562" w:firstLineChars="0"/>
              <w:rPr>
                <w:rFonts w:hint="eastAsia" w:hAnsi="仿宋_GB2312" w:cs="仿宋_GB2312"/>
                <w:b/>
                <w:bCs/>
                <w:sz w:val="28"/>
                <w:szCs w:val="28"/>
                <w:lang w:bidi="ar"/>
              </w:rPr>
            </w:pPr>
            <w:r>
              <w:rPr>
                <w:rFonts w:hint="eastAsia" w:hAnsi="仿宋_GB2312" w:cs="仿宋_GB2312"/>
                <w:b/>
                <w:sz w:val="28"/>
                <w:szCs w:val="28"/>
                <w:lang w:bidi="ar"/>
              </w:rPr>
              <w:t>社会办专科医院规范引导：</w:t>
            </w:r>
            <w:r>
              <w:rPr>
                <w:rFonts w:hint="eastAsia" w:hAnsi="仿宋_GB2312" w:cs="仿宋_GB2312"/>
                <w:bCs/>
                <w:sz w:val="28"/>
                <w:szCs w:val="28"/>
                <w:lang w:bidi="ar"/>
              </w:rPr>
              <w:t>支持社会资本举办的专科医院规范发展，引导其与公立医院形成错位互补，共同构建“公办与社会办协同、综合与专科并举”的多元整合型医疗服务体系。</w:t>
            </w:r>
          </w:p>
          <w:p>
            <w:pPr>
              <w:spacing w:after="0"/>
              <w:ind w:firstLine="562" w:firstLineChars="0"/>
              <w:rPr>
                <w:rFonts w:hint="eastAsia" w:hAnsi="仿宋_GB2312" w:cs="仿宋_GB2312"/>
                <w:bCs/>
                <w:sz w:val="28"/>
                <w:szCs w:val="28"/>
                <w:lang w:bidi="ar"/>
              </w:rPr>
            </w:pPr>
            <w:r>
              <w:rPr>
                <w:rFonts w:hint="eastAsia" w:hAnsi="仿宋_GB2312" w:cs="仿宋_GB2312"/>
                <w:b/>
                <w:sz w:val="28"/>
                <w:szCs w:val="28"/>
                <w:lang w:bidi="ar"/>
              </w:rPr>
              <w:t>专科服务能力强化行动：</w:t>
            </w:r>
            <w:r>
              <w:rPr>
                <w:rFonts w:hint="eastAsia" w:hAnsi="仿宋_GB2312" w:cs="仿宋_GB2312"/>
                <w:bCs/>
                <w:sz w:val="28"/>
                <w:szCs w:val="28"/>
                <w:lang w:bidi="ar"/>
              </w:rPr>
              <w:t>重点面向高血压、糖尿病、慢阻肺、脑卒中、肿瘤等重大慢性病防治需求，统筹规划并加强临床专科发展，实施卒中、胸痛、创伤、危重孕产妇、危重儿童及新生儿救治中心能力提升计划，强化急危重症救治网络。加强精神专科医院、综合医院临床心理科建设，提升精神卫生、康复护理、麻醉等薄弱领域的服务能力。</w:t>
            </w:r>
          </w:p>
        </w:tc>
      </w:tr>
    </w:tbl>
    <w:p>
      <w:pPr>
        <w:pStyle w:val="88"/>
        <w:ind w:firstLine="643"/>
        <w:jc w:val="left"/>
        <w:rPr>
          <w:rFonts w:hint="eastAsia" w:hAnsi="仿宋_GB2312" w:cs="仿宋_GB2312"/>
        </w:rPr>
      </w:pPr>
      <w:bookmarkStart w:id="45" w:name="OLE_LINK78"/>
      <w:r>
        <w:rPr>
          <w:rFonts w:hAnsi="仿宋_GB2312" w:cs="仿宋_GB2312"/>
          <w:b/>
          <w:bCs/>
          <w:szCs w:val="32"/>
          <w:lang w:bidi="ar"/>
        </w:rPr>
        <w:t>8</w:t>
      </w:r>
      <w:r>
        <w:rPr>
          <w:rFonts w:hint="eastAsia" w:hAnsi="仿宋_GB2312" w:cs="仿宋_GB2312"/>
          <w:b/>
          <w:bCs/>
          <w:szCs w:val="32"/>
          <w:lang w:bidi="ar"/>
        </w:rPr>
        <w:t>.增强公立医院服务质效</w:t>
      </w:r>
      <w:bookmarkEnd w:id="45"/>
      <w:r>
        <w:rPr>
          <w:rFonts w:hint="eastAsia" w:hAnsi="仿宋_GB2312" w:cs="仿宋_GB2312"/>
          <w:b/>
          <w:bCs/>
          <w:szCs w:val="32"/>
          <w:lang w:bidi="ar"/>
        </w:rPr>
        <w:t>。</w:t>
      </w:r>
      <w:r>
        <w:rPr>
          <w:rFonts w:hint="eastAsia" w:hAnsi="仿宋_GB2312" w:cs="仿宋_GB2312"/>
          <w:szCs w:val="32"/>
          <w:lang w:bidi="ar"/>
        </w:rPr>
        <w:t>以患者体验为核心改善医疗服务，进一步深入推进“检查检验结果互认”“一次挂号管三天”“电子处方流转”等便民利民措施。</w:t>
      </w:r>
      <w:r>
        <w:rPr>
          <w:rFonts w:hint="eastAsia" w:hAnsi="仿宋_GB2312" w:cs="仿宋_GB2312"/>
        </w:rPr>
        <w:t>以“分步骤、渐进式”模式</w:t>
      </w:r>
      <w:bookmarkStart w:id="46" w:name="OLE_LINK68"/>
      <w:r>
        <w:rPr>
          <w:rFonts w:hint="eastAsia" w:hAnsi="仿宋_GB2312" w:cs="仿宋_GB2312"/>
        </w:rPr>
        <w:t>推进门特病种认定“免申即享”</w:t>
      </w:r>
      <w:bookmarkEnd w:id="46"/>
      <w:r>
        <w:rPr>
          <w:rFonts w:hint="eastAsia" w:hAnsi="仿宋_GB2312" w:cs="仿宋_GB2312"/>
        </w:rPr>
        <w:t>，通过简化申报材料、优化审批环节、压缩办理时限等举措逐步延伸至门诊并扩大试点病种及机构覆盖范围。</w:t>
      </w:r>
      <w:bookmarkStart w:id="47" w:name="OLE_LINK69"/>
      <w:r>
        <w:rPr>
          <w:rFonts w:hint="eastAsia" w:hAnsi="仿宋_GB2312" w:cs="仿宋_GB2312"/>
          <w:szCs w:val="32"/>
          <w:lang w:bidi="ar"/>
        </w:rPr>
        <w:t>完善“免陪照护”服务实施，深化医疗护理员职业化、专业化、规范化建设。统一“互联网+护理服务”</w:t>
      </w:r>
      <w:bookmarkEnd w:id="47"/>
      <w:r>
        <w:rPr>
          <w:rFonts w:hint="eastAsia" w:hAnsi="仿宋_GB2312" w:cs="仿宋_GB2312"/>
          <w:szCs w:val="32"/>
          <w:lang w:bidi="ar"/>
        </w:rPr>
        <w:t>平台，整合护理服务资源，完善以“互联网+护理服务”为依托的分层分类延续护理服务体系。发展特色护理服务，深入开展安宁疗护服务，探索基层医疗集团配置安宁疗护病区。持续创新优化诉求响应机制，确保群众就医体验持续优化，满意度持续提高。探索推进长期护理保险制度相关工作，推动建立长期护理体系。</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vAlign w:val="center"/>
          </w:tcPr>
          <w:p>
            <w:pPr>
              <w:spacing w:after="0" w:line="580" w:lineRule="exact"/>
              <w:ind w:firstLine="0" w:firstLineChars="0"/>
              <w:jc w:val="center"/>
              <w:rPr>
                <w:rFonts w:hint="eastAsia" w:hAnsi="黑体" w:cs="黑体"/>
                <w:b/>
                <w:bCs/>
                <w:sz w:val="28"/>
                <w:szCs w:val="28"/>
              </w:rPr>
            </w:pPr>
            <w:r>
              <w:rPr>
                <w:rFonts w:hint="eastAsia" w:hAnsi="黑体" w:cs="黑体"/>
                <w:b/>
                <w:bCs/>
                <w:sz w:val="28"/>
                <w:szCs w:val="28"/>
              </w:rPr>
              <w:t>专栏5：医疗服务质量提升工程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642" w:type="dxa"/>
            <w:vAlign w:val="center"/>
          </w:tcPr>
          <w:p>
            <w:pPr>
              <w:pStyle w:val="88"/>
              <w:ind w:firstLine="562" w:firstLineChars="0"/>
              <w:rPr>
                <w:rFonts w:hint="eastAsia" w:hAnsi="仿宋_GB2312" w:cs="仿宋_GB2312"/>
                <w:bCs/>
                <w:sz w:val="28"/>
                <w:szCs w:val="28"/>
                <w:lang w:bidi="ar"/>
              </w:rPr>
            </w:pPr>
            <w:bookmarkStart w:id="48" w:name="OLE_LINK77"/>
            <w:bookmarkStart w:id="49" w:name="OLE_LINK20"/>
            <w:r>
              <w:rPr>
                <w:rFonts w:hint="eastAsia" w:hAnsi="仿宋_GB2312" w:cs="仿宋_GB2312"/>
                <w:b/>
                <w:sz w:val="28"/>
                <w:szCs w:val="28"/>
                <w:lang w:bidi="ar"/>
              </w:rPr>
              <w:t>优质</w:t>
            </w:r>
            <w:bookmarkStart w:id="50" w:name="OLE_LINK56"/>
            <w:r>
              <w:rPr>
                <w:rFonts w:hint="eastAsia" w:hAnsi="仿宋_GB2312" w:cs="仿宋_GB2312"/>
                <w:b/>
                <w:sz w:val="28"/>
                <w:szCs w:val="28"/>
                <w:lang w:bidi="ar"/>
              </w:rPr>
              <w:t>护理服务</w:t>
            </w:r>
            <w:bookmarkEnd w:id="50"/>
            <w:r>
              <w:rPr>
                <w:rFonts w:hint="eastAsia" w:hAnsi="仿宋_GB2312" w:cs="仿宋_GB2312"/>
                <w:b/>
                <w:sz w:val="28"/>
                <w:szCs w:val="28"/>
                <w:lang w:bidi="ar"/>
              </w:rPr>
              <w:t>内涵深化行动</w:t>
            </w:r>
            <w:bookmarkEnd w:id="48"/>
            <w:r>
              <w:rPr>
                <w:rFonts w:hint="eastAsia" w:hAnsi="仿宋_GB2312" w:cs="仿宋_GB2312"/>
                <w:b/>
                <w:sz w:val="28"/>
                <w:szCs w:val="28"/>
                <w:lang w:bidi="ar"/>
              </w:rPr>
              <w:t>：</w:t>
            </w:r>
            <w:r>
              <w:rPr>
                <w:rFonts w:hint="eastAsia" w:hAnsi="仿宋_GB2312" w:cs="仿宋_GB2312"/>
                <w:bCs/>
                <w:sz w:val="28"/>
                <w:szCs w:val="28"/>
                <w:lang w:bidi="ar"/>
              </w:rPr>
              <w:t>持续扩容护士队伍，加强社康机构护士人力配备。深化“以病人为中心”的服务理念，提高护理服务效率，保障护理质量安全，细化落实人文关怀举措。支持开展专科护理门诊，支持产科、糖尿病、伤口造口、社区、静脉治疗、中医专科护士在处方权赋能下根据目录开具检查申请单、治疗申请单和外用类药品，探索其他专业专科护士的处方权。加强社区护理服务，贯穿“全人员塑培、全能力提升、全管理蓄势、全过程管控、全保障落实”的“五全”模式，通过“互联网+护理服务”、护理专家工作室、家庭医生签约、家庭病床等方式不断完善院社融合下一体化护理联动模式，推动老年护理、康复护理、居家护理等服务向社区和居家延伸。</w:t>
            </w:r>
          </w:p>
          <w:p>
            <w:pPr>
              <w:pStyle w:val="88"/>
              <w:ind w:firstLine="562" w:firstLineChars="0"/>
              <w:rPr>
                <w:rFonts w:hint="eastAsia" w:hAnsi="仿宋_GB2312" w:cs="仿宋_GB2312"/>
                <w:b/>
                <w:sz w:val="28"/>
                <w:szCs w:val="28"/>
                <w:lang w:bidi="ar"/>
              </w:rPr>
            </w:pPr>
            <w:bookmarkStart w:id="51" w:name="OLE_LINK57"/>
            <w:r>
              <w:rPr>
                <w:rFonts w:hint="eastAsia" w:hAnsi="仿宋_GB2312" w:cs="仿宋_GB2312"/>
                <w:b/>
                <w:sz w:val="28"/>
                <w:szCs w:val="28"/>
                <w:lang w:bidi="ar"/>
              </w:rPr>
              <w:t>长期护理体系建设行动</w:t>
            </w:r>
            <w:bookmarkEnd w:id="51"/>
            <w:bookmarkStart w:id="52" w:name="OLE_LINK79"/>
            <w:r>
              <w:rPr>
                <w:rFonts w:hint="eastAsia" w:hAnsi="仿宋_GB2312" w:cs="仿宋_GB2312"/>
                <w:b/>
                <w:sz w:val="28"/>
                <w:szCs w:val="28"/>
                <w:lang w:bidi="ar"/>
              </w:rPr>
              <w:t>：</w:t>
            </w:r>
            <w:r>
              <w:rPr>
                <w:rFonts w:hint="eastAsia" w:hAnsi="仿宋_GB2312" w:cs="仿宋_GB2312"/>
                <w:bCs/>
                <w:sz w:val="28"/>
                <w:szCs w:val="28"/>
                <w:lang w:bidi="ar"/>
              </w:rPr>
              <w:t>以社康中心为核心节点，</w:t>
            </w:r>
            <w:r>
              <w:rPr>
                <w:rFonts w:hAnsi="仿宋_GB2312" w:cs="仿宋_GB2312"/>
                <w:bCs/>
                <w:sz w:val="28"/>
                <w:szCs w:val="28"/>
                <w:lang w:bidi="ar"/>
              </w:rPr>
              <w:t>整合养老机构、护理院资源，</w:t>
            </w:r>
            <w:r>
              <w:rPr>
                <w:rFonts w:hint="eastAsia" w:hAnsi="仿宋_GB2312" w:cs="仿宋_GB2312"/>
                <w:bCs/>
                <w:sz w:val="28"/>
                <w:szCs w:val="28"/>
                <w:lang w:bidi="ar"/>
              </w:rPr>
              <w:t>探索开展长期护理保险机制下的居家照护服务模式，</w:t>
            </w:r>
            <w:r>
              <w:rPr>
                <w:rFonts w:hAnsi="仿宋_GB2312" w:cs="仿宋_GB2312"/>
                <w:bCs/>
                <w:sz w:val="28"/>
                <w:szCs w:val="28"/>
                <w:lang w:bidi="ar"/>
              </w:rPr>
              <w:t>拓展居家护理、康复护理、老年慢病管理等长期护理服务，推动“家庭病床”服务与长护需求衔接</w:t>
            </w:r>
            <w:r>
              <w:rPr>
                <w:rFonts w:hint="eastAsia" w:hAnsi="仿宋_GB2312" w:cs="仿宋_GB2312"/>
                <w:bCs/>
                <w:sz w:val="28"/>
                <w:szCs w:val="28"/>
                <w:lang w:bidi="ar"/>
              </w:rPr>
              <w:t>，建立“机构-社区-居家”衔接的长期照护体系。</w:t>
            </w:r>
            <w:r>
              <w:rPr>
                <w:rFonts w:hAnsi="仿宋_GB2312" w:cs="仿宋_GB2312"/>
                <w:bCs/>
                <w:sz w:val="28"/>
                <w:szCs w:val="28"/>
                <w:lang w:bidi="ar"/>
              </w:rPr>
              <w:t>规划建立区级长期照护师培训基地，落实国家培养要求</w:t>
            </w:r>
            <w:bookmarkEnd w:id="52"/>
            <w:r>
              <w:rPr>
                <w:rFonts w:hint="eastAsia" w:hAnsi="仿宋_GB2312" w:cs="仿宋_GB2312"/>
                <w:bCs/>
                <w:sz w:val="28"/>
                <w:szCs w:val="28"/>
                <w:lang w:bidi="ar"/>
              </w:rPr>
              <w:t>。</w:t>
            </w:r>
          </w:p>
          <w:bookmarkEnd w:id="49"/>
          <w:p>
            <w:pPr>
              <w:pStyle w:val="88"/>
              <w:ind w:firstLine="562" w:firstLineChars="0"/>
              <w:rPr>
                <w:rFonts w:hint="eastAsia" w:hAnsi="仿宋_GB2312" w:cs="仿宋_GB2312"/>
                <w:bCs/>
                <w:sz w:val="28"/>
                <w:szCs w:val="28"/>
                <w:lang w:bidi="ar"/>
              </w:rPr>
            </w:pPr>
            <w:r>
              <w:rPr>
                <w:rFonts w:hint="eastAsia" w:hAnsi="仿宋_GB2312" w:cs="仿宋_GB2312"/>
                <w:b/>
                <w:sz w:val="28"/>
                <w:szCs w:val="28"/>
                <w:lang w:bidi="ar"/>
              </w:rPr>
              <w:t>医疗服务国际化能力提升行动：</w:t>
            </w:r>
            <w:r>
              <w:rPr>
                <w:rFonts w:hint="eastAsia" w:hAnsi="仿宋_GB2312" w:cs="仿宋_GB2312"/>
                <w:bCs/>
                <w:sz w:val="28"/>
                <w:szCs w:val="28"/>
                <w:lang w:bidi="ar"/>
              </w:rPr>
              <w:t>推动医疗服务流程、质量管理、患者安全等方面与国际标准接轨。鼓励医院发展自身优势学科，打造与国际接轨的临床专科专病特色品牌，到2030年，实现至少1家医院通过国际医院评审认证。</w:t>
            </w:r>
          </w:p>
          <w:p>
            <w:pPr>
              <w:pStyle w:val="88"/>
              <w:ind w:firstLine="562" w:firstLineChars="0"/>
              <w:rPr>
                <w:rFonts w:hint="eastAsia" w:hAnsi="仿宋_GB2312" w:cs="仿宋_GB2312"/>
                <w:bCs/>
                <w:sz w:val="28"/>
                <w:szCs w:val="28"/>
                <w:lang w:bidi="ar"/>
              </w:rPr>
            </w:pPr>
            <w:r>
              <w:rPr>
                <w:rFonts w:hint="eastAsia" w:hAnsi="仿宋_GB2312" w:cs="仿宋_GB2312"/>
                <w:b/>
                <w:sz w:val="28"/>
                <w:szCs w:val="28"/>
                <w:lang w:bidi="ar"/>
              </w:rPr>
              <w:t>救治中心能力提升计划：</w:t>
            </w:r>
            <w:r>
              <w:rPr>
                <w:rFonts w:hint="eastAsia" w:hAnsi="仿宋_GB2312" w:cs="仿宋_GB2312"/>
                <w:bCs/>
                <w:sz w:val="28"/>
                <w:szCs w:val="28"/>
                <w:lang w:bidi="ar"/>
              </w:rPr>
              <w:t>实施全区卒中、胸痛、创伤、危重孕产妇、危重儿童和新生儿救治中心能力提升计划，到2030年，政府办社康机构胸痛救治单元/胸痛救治点覆盖率达100%，龙华区人民医院创伤中心力争通过省级创伤中心评审，提升全区医疗救治能力。</w:t>
            </w:r>
          </w:p>
          <w:p>
            <w:pPr>
              <w:pStyle w:val="88"/>
              <w:ind w:firstLine="562" w:firstLineChars="0"/>
              <w:rPr>
                <w:rFonts w:hint="eastAsia" w:hAnsi="仿宋_GB2312" w:cs="仿宋_GB2312"/>
                <w:bCs/>
                <w:sz w:val="28"/>
                <w:szCs w:val="28"/>
                <w:lang w:bidi="ar"/>
              </w:rPr>
            </w:pPr>
            <w:r>
              <w:rPr>
                <w:rFonts w:hint="eastAsia" w:hAnsi="仿宋_GB2312" w:cs="仿宋_GB2312"/>
                <w:b/>
                <w:sz w:val="28"/>
                <w:szCs w:val="28"/>
                <w:lang w:bidi="ar"/>
              </w:rPr>
              <w:t>医康养发展专项：</w:t>
            </w:r>
            <w:r>
              <w:rPr>
                <w:rFonts w:hint="eastAsia" w:hAnsi="仿宋_GB2312" w:cs="仿宋_GB2312"/>
                <w:bCs/>
                <w:sz w:val="28"/>
                <w:szCs w:val="28"/>
                <w:lang w:bidi="ar"/>
              </w:rPr>
              <w:t>促进医养结合，提前介入社康公配用房设置，将社康机构与长者服务公配用房在规划阶段相邻配置，推进社康机构居家社区养老服务驿站建设。推进失能老年人健康服务，定期开展失能（失智）筛查，开展转诊指导、健康教育、干预服务等。扩大老年护理、康复护理、居家护理等服务供给，落实《家庭病床康复服务标准》，提升家庭病床康复服务标准化、专业化水平。统一“互联网+护理服务”平台，整合护理服务资源，完善以“互联网+护理服务”为依托的分层分类延续护理服务体系。引导二级及以下医疗卫生机构转型为康复医院、护理院。引导专业化医疗资源与养老服务对接，强化老年疾病预防、诊治、康复和护理体系建设，提升医疗卫生服务对健康养老的支撑能力，满足老年人医康养一体化健康养老服务需求。</w:t>
            </w:r>
          </w:p>
        </w:tc>
      </w:tr>
    </w:tbl>
    <w:p>
      <w:pPr>
        <w:ind w:firstLine="643"/>
        <w:rPr>
          <w:b w:val="0"/>
          <w:bCs w:val="0"/>
          <w:szCs w:val="32"/>
          <w:lang w:bidi="ar"/>
        </w:rPr>
      </w:pPr>
      <w:r>
        <w:rPr>
          <w:rFonts w:hAnsi="仿宋_GB2312" w:cs="仿宋_GB2312"/>
          <w:b/>
          <w:bCs/>
          <w:szCs w:val="24"/>
          <w:lang w:bidi="ar"/>
        </w:rPr>
        <w:t>9.</w:t>
      </w:r>
      <w:r>
        <w:rPr>
          <w:rFonts w:hint="eastAsia" w:hAnsi="仿宋_GB2312" w:cs="仿宋_GB2312"/>
          <w:b/>
          <w:bCs/>
          <w:szCs w:val="24"/>
          <w:lang w:bidi="ar"/>
        </w:rPr>
        <w:t>推动临床科研协同发展。</w:t>
      </w:r>
      <w:r>
        <w:rPr>
          <w:rFonts w:hint="eastAsia" w:hAnsi="仿宋_GB2312" w:cs="仿宋_GB2312"/>
          <w:b w:val="0"/>
          <w:bCs w:val="0"/>
          <w:szCs w:val="24"/>
          <w:lang w:bidi="ar"/>
        </w:rPr>
        <w:t>用好区级科研项目、高层次医学团队、港澳药械通等政策，支持区属医院申报国家、省、市的科研项目，力争“十五五”期间获得国家级科研立项5项以上。依托首科医谷、南方科技大学等高水平科研院所，合作建立医院科研平台，强化跨学科合作，为深圳国际医疗器械城入驻企业提供临床研究与验证支撑。推动神经内科、神经外科、康复医学科等相关学科建设，为脑机接口等前沿技术的临床评估与转化研究提供支撑，助力高端医疗器械产业高质量发展。探索医疗卫生机构科技成果作价投资的实施路径和收益分配机制，提升药械临床试验承接能力，力争“十五五”期间全区每年承接药械临床试验15项以上，加快形成“临床研究—试验验证—产业集聚”的协同发展格局，全面融入深圳国际医疗器械城“源头创新—中试检测—生产制造—应用示范”的全链条产业生态。</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vAlign w:val="center"/>
          </w:tcPr>
          <w:p>
            <w:pPr>
              <w:spacing w:after="0" w:line="580" w:lineRule="exact"/>
              <w:ind w:firstLine="562"/>
              <w:jc w:val="center"/>
              <w:rPr>
                <w:rFonts w:hint="eastAsia" w:hAnsi="黑体" w:cs="黑体"/>
                <w:b/>
                <w:bCs/>
                <w:sz w:val="28"/>
                <w:szCs w:val="28"/>
              </w:rPr>
            </w:pPr>
            <w:r>
              <w:rPr>
                <w:rFonts w:hint="eastAsia" w:hAnsi="黑体" w:cs="黑体"/>
                <w:b/>
                <w:bCs/>
                <w:sz w:val="28"/>
                <w:szCs w:val="28"/>
              </w:rPr>
              <w:t>专栏6：临床科研能力提升工程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784" w:type="dxa"/>
            <w:vAlign w:val="center"/>
          </w:tcPr>
          <w:p>
            <w:pPr>
              <w:spacing w:after="0"/>
              <w:ind w:firstLine="562"/>
              <w:rPr>
                <w:rFonts w:hint="eastAsia" w:hAnsi="仿宋_GB2312" w:cs="仿宋_GB2312"/>
                <w:sz w:val="28"/>
                <w:szCs w:val="28"/>
              </w:rPr>
            </w:pPr>
            <w:r>
              <w:rPr>
                <w:rFonts w:hint="eastAsia" w:hAnsi="仿宋_GB2312" w:cs="仿宋_GB2312"/>
                <w:b/>
                <w:bCs/>
                <w:sz w:val="28"/>
                <w:szCs w:val="28"/>
              </w:rPr>
              <w:t>强化药物和医疗器械临床试验研究能力：</w:t>
            </w:r>
            <w:r>
              <w:rPr>
                <w:rFonts w:hint="eastAsia" w:hAnsi="仿宋_GB2312" w:cs="仿宋_GB2312"/>
                <w:sz w:val="28"/>
                <w:szCs w:val="28"/>
              </w:rPr>
              <w:t>支持辖区内临床试验机构与国家高性能医疗器械创新中心共建临床试验协同网络，聚焦脑机接口、具身智能、高端影像设备、植介入产品、AI辅助诊断产品等重点领域，开展前沿技术验证和临床评价，同时开展GCP专项培训，提升辖区内临床试验服务能力。</w:t>
            </w:r>
          </w:p>
          <w:p>
            <w:pPr>
              <w:spacing w:after="0"/>
              <w:ind w:firstLine="562"/>
              <w:rPr>
                <w:rFonts w:hint="eastAsia" w:hAnsi="仿宋_GB2312" w:cs="仿宋_GB2312"/>
                <w:sz w:val="28"/>
                <w:szCs w:val="28"/>
              </w:rPr>
            </w:pPr>
            <w:r>
              <w:rPr>
                <w:rFonts w:hint="eastAsia" w:hAnsi="仿宋_GB2312" w:cs="仿宋_GB2312"/>
                <w:b/>
                <w:bCs/>
                <w:sz w:val="28"/>
                <w:szCs w:val="28"/>
              </w:rPr>
              <w:t>慢性病领域GCP能力与临床研究提升工程：</w:t>
            </w:r>
            <w:r>
              <w:rPr>
                <w:rFonts w:hint="eastAsia" w:hAnsi="仿宋_GB2312" w:cs="仿宋_GB2312"/>
                <w:sz w:val="28"/>
                <w:szCs w:val="28"/>
              </w:rPr>
              <w:t>依托区级GCP（药物临床试验质量管理规范）联盟，联合医疗机构、科研院所、企业，开发慢性病诊疗GCP项目，覆盖药物、人工智能、医疗器械等业务和科研项目，提升公卫临床中心GCP项目设计和研发能力。</w:t>
            </w:r>
          </w:p>
        </w:tc>
      </w:tr>
    </w:tbl>
    <w:p>
      <w:pPr>
        <w:pStyle w:val="88"/>
        <w:ind w:firstLine="643"/>
        <w:jc w:val="left"/>
        <w:rPr>
          <w:rFonts w:hAnsi="仿宋_GB2312" w:cs="仿宋_GB2312"/>
          <w:szCs w:val="32"/>
          <w:lang w:bidi="ar"/>
        </w:rPr>
      </w:pPr>
      <w:bookmarkStart w:id="53" w:name="OLE_LINK34"/>
      <w:r>
        <w:rPr>
          <w:rFonts w:hAnsi="仿宋_GB2312" w:cs="仿宋_GB2312"/>
          <w:b/>
          <w:bCs/>
          <w:szCs w:val="32"/>
          <w:lang w:bidi="ar"/>
        </w:rPr>
        <w:t>10</w:t>
      </w:r>
      <w:r>
        <w:rPr>
          <w:rFonts w:hint="eastAsia" w:hAnsi="仿宋_GB2312" w:cs="仿宋_GB2312"/>
          <w:b/>
          <w:bCs/>
          <w:szCs w:val="32"/>
          <w:lang w:bidi="ar"/>
        </w:rPr>
        <w:t>.创新医学教育培养体系。</w:t>
      </w:r>
      <w:r>
        <w:rPr>
          <w:rFonts w:hint="eastAsia" w:hAnsi="仿宋_GB2312" w:cs="仿宋_GB2312"/>
          <w:szCs w:val="32"/>
          <w:lang w:bidi="ar"/>
        </w:rPr>
        <w:t>支持区人民医院以南方科技大学全科医学院为依托，建成深圳市全科住院医师规范化培训创新基地与全科医学技能培训中心，配合南方科技大学构建本硕博全链条体系，实施卓越医师培养计划，优化全科医学、社区慢性病管理等核心课程，至2030年累计培养博士30人、硕士50人、住培生100人。强化毕业后教育，逐步开放在职学历教育，打造全科医学五星级培养认证体系，助力区内每万人口全科医生数稳步提升。培育跨学科师资团队，至2030年区人民医院全科博导、硕导不少于20人，全科医学院博导、硕导不少于100人，形成结构合理、实力突出的教学科研梯队。持续打造“全科大讲堂”学术品牌，深度参与WONCA等国际国内学术交流，扩大学科影响力。强化人才队伍建设，加大重症、口腔、中医、全科医学科等短缺人才的储备，加大学科业务骨干继续教育培养力度。加强教学师资队伍培训，推动教学管理和教学条件建设，力争2030年至少1家区属综合医院建成住院医师规范化培训基地。</w:t>
      </w:r>
    </w:p>
    <w:p>
      <w:pPr>
        <w:pStyle w:val="88"/>
        <w:ind w:firstLine="643"/>
        <w:jc w:val="left"/>
        <w:rPr>
          <w:rFonts w:hAnsi="仿宋_GB2312" w:cs="仿宋_GB2312"/>
          <w:strike/>
          <w:szCs w:val="32"/>
          <w:lang w:bidi="ar"/>
        </w:rPr>
      </w:pPr>
      <w:r>
        <w:rPr>
          <w:rFonts w:hAnsi="仿宋_GB2312" w:cs="仿宋_GB2312"/>
          <w:b/>
          <w:bCs/>
          <w:szCs w:val="32"/>
          <w:lang w:bidi="ar"/>
        </w:rPr>
        <w:t>11</w:t>
      </w:r>
      <w:r>
        <w:rPr>
          <w:rFonts w:hint="eastAsia" w:hAnsi="仿宋_GB2312" w:cs="仿宋_GB2312"/>
          <w:b/>
          <w:bCs/>
          <w:szCs w:val="32"/>
          <w:lang w:bidi="ar"/>
        </w:rPr>
        <w:t>.构建现代医院精益运营与质控体系。</w:t>
      </w:r>
      <w:r>
        <w:rPr>
          <w:rFonts w:hint="eastAsia" w:hAnsi="仿宋_GB2312" w:cs="仿宋_GB2312"/>
          <w:szCs w:val="32"/>
          <w:lang w:bidi="ar"/>
        </w:rPr>
        <w:t>推动区属公立医院核心业务与运营管理深度融合，通过完善制度、优化流程、强化资源配置与绩效评估等方式，提升管理效益。健全运营管理组织架构，落实运营管理委员会职责，全面加强预算、财务、资产与后勤精细化管理。推进全区医疗设备数字化监管平台建设，深化医疗设备全生命周期管控。</w:t>
      </w:r>
      <w:r>
        <w:rPr>
          <w:rFonts w:hint="eastAsia" w:hAnsi="仿宋_GB2312" w:cs="仿宋_GB2312"/>
          <w:bCs/>
          <w:szCs w:val="32"/>
          <w:lang w:bidi="ar"/>
        </w:rPr>
        <w:t>推进医疗、医保、医药“三医”协同发展和治理，以门诊按人头付费、住院按DIP付费等医保支付方式改革为牵引，提升医保基金区内使用效率，引导区属公立医院合理控制成本，改善医疗服务质量，深化分级诊疗成效。</w:t>
      </w:r>
      <w:r>
        <w:rPr>
          <w:rFonts w:hint="eastAsia" w:hAnsi="仿宋_GB2312" w:cs="仿宋_GB2312"/>
          <w:szCs w:val="32"/>
          <w:lang w:bidi="ar"/>
        </w:rPr>
        <w:t>力争实现区属公立医院医疗服务收入占比达40%，管理费用占比低于10%。完善区级医疗质量管理与控制体系建设，强化质量督导与医疗管理工作例会制度，依托信息化手段实施全流程质量监控，加强重点医疗质量指标通报与公开力度。充分发挥区级各专业质控中心作用，强化对区属、区管医疗机构专业质控，持续开展重点专业、技术、病种评价。</w:t>
      </w:r>
      <w:r>
        <w:rPr>
          <w:rFonts w:hint="eastAsia" w:hAnsi="仿宋_GB2312" w:cs="仿宋_GB2312"/>
          <w:bCs/>
          <w:szCs w:val="32"/>
          <w:lang w:bidi="ar"/>
        </w:rPr>
        <w:t>全面筑牢债务风险防线，确保医院建设发展与债务承载能力相匹配，形成权责清晰、流程规范、监督有力的债务风险长效管理机制。</w:t>
      </w:r>
    </w:p>
    <w:bookmarkEnd w:id="53"/>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pPr>
              <w:spacing w:after="0" w:line="580" w:lineRule="exact"/>
              <w:ind w:firstLine="0" w:firstLineChars="0"/>
              <w:jc w:val="center"/>
              <w:rPr>
                <w:rFonts w:hint="eastAsia" w:hAnsi="黑体" w:cs="黑体"/>
                <w:b/>
                <w:bCs/>
                <w:sz w:val="28"/>
                <w:szCs w:val="28"/>
              </w:rPr>
            </w:pPr>
            <w:r>
              <w:rPr>
                <w:rFonts w:hint="eastAsia" w:hAnsi="黑体" w:cs="黑体"/>
                <w:b/>
                <w:bCs/>
                <w:sz w:val="28"/>
                <w:szCs w:val="28"/>
              </w:rPr>
              <w:t>专栏7：运营管理能力提升工程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784" w:type="dxa"/>
          </w:tcPr>
          <w:p>
            <w:pPr>
              <w:spacing w:after="0"/>
              <w:ind w:firstLine="562"/>
              <w:rPr>
                <w:rFonts w:hint="eastAsia" w:hAnsi="仿宋_GB2312" w:cs="仿宋_GB2312"/>
                <w:sz w:val="28"/>
                <w:szCs w:val="28"/>
                <w:lang w:bidi="ar"/>
              </w:rPr>
            </w:pPr>
            <w:r>
              <w:rPr>
                <w:rFonts w:hint="eastAsia" w:hAnsi="仿宋_GB2312" w:cs="仿宋_GB2312"/>
                <w:b/>
                <w:bCs/>
                <w:sz w:val="28"/>
                <w:szCs w:val="28"/>
                <w:lang w:bidi="ar"/>
              </w:rPr>
              <w:t>创新床位资源高效配置行动：</w:t>
            </w:r>
            <w:r>
              <w:rPr>
                <w:rFonts w:hint="eastAsia" w:hAnsi="仿宋_GB2312" w:cs="仿宋_GB2312"/>
                <w:sz w:val="28"/>
                <w:szCs w:val="28"/>
                <w:lang w:bidi="ar"/>
              </w:rPr>
              <w:t>开发动态监测-智能分配一体化系统，实现“科配床”与“机动床”实时调拨，建立基于DRG病种、周转率、手术排期的床位需求预测模型，支撑床位存量盘活。推动医联体内床位资源协同共享，引导康复期、稳定期及术后患者有序下转，提升基层床位利用率。</w:t>
            </w:r>
          </w:p>
          <w:p>
            <w:pPr>
              <w:spacing w:after="0"/>
              <w:ind w:firstLine="562"/>
              <w:rPr>
                <w:rFonts w:hint="eastAsia" w:hAnsi="仿宋_GB2312" w:cs="仿宋_GB2312"/>
                <w:sz w:val="28"/>
                <w:szCs w:val="28"/>
              </w:rPr>
            </w:pPr>
            <w:r>
              <w:rPr>
                <w:rFonts w:hint="eastAsia" w:hAnsi="仿宋_GB2312" w:cs="仿宋_GB2312"/>
                <w:b/>
                <w:bCs/>
                <w:sz w:val="28"/>
                <w:szCs w:val="28"/>
                <w:lang w:bidi="ar"/>
              </w:rPr>
              <w:t>批量集中采购提质计划：</w:t>
            </w:r>
            <w:r>
              <w:rPr>
                <w:rFonts w:hint="eastAsia" w:hAnsi="仿宋_GB2312" w:cs="仿宋_GB2312"/>
                <w:sz w:val="28"/>
                <w:szCs w:val="28"/>
                <w:lang w:bidi="ar"/>
              </w:rPr>
              <w:t>统筹推进医疗设备、耗材及大型设备维保服务的批量集中采购工作，实施带量议价，有效降低采购价格。推行“采购—运维”捆绑模式，压缩信息化运维成本。同时，建立资质证照电子化平台，实现UDI编码、医保码与内部系统唯一码的“三码合一”，打通从生产采购、库存消耗到计费追溯的全链条管理。</w:t>
            </w:r>
          </w:p>
          <w:p>
            <w:pPr>
              <w:spacing w:after="0"/>
              <w:ind w:firstLine="562"/>
              <w:rPr>
                <w:rFonts w:hint="eastAsia" w:hAnsi="仿宋_GB2312" w:cs="仿宋_GB2312"/>
                <w:sz w:val="28"/>
                <w:szCs w:val="28"/>
              </w:rPr>
            </w:pPr>
            <w:r>
              <w:rPr>
                <w:rFonts w:hint="eastAsia" w:hAnsi="仿宋_GB2312" w:cs="仿宋_GB2312"/>
                <w:b/>
                <w:bCs/>
                <w:sz w:val="28"/>
                <w:szCs w:val="28"/>
              </w:rPr>
              <w:t>质控体系建设项目：</w:t>
            </w:r>
            <w:r>
              <w:rPr>
                <w:rFonts w:hint="eastAsia" w:hAnsi="仿宋_GB2312" w:cs="仿宋_GB2312"/>
                <w:sz w:val="28"/>
                <w:szCs w:val="28"/>
              </w:rPr>
              <w:t>充分利用信息化手段，对公立医院医疗服务质量进行全流程监控。开展全区各专业领域的基线调研，拟定全区质量控制总体思路和规划，规范临床诊疗行为，不断促进医疗质量的标准化、同质化、规范化。确保“十五五”期间各区级医疗质控中心每年至少组织一次专项检查及质量改善项目。</w:t>
            </w:r>
          </w:p>
        </w:tc>
      </w:tr>
    </w:tbl>
    <w:p>
      <w:pPr>
        <w:pStyle w:val="5"/>
        <w:keepNext w:val="0"/>
        <w:keepLines w:val="0"/>
        <w:spacing w:after="0"/>
        <w:ind w:firstLine="640"/>
        <w:jc w:val="left"/>
      </w:pPr>
      <w:bookmarkStart w:id="54" w:name="_Toc217379413"/>
      <w:bookmarkStart w:id="55" w:name="_Toc230463244"/>
      <w:r>
        <w:rPr>
          <w:rFonts w:hint="eastAsia"/>
        </w:rPr>
        <w:t>（三）强基提质，</w:t>
      </w:r>
      <w:r>
        <w:t>构建</w:t>
      </w:r>
      <w:r>
        <w:rPr>
          <w:rFonts w:hint="eastAsia"/>
        </w:rPr>
        <w:t>优质高效</w:t>
      </w:r>
      <w:r>
        <w:t>基层社康服务体系</w:t>
      </w:r>
      <w:bookmarkEnd w:id="54"/>
      <w:bookmarkEnd w:id="55"/>
    </w:p>
    <w:bookmarkEnd w:id="36"/>
    <w:p>
      <w:pPr>
        <w:pStyle w:val="88"/>
        <w:ind w:firstLine="643"/>
      </w:pPr>
      <w:bookmarkStart w:id="56" w:name="_Toc217379414"/>
      <w:bookmarkStart w:id="57" w:name="OLE_LINK10"/>
      <w:bookmarkStart w:id="58" w:name="_Toc206526511"/>
      <w:r>
        <w:rPr>
          <w:rFonts w:hint="eastAsia"/>
          <w:b/>
          <w:bCs/>
        </w:rPr>
        <w:t>12.深入健全社康管理体系。</w:t>
      </w:r>
      <w:r>
        <w:rPr>
          <w:rFonts w:hint="eastAsia"/>
        </w:rPr>
        <w:t>建立以社区为单位的管理体系及绩效考核体系，实现人、财、物资源高度集约、灵活配置，推动社康管理精细化。针对一社区多社康的情况，综合考量地理位置、服务能力及居民需求等因素，指定功能完善、服务能力强的社康作为牵头社康，统筹协调各类资源。建立社康业务精准适配片区人口结构特色且与相邻社康业务互补的一社区一中心多站点的运行机制。支持有条件的公卫机构参与基本公共卫生服务工作。统一规范社康标识与指引系统，强化服务标准化建设。</w:t>
      </w:r>
    </w:p>
    <w:p>
      <w:pPr>
        <w:pStyle w:val="88"/>
        <w:ind w:firstLine="643"/>
        <w:rPr>
          <w:b/>
          <w:bCs/>
        </w:rPr>
      </w:pPr>
      <w:r>
        <w:rPr>
          <w:b/>
          <w:bCs/>
        </w:rPr>
        <w:t>1</w:t>
      </w:r>
      <w:r>
        <w:rPr>
          <w:rFonts w:hint="eastAsia"/>
          <w:b/>
          <w:bCs/>
        </w:rPr>
        <w:t>3</w:t>
      </w:r>
      <w:r>
        <w:rPr>
          <w:b/>
          <w:bCs/>
        </w:rPr>
        <w:t>.</w:t>
      </w:r>
      <w:r>
        <w:rPr>
          <w:rFonts w:hint="eastAsia"/>
          <w:b/>
          <w:bCs/>
        </w:rPr>
        <w:t>推动</w:t>
      </w:r>
      <w:r>
        <w:rPr>
          <w:rFonts w:hint="eastAsia" w:hAnsi="仿宋"/>
          <w:b/>
          <w:bCs/>
          <w:color w:val="000000" w:themeColor="text1"/>
          <w:szCs w:val="32"/>
          <w14:textFill>
            <w14:solidFill>
              <w14:schemeClr w14:val="tx1"/>
            </w14:solidFill>
          </w14:textFill>
        </w:rPr>
        <w:t>社康机构提档升级</w:t>
      </w:r>
      <w:r>
        <w:rPr>
          <w:rFonts w:hint="eastAsia"/>
          <w:b/>
          <w:bCs/>
        </w:rPr>
        <w:t>。</w:t>
      </w:r>
      <w:r>
        <w:rPr>
          <w:rFonts w:hint="eastAsia"/>
        </w:rPr>
        <w:t>按照强基工程标准，加快社康中心新建、改扩建和提档升级，完善诊疗、康复、检验、中医、慢病管理、健康教育等功能布局。落实新建社康经费，保障租金与装修费用，全面提升基层硬件条件和服务环境。盘活利用区内闲置资源有效扩充社康机构业务空间，同时强化政府主导作用，保障公配物业供给，稳步提升自有公配用房持有比例，对新增社康机构的公配用房设计和保障功能适配进行源头介入。加速推进“老旧小”社康改扩建，系统性破解基层医疗服务空间狭小、设施陈旧等问题，实现资源精准扩容。持续夯实基层医疗资源基础，确保社康机构诊疗量占比始终位居全市前列。</w:t>
      </w:r>
    </w:p>
    <w:p>
      <w:pPr>
        <w:pStyle w:val="88"/>
        <w:ind w:firstLine="643"/>
      </w:pPr>
      <w:bookmarkStart w:id="59" w:name="OLE_LINK36"/>
      <w:r>
        <w:rPr>
          <w:rFonts w:hint="eastAsia"/>
          <w:b/>
          <w:bCs/>
        </w:rPr>
        <w:t>14.推动家庭医生服务能力全方位提升。</w:t>
      </w:r>
      <w:r>
        <w:rPr>
          <w:rFonts w:hint="eastAsia"/>
        </w:rPr>
        <w:t>优化“</w:t>
      </w:r>
      <w:r>
        <w:t>1+1+N+X</w:t>
      </w:r>
      <w:r>
        <w:rPr>
          <w:rFonts w:hint="eastAsia"/>
        </w:rPr>
        <w:t>”家庭医生团队管理模式，促进医疗与预防、全科与专科、社区与社康、家庭医生团队与区域医疗集团、家庭医生与居民群众等深度融合。探索成立区级全科质控中心并制定服务质量规范标准，开展全科医疗质量督查与考核，推动诊疗服务、慢病管理、健康干预等核心能力的结构化升级。推动签约模式多维创新，制定符合辖区居民多样化需求的家庭医生签约服务包，实行分类签约、有偿签约，优化网格化管理模式。</w:t>
      </w:r>
      <w:r>
        <w:t>优化家庭病床服务</w:t>
      </w:r>
      <w:r>
        <w:rPr>
          <w:rFonts w:hint="eastAsia"/>
        </w:rPr>
        <w:t>，</w:t>
      </w:r>
      <w:r>
        <w:t>探索</w:t>
      </w:r>
      <w:r>
        <w:rPr>
          <w:rFonts w:hint="eastAsia"/>
        </w:rPr>
        <w:t>“</w:t>
      </w:r>
      <w:r>
        <w:t>家庭病床</w:t>
      </w:r>
      <w:r>
        <w:rPr>
          <w:rFonts w:hint="eastAsia"/>
        </w:rPr>
        <w:t>”</w:t>
      </w:r>
      <w:r>
        <w:t>与</w:t>
      </w:r>
      <w:r>
        <w:rPr>
          <w:rFonts w:hint="eastAsia"/>
        </w:rPr>
        <w:t>“</w:t>
      </w:r>
      <w:r>
        <w:t>居家养老床位</w:t>
      </w:r>
      <w:r>
        <w:rPr>
          <w:rFonts w:hint="eastAsia"/>
        </w:rPr>
        <w:t>”</w:t>
      </w:r>
      <w:r>
        <w:t>两床合一、智慧家庭病床等创新模式</w:t>
      </w:r>
      <w:r>
        <w:rPr>
          <w:rFonts w:hint="eastAsia"/>
        </w:rPr>
        <w:t>。</w:t>
      </w:r>
    </w:p>
    <w:p>
      <w:pPr>
        <w:pStyle w:val="88"/>
        <w:ind w:firstLine="643"/>
      </w:pPr>
      <w:r>
        <w:rPr>
          <w:rFonts w:hint="eastAsia"/>
          <w:b/>
          <w:bCs/>
        </w:rPr>
        <w:t>15.全面提升基层医疗质量水平。</w:t>
      </w:r>
      <w:r>
        <w:rPr>
          <w:rFonts w:hint="eastAsia"/>
        </w:rPr>
        <w:t>严格落实《基层医疗卫生机构医疗质量改善三年行动方案（2026—2028年）》，规范诊疗行为、病历书写、处方管理、院感防控、药品管理；建立基层医疗质量常态化督查、评估、反馈、整改机制，实现医疗质量持续改进。建强基层医疗卫生人才队伍，配齐全科医生、公共卫生医师、护理和医技人员；推进“一社康一特色一品牌”建设，结合社区居民健康需求发展中医适宜技术、社区康复、长期护理、口腔诊疗等服务。</w:t>
      </w:r>
    </w:p>
    <w:bookmarkEnd w:id="59"/>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vAlign w:val="center"/>
          </w:tcPr>
          <w:p>
            <w:pPr>
              <w:spacing w:after="0" w:line="580" w:lineRule="exact"/>
              <w:ind w:firstLine="0" w:firstLineChars="0"/>
              <w:jc w:val="center"/>
              <w:rPr>
                <w:rFonts w:hint="eastAsia" w:hAnsi="黑体" w:cs="黑体"/>
                <w:b/>
                <w:bCs/>
                <w:sz w:val="28"/>
                <w:szCs w:val="28"/>
              </w:rPr>
            </w:pPr>
            <w:r>
              <w:rPr>
                <w:rFonts w:hint="eastAsia" w:hAnsi="黑体" w:cs="黑体"/>
                <w:b/>
                <w:bCs/>
                <w:sz w:val="28"/>
                <w:szCs w:val="28"/>
              </w:rPr>
              <w:t>专栏8：基层医疗服务能力提升工程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642" w:type="dxa"/>
            <w:vAlign w:val="center"/>
          </w:tcPr>
          <w:p>
            <w:pPr>
              <w:spacing w:after="0"/>
              <w:ind w:firstLine="562"/>
              <w:rPr>
                <w:rFonts w:hint="eastAsia" w:hAnsi="仿宋_GB2312" w:cs="仿宋_GB2312"/>
                <w:sz w:val="28"/>
                <w:szCs w:val="28"/>
                <w:lang w:bidi="ar"/>
              </w:rPr>
            </w:pPr>
            <w:r>
              <w:rPr>
                <w:rFonts w:hint="eastAsia" w:hAnsi="仿宋_GB2312" w:cs="仿宋_GB2312"/>
                <w:b/>
                <w:bCs/>
                <w:sz w:val="28"/>
                <w:szCs w:val="28"/>
                <w:lang w:bidi="ar"/>
              </w:rPr>
              <w:t>“1+1+N+X”家庭医生团队模式建设行动：</w:t>
            </w:r>
            <w:r>
              <w:rPr>
                <w:rFonts w:hint="eastAsia" w:hAnsi="仿宋_GB2312" w:cs="仿宋_GB2312"/>
                <w:sz w:val="28"/>
                <w:szCs w:val="28"/>
                <w:lang w:bidi="ar"/>
              </w:rPr>
              <w:t>打破固有家庭医生团队模式，创新“1+1+N+X”模式家庭医生团队，第一个“1”由全科医师（团队长）担任，第二个“1”由护士（团队秘书）组成，“N”由专科医师、公卫医师、健康促进员、社工、网格员等成员构成，“X”为家庭健康联系人，由居住在服务片区的医院集团员工构成。重点将社区网格员、党群服务中心志愿者纳入家庭医生团队，利用网格员深入社区和居民的工作特点，发挥网格员的“触角”作用，打通家庭医生签约服务“最后1米”。</w:t>
            </w:r>
          </w:p>
          <w:p>
            <w:pPr>
              <w:spacing w:after="0"/>
              <w:ind w:firstLine="562"/>
              <w:rPr>
                <w:rFonts w:hint="eastAsia" w:hAnsi="仿宋_GB2312" w:cs="仿宋_GB2312"/>
                <w:b/>
                <w:sz w:val="28"/>
                <w:szCs w:val="28"/>
                <w:lang w:bidi="ar"/>
              </w:rPr>
            </w:pPr>
            <w:r>
              <w:rPr>
                <w:rFonts w:hint="eastAsia" w:hAnsi="仿宋_GB2312" w:cs="仿宋_GB2312"/>
                <w:b/>
                <w:sz w:val="28"/>
                <w:szCs w:val="28"/>
                <w:lang w:bidi="ar"/>
              </w:rPr>
              <w:t>基层急救体系建设行动：</w:t>
            </w:r>
            <w:r>
              <w:rPr>
                <w:rFonts w:hint="eastAsia" w:hAnsi="仿宋_GB2312" w:cs="仿宋_GB2312"/>
                <w:sz w:val="28"/>
                <w:szCs w:val="28"/>
                <w:lang w:bidi="ar"/>
              </w:rPr>
              <w:t>依托医疗集团卒中中心、胸痛中心，发挥优质医疗资源的辐射带动作用，强化对社康机构家庭医生团队急诊急救能力的培养，完善社康机构与妇科、儿科、中医科等专科之间的双向转诊机制，推进社康机构胸痛单元和卒中地图建设，逐步提升基层急诊急救能力。</w:t>
            </w:r>
          </w:p>
          <w:p>
            <w:pPr>
              <w:spacing w:after="0"/>
              <w:ind w:firstLine="562"/>
              <w:rPr>
                <w:rFonts w:hint="eastAsia" w:hAnsi="仿宋_GB2312" w:cs="仿宋_GB2312"/>
                <w:bCs/>
                <w:sz w:val="28"/>
                <w:szCs w:val="28"/>
                <w:lang w:bidi="ar"/>
              </w:rPr>
            </w:pPr>
            <w:r>
              <w:rPr>
                <w:rFonts w:hint="eastAsia" w:hAnsi="仿宋_GB2312" w:cs="仿宋_GB2312"/>
                <w:b/>
                <w:sz w:val="28"/>
                <w:szCs w:val="28"/>
                <w:lang w:bidi="ar"/>
              </w:rPr>
              <w:t>社康机构管理水平强化行动：</w:t>
            </w:r>
            <w:r>
              <w:rPr>
                <w:rFonts w:hint="eastAsia" w:hAnsi="仿宋_GB2312" w:cs="仿宋_GB2312"/>
                <w:bCs/>
                <w:sz w:val="28"/>
                <w:szCs w:val="28"/>
                <w:lang w:bidi="ar"/>
              </w:rPr>
              <w:t>持续强化社康机构运营管理能力，做好省基本公卫项目驻点指导工作，以点带面提升全区社康机构成本核算、团队管理、服务优化等运营管理能力，推动社康从“重服务数量”向“重服务质量与效益”转型。</w:t>
            </w:r>
          </w:p>
          <w:p>
            <w:pPr>
              <w:spacing w:after="0"/>
              <w:ind w:firstLine="562"/>
              <w:rPr>
                <w:rFonts w:hint="eastAsia" w:hAnsi="仿宋_GB2312" w:cs="仿宋_GB2312"/>
                <w:bCs/>
                <w:sz w:val="28"/>
                <w:szCs w:val="28"/>
                <w:lang w:bidi="ar"/>
              </w:rPr>
            </w:pPr>
            <w:r>
              <w:rPr>
                <w:rFonts w:hint="eastAsia" w:hAnsi="仿宋_GB2312" w:cs="仿宋_GB2312"/>
                <w:b/>
                <w:sz w:val="28"/>
                <w:szCs w:val="28"/>
                <w:lang w:bidi="ar"/>
              </w:rPr>
              <w:t>基层医疗服务提质增效行动：</w:t>
            </w:r>
            <w:r>
              <w:rPr>
                <w:rFonts w:hint="eastAsia" w:hAnsi="仿宋_GB2312" w:cs="仿宋_GB2312"/>
                <w:bCs/>
                <w:sz w:val="28"/>
                <w:szCs w:val="28"/>
                <w:lang w:bidi="ar"/>
              </w:rPr>
              <w:t>强化全科与专科的沟通协作，推动全科医生外科诊疗能力提升，推动人工智能辅助应用，加强检查检验、疾病诊断、处方开具等质量监测评价。提供清创缝合、脓肿切开、外伤处理等初级诊疗服务。提前规划社康机构数字化X射线摄影（DR）设备配置，依托院本部儿科力量，开展儿科专业培训，强化儿童疾病标准化、同质化诊疗和管理，实现基层医疗服务提质增效。</w:t>
            </w:r>
          </w:p>
          <w:p>
            <w:pPr>
              <w:spacing w:after="0"/>
              <w:ind w:firstLine="562"/>
              <w:rPr>
                <w:rFonts w:hint="eastAsia" w:hAnsi="仿宋_GB2312" w:cs="仿宋_GB2312"/>
                <w:bCs/>
                <w:sz w:val="28"/>
                <w:szCs w:val="28"/>
                <w:lang w:bidi="ar"/>
              </w:rPr>
            </w:pPr>
            <w:r>
              <w:rPr>
                <w:rFonts w:hint="eastAsia" w:hAnsi="仿宋_GB2312" w:cs="仿宋_GB2312"/>
                <w:b/>
                <w:sz w:val="28"/>
                <w:szCs w:val="28"/>
                <w:lang w:bidi="ar"/>
              </w:rPr>
              <w:t>区域药品实时配送机制建设：</w:t>
            </w:r>
            <w:r>
              <w:rPr>
                <w:rFonts w:hint="eastAsia" w:hAnsi="仿宋_GB2312" w:cs="仿宋_GB2312"/>
                <w:bCs/>
                <w:sz w:val="28"/>
                <w:szCs w:val="28"/>
                <w:lang w:bidi="ar"/>
              </w:rPr>
              <w:t>完善药库与社康机构的信息交互平台，实现“线上申请、即刻响应”，切实保障基层群众用药需求。</w:t>
            </w:r>
          </w:p>
          <w:p>
            <w:pPr>
              <w:spacing w:after="0"/>
              <w:ind w:firstLine="562"/>
              <w:rPr>
                <w:rFonts w:hint="eastAsia" w:hAnsi="仿宋_GB2312" w:cs="仿宋_GB2312"/>
                <w:bCs/>
                <w:sz w:val="28"/>
                <w:szCs w:val="28"/>
                <w:lang w:bidi="ar"/>
              </w:rPr>
            </w:pPr>
            <w:r>
              <w:rPr>
                <w:rFonts w:hint="eastAsia" w:hAnsi="仿宋_GB2312" w:cs="仿宋_GB2312"/>
                <w:b/>
                <w:sz w:val="28"/>
                <w:szCs w:val="28"/>
                <w:lang w:bidi="ar"/>
              </w:rPr>
              <w:t>“低空经济+医疗运输”应用场景建设行动：</w:t>
            </w:r>
            <w:r>
              <w:rPr>
                <w:rFonts w:hint="eastAsia" w:hAnsi="仿宋_GB2312" w:cs="仿宋_GB2312"/>
                <w:bCs/>
                <w:sz w:val="28"/>
                <w:szCs w:val="28"/>
                <w:lang w:bidi="ar"/>
              </w:rPr>
              <w:t>建立</w:t>
            </w:r>
            <w:bookmarkStart w:id="60" w:name="OLE_LINK17"/>
            <w:r>
              <w:rPr>
                <w:rFonts w:hint="eastAsia" w:hAnsi="仿宋_GB2312" w:cs="仿宋_GB2312"/>
                <w:bCs/>
                <w:sz w:val="28"/>
                <w:szCs w:val="28"/>
                <w:lang w:bidi="ar"/>
              </w:rPr>
              <w:t>“无人机跑+标本跑”即时配送体系</w:t>
            </w:r>
            <w:bookmarkEnd w:id="60"/>
            <w:r>
              <w:rPr>
                <w:rFonts w:hint="eastAsia" w:hAnsi="仿宋_GB2312" w:cs="仿宋_GB2312"/>
                <w:bCs/>
                <w:sz w:val="28"/>
                <w:szCs w:val="28"/>
                <w:lang w:bidi="ar"/>
              </w:rPr>
              <w:t>，到2030年实现社康低空配送全覆盖。</w:t>
            </w:r>
          </w:p>
        </w:tc>
      </w:tr>
    </w:tbl>
    <w:p>
      <w:pPr>
        <w:pStyle w:val="5"/>
        <w:keepNext w:val="0"/>
        <w:keepLines w:val="0"/>
        <w:spacing w:after="0"/>
        <w:ind w:firstLine="640"/>
        <w:jc w:val="left"/>
        <w:rPr>
          <w:rFonts w:hint="eastAsia" w:hAnsi="楷体_GB2312" w:cs="楷体_GB2312"/>
          <w:lang w:bidi="ar"/>
        </w:rPr>
      </w:pPr>
      <w:bookmarkStart w:id="61" w:name="_Toc230463245"/>
      <w:r>
        <w:rPr>
          <w:rFonts w:hint="eastAsia"/>
        </w:rPr>
        <w:t>（四）</w:t>
      </w:r>
      <w:r>
        <w:rPr>
          <w:rFonts w:hint="eastAsia" w:hAnsi="楷体_GB2312" w:cs="楷体_GB2312"/>
        </w:rPr>
        <w:t>传承创新，打造区域中医药服务体系新格局</w:t>
      </w:r>
      <w:bookmarkEnd w:id="56"/>
      <w:bookmarkEnd w:id="61"/>
    </w:p>
    <w:p>
      <w:pPr>
        <w:pStyle w:val="88"/>
        <w:ind w:firstLine="643"/>
        <w:rPr>
          <w:rFonts w:hint="eastAsia" w:hAnsi="仿宋_GB2312" w:cs="仿宋_GB2312"/>
          <w:szCs w:val="40"/>
        </w:rPr>
      </w:pPr>
      <w:r>
        <w:rPr>
          <w:rFonts w:hint="eastAsia"/>
          <w:b/>
          <w:bCs/>
        </w:rPr>
        <w:t>16.建设高水平区属中医院。</w:t>
      </w:r>
      <w:r>
        <w:rPr>
          <w:rFonts w:hint="eastAsia" w:hAnsi="仿宋_GB2312" w:cs="仿宋_GB2312"/>
          <w:szCs w:val="40"/>
        </w:rPr>
        <w:t>加快推进区中医院建设，依托广州中医药大学第一附属医院资源优势，全面提升区中医院发展水平</w:t>
      </w:r>
      <w:r>
        <w:rPr>
          <w:rFonts w:hint="eastAsia" w:hAnsi="宋体"/>
          <w:kern w:val="0"/>
          <w:szCs w:val="32"/>
        </w:rPr>
        <w:t>。</w:t>
      </w:r>
      <w:r>
        <w:rPr>
          <w:rFonts w:hint="eastAsia" w:hAnsi="仿宋_GB2312" w:cs="仿宋_GB2312"/>
          <w:szCs w:val="32"/>
        </w:rPr>
        <w:t>支持区中医院引进广中医一附院制剂并纳入医保，加快院内制剂研发转化</w:t>
      </w:r>
      <w:r>
        <w:rPr>
          <w:rFonts w:hint="eastAsia" w:hAnsi="仿宋_GB2312" w:cs="仿宋_GB2312"/>
          <w:szCs w:val="40"/>
        </w:rPr>
        <w:t>。建立远程诊疗、远程教学和远程学术交流关系，支持医院持续组织人员到广州中医药大学第一附属医院及国内外其他机构接受相关培训，为医院培养临床型、科研型高层次人才</w:t>
      </w:r>
      <w:r>
        <w:rPr>
          <w:rFonts w:hint="eastAsia" w:hAnsi="仿宋_GB2312" w:cs="仿宋_GB2312"/>
          <w:szCs w:val="32"/>
        </w:rPr>
        <w:t>。支持以区中医院为龙头，整合全区综合医院中医科、社康中医馆、民营中医机构、名医工作室，组建龙华区中医专科联盟，整合建立全区中医药人才库、名中医库，统一多点执业、下沉带教、师承传承</w:t>
      </w:r>
      <w:r>
        <w:rPr>
          <w:rFonts w:hint="eastAsia"/>
        </w:rPr>
        <w:t>。支持发展中医互联网医院，推动开展线上线下一体化中医药服务</w:t>
      </w:r>
      <w:r>
        <w:rPr>
          <w:rFonts w:hint="eastAsia" w:hAnsi="仿宋_GB2312" w:cs="仿宋_GB2312"/>
          <w:szCs w:val="40"/>
        </w:rPr>
        <w:t>，力争2030年</w:t>
      </w:r>
      <w:r>
        <w:rPr>
          <w:rFonts w:hint="eastAsia" w:hAnsi="宋体"/>
          <w:kern w:val="0"/>
          <w:szCs w:val="32"/>
        </w:rPr>
        <w:t>达到三级中医院建设标准。</w:t>
      </w:r>
    </w:p>
    <w:p>
      <w:pPr>
        <w:pStyle w:val="88"/>
        <w:ind w:firstLine="643"/>
        <w:rPr>
          <w:b/>
          <w:bCs/>
        </w:rPr>
      </w:pPr>
      <w:bookmarkStart w:id="62" w:name="OLE_LINK5"/>
      <w:r>
        <w:rPr>
          <w:rFonts w:hint="eastAsia"/>
          <w:b/>
          <w:bCs/>
        </w:rPr>
        <w:t>17</w:t>
      </w:r>
      <w:r>
        <w:rPr>
          <w:b/>
          <w:bCs/>
        </w:rPr>
        <w:t>.</w:t>
      </w:r>
      <w:r>
        <w:rPr>
          <w:rFonts w:hint="eastAsia"/>
          <w:b/>
          <w:bCs/>
        </w:rPr>
        <w:t>加强基层中医药服务能力。</w:t>
      </w:r>
      <w:r>
        <w:rPr>
          <w:rFonts w:hint="eastAsia" w:hAnsi="仿宋_GB2312" w:cs="仿宋_GB2312"/>
          <w:szCs w:val="40"/>
        </w:rPr>
        <w:t>争创新一轮全国基层中医药工作示范区，争取全区15%以上的社康中心、30%以上的社康站完成中医内涵建设。完善以区中医院为龙头，区属医院中医科为支撑，社康机构中医药服务为网底的中医药服务体系，构建中医专科双向转诊制度。依托区中医院</w:t>
      </w:r>
      <w:r>
        <w:rPr>
          <w:rFonts w:hint="eastAsia" w:hAnsi="仿宋_GB2312" w:cs="仿宋_GB2312"/>
          <w:szCs w:val="32"/>
        </w:rPr>
        <w:t>设立中医适宜技术推广中心</w:t>
      </w:r>
      <w:r>
        <w:rPr>
          <w:rFonts w:hint="eastAsia" w:hAnsi="仿宋_GB2312" w:cs="仿宋_GB2312"/>
          <w:szCs w:val="40"/>
        </w:rPr>
        <w:t>，</w:t>
      </w:r>
      <w:r>
        <w:rPr>
          <w:rFonts w:hint="eastAsia" w:hAnsi="仿宋_GB2312" w:cs="仿宋_GB2312"/>
          <w:szCs w:val="32"/>
        </w:rPr>
        <w:t>逐步向全区社康机构医护人员开展全覆盖培训、考核与持证上岗，并纳入中医药适宜技术推广项目规范化管理体系</w:t>
      </w:r>
      <w:r>
        <w:rPr>
          <w:rFonts w:hint="eastAsia"/>
        </w:rPr>
        <w:t>。依托区中医院</w:t>
      </w:r>
      <w:r>
        <w:t>组建区级中医质控中心，统一服务标准、质量监管、绩效考核。</w:t>
      </w:r>
      <w:r>
        <w:rPr>
          <w:rFonts w:hint="eastAsia"/>
        </w:rPr>
        <w:t>强化社康中医骨干培训，构建规范化、标准化、多元化的基层中医药人才培养体系，推进中医师转岗为中医全科医生。</w:t>
      </w:r>
      <w:bookmarkStart w:id="63" w:name="OLE_LINK28"/>
      <w:r>
        <w:rPr>
          <w:rFonts w:hint="eastAsia"/>
        </w:rPr>
        <w:t>做实家庭医生团队中医药服务，</w:t>
      </w:r>
      <w:bookmarkEnd w:id="63"/>
      <w:r>
        <w:rPr>
          <w:rFonts w:hint="eastAsia"/>
        </w:rPr>
        <w:t>确保每个团队配备</w:t>
      </w:r>
      <w:r>
        <w:t>1</w:t>
      </w:r>
      <w:r>
        <w:rPr>
          <w:rFonts w:hint="eastAsia"/>
        </w:rPr>
        <w:t>名中医类别医师或能提供中医药服务的临床医师，提供中医药服务。</w:t>
      </w:r>
      <w:bookmarkEnd w:id="62"/>
    </w:p>
    <w:p>
      <w:pPr>
        <w:pStyle w:val="88"/>
        <w:ind w:firstLine="643"/>
        <w:rPr>
          <w:rFonts w:hint="eastAsia" w:hAnsi="仿宋_GB2312" w:cs="仿宋_GB2312"/>
          <w:kern w:val="0"/>
          <w:szCs w:val="40"/>
        </w:rPr>
      </w:pPr>
      <w:r>
        <w:rPr>
          <w:rFonts w:hint="eastAsia"/>
          <w:b/>
          <w:bCs/>
        </w:rPr>
        <w:t>18.提高区域中医药服务水平。</w:t>
      </w:r>
      <w:r>
        <w:rPr>
          <w:rFonts w:hint="eastAsia"/>
        </w:rPr>
        <w:t>专设中医药科研项目，加强中医学科建设，重点开展中医优势病种、优势专病及慢性非传染性疾病的临床研究，加强疾病预防、疾病治疗、特色康复学科建设，争创市级中医临床重点专科及中医特色专科，增加中医药服务供给。</w:t>
      </w:r>
      <w:r>
        <w:t>促进中西医结合</w:t>
      </w:r>
      <w:r>
        <w:rPr>
          <w:rFonts w:hint="eastAsia"/>
        </w:rPr>
        <w:t>，创新中西医协作医疗模式，将中医纳入多学科会诊体系，深化综合医院和中医医院中西医协同攻关，开展综合医院科室间中西医协同诊疗工作。加强中医药科技创新，推进“中医药+AI”深度融合。完善中医“治未病”健康体系，以区中医院为龙头，综合医院中医科为枢纽，联动社康、居家养老驿站及家庭医生团队，构建“区-街道-社区”三级中医预防保健网络。</w:t>
      </w:r>
    </w:p>
    <w:bookmarkEnd w:id="57"/>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pPr>
              <w:spacing w:after="0" w:line="580" w:lineRule="exact"/>
              <w:ind w:firstLine="0" w:firstLineChars="0"/>
              <w:jc w:val="center"/>
              <w:rPr>
                <w:rFonts w:hint="eastAsia" w:hAnsi="黑体" w:cs="黑体"/>
                <w:b/>
                <w:bCs/>
                <w:sz w:val="28"/>
                <w:szCs w:val="28"/>
              </w:rPr>
            </w:pPr>
            <w:r>
              <w:rPr>
                <w:rFonts w:hint="eastAsia" w:hAnsi="黑体" w:cs="黑体"/>
                <w:b/>
                <w:bCs/>
                <w:sz w:val="28"/>
                <w:szCs w:val="28"/>
              </w:rPr>
              <w:t>专栏9：区域中医药服务体系建设工程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784" w:type="dxa"/>
          </w:tcPr>
          <w:p>
            <w:pPr>
              <w:spacing w:after="0"/>
              <w:ind w:firstLine="562"/>
              <w:jc w:val="left"/>
              <w:rPr>
                <w:rFonts w:hint="eastAsia" w:hAnsi="仿宋_GB2312" w:cs="仿宋_GB2312"/>
                <w:bCs/>
                <w:sz w:val="28"/>
                <w:szCs w:val="28"/>
                <w:lang w:bidi="ar"/>
              </w:rPr>
            </w:pPr>
            <w:bookmarkStart w:id="64" w:name="OLE_LINK12"/>
            <w:r>
              <w:rPr>
                <w:rFonts w:hint="eastAsia" w:hAnsi="仿宋_GB2312" w:cs="仿宋_GB2312"/>
                <w:b/>
                <w:sz w:val="28"/>
                <w:szCs w:val="28"/>
                <w:lang w:bidi="ar"/>
              </w:rPr>
              <w:t>中西医临床协作能力建设项目：</w:t>
            </w:r>
            <w:r>
              <w:rPr>
                <w:rFonts w:hint="eastAsia" w:hAnsi="仿宋_GB2312" w:cs="仿宋_GB2312"/>
                <w:bCs/>
                <w:sz w:val="28"/>
                <w:szCs w:val="28"/>
                <w:lang w:bidi="ar"/>
              </w:rPr>
              <w:t>持续开展中西医临床协作，围绕重大疑难疾病、传染病和慢性病等进行中西医联合攻关，逐步建立中西医结合临床疗效评价标准，遴选形成优势病种目录，制定复发性流产、儿童反复呼吸道感染等10项中西医协同诊疗方案。</w:t>
            </w:r>
          </w:p>
          <w:p>
            <w:pPr>
              <w:spacing w:after="0"/>
              <w:ind w:firstLine="562"/>
              <w:jc w:val="left"/>
              <w:rPr>
                <w:rFonts w:hint="eastAsia" w:hAnsi="仿宋_GB2312" w:cs="仿宋_GB2312"/>
                <w:bCs/>
                <w:sz w:val="28"/>
                <w:szCs w:val="28"/>
                <w:lang w:bidi="ar"/>
              </w:rPr>
            </w:pPr>
            <w:r>
              <w:rPr>
                <w:rFonts w:hint="eastAsia" w:hAnsi="仿宋_GB2312" w:cs="仿宋_GB2312"/>
                <w:b/>
                <w:sz w:val="28"/>
                <w:szCs w:val="28"/>
                <w:lang w:bidi="ar"/>
              </w:rPr>
              <w:t>社康中医馆建设工程：</w:t>
            </w:r>
            <w:r>
              <w:rPr>
                <w:rFonts w:hint="eastAsia" w:hAnsi="仿宋_GB2312" w:cs="仿宋_GB2312"/>
                <w:bCs/>
                <w:sz w:val="28"/>
                <w:szCs w:val="28"/>
                <w:lang w:bidi="ar"/>
              </w:rPr>
              <w:t>按照品牌化、优质化、规范化、标准化的要求，分层级规划布局建设一批名医堂，创新机制，打造可推广、可复制、可持续的示范性名医堂运营模式。</w:t>
            </w:r>
          </w:p>
          <w:p>
            <w:pPr>
              <w:spacing w:after="0"/>
              <w:ind w:firstLine="562"/>
              <w:jc w:val="left"/>
              <w:rPr>
                <w:rFonts w:hint="eastAsia" w:hAnsi="仿宋_GB2312" w:cs="仿宋_GB2312"/>
                <w:bCs/>
                <w:sz w:val="28"/>
                <w:szCs w:val="28"/>
                <w:lang w:bidi="ar"/>
              </w:rPr>
            </w:pPr>
            <w:r>
              <w:rPr>
                <w:rFonts w:hint="eastAsia" w:hAnsi="仿宋_GB2312" w:cs="仿宋_GB2312"/>
                <w:b/>
                <w:sz w:val="28"/>
                <w:szCs w:val="28"/>
                <w:lang w:bidi="ar"/>
              </w:rPr>
              <w:t>中药经典名方推广工程：</w:t>
            </w:r>
            <w:r>
              <w:rPr>
                <w:rFonts w:hint="eastAsia" w:hAnsi="仿宋_GB2312" w:cs="仿宋_GB2312"/>
                <w:bCs/>
                <w:sz w:val="28"/>
                <w:szCs w:val="28"/>
                <w:lang w:bidi="ar"/>
              </w:rPr>
              <w:t>积极引导医疗机构制剂依托经典名方开展二次研发并向中药新药转化，助力中药研发制造能力提升，完成5个制剂新品种申报。加强经典名方中药复方制剂的配备使用。</w:t>
            </w:r>
            <w:bookmarkEnd w:id="64"/>
          </w:p>
        </w:tc>
      </w:tr>
    </w:tbl>
    <w:p>
      <w:pPr>
        <w:pStyle w:val="5"/>
        <w:keepNext w:val="0"/>
        <w:keepLines w:val="0"/>
        <w:spacing w:after="0"/>
        <w:ind w:firstLine="640"/>
        <w:jc w:val="left"/>
        <w:rPr>
          <w:rFonts w:hint="eastAsia" w:hAnsi="楷体_GB2312" w:cs="楷体_GB2312"/>
          <w:lang w:bidi="ar"/>
        </w:rPr>
      </w:pPr>
      <w:bookmarkStart w:id="65" w:name="_Toc230463246"/>
      <w:bookmarkStart w:id="66" w:name="_Toc217379415"/>
      <w:r>
        <w:rPr>
          <w:rFonts w:hint="eastAsia"/>
        </w:rPr>
        <w:t>（五）健康优先，打造智慧韧性的现代化“大公卫”体系</w:t>
      </w:r>
      <w:bookmarkEnd w:id="65"/>
      <w:bookmarkEnd w:id="66"/>
    </w:p>
    <w:p>
      <w:pPr>
        <w:pStyle w:val="88"/>
        <w:ind w:firstLine="643"/>
        <w:rPr>
          <w:b/>
          <w:bCs/>
        </w:rPr>
      </w:pPr>
      <w:bookmarkStart w:id="67" w:name="OLE_LINK13"/>
      <w:r>
        <w:rPr>
          <w:b/>
          <w:bCs/>
        </w:rPr>
        <w:t>19.</w:t>
      </w:r>
      <w:r>
        <w:rPr>
          <w:rFonts w:hint="eastAsia"/>
          <w:b/>
          <w:bCs/>
        </w:rPr>
        <w:t>打造医防融合医防协同体系。</w:t>
      </w:r>
      <w:r>
        <w:rPr>
          <w:rFonts w:hint="eastAsia"/>
        </w:rPr>
        <w:t>推动机构深度融合，将区疾控中心、区慢病中心纳入辖区医疗集团统一管理，实现疾控、慢病机构与医疗集团一体化运行，促进公共卫生资源集约配置与高效利用。</w:t>
      </w:r>
      <w:r>
        <w:t>健全人员双向融合机制，推动公共卫生骨干与基层医疗服务队伍协同联动，构建平战结合的工作模式，强化平时健康管理能力建设与战时应急响应能力储备，提升突发公共卫生事件协同处置水平。夯实</w:t>
      </w:r>
      <w:r>
        <w:rPr>
          <w:rFonts w:hint="eastAsia"/>
        </w:rPr>
        <w:t>“</w:t>
      </w:r>
      <w:r>
        <w:t>区—街道—社区</w:t>
      </w:r>
      <w:r>
        <w:rPr>
          <w:rFonts w:hint="eastAsia"/>
        </w:rPr>
        <w:t>”</w:t>
      </w:r>
      <w:r>
        <w:t>三级疾控体系的基层网底，有机整合并赋能社康医生队伍，将其打造为公共卫生治理的关键</w:t>
      </w:r>
      <w:r>
        <w:rPr>
          <w:rFonts w:hint="eastAsia"/>
        </w:rPr>
        <w:t>补充</w:t>
      </w:r>
      <w:r>
        <w:t>力量</w:t>
      </w:r>
      <w:r>
        <w:rPr>
          <w:rFonts w:hint="eastAsia"/>
        </w:rPr>
        <w:t>，着力培养社区公共卫生带头人和业务领头人，全面提升基层公共卫生治理能力。</w:t>
      </w:r>
    </w:p>
    <w:p>
      <w:pPr>
        <w:pStyle w:val="88"/>
        <w:ind w:firstLine="643"/>
        <w:jc w:val="left"/>
      </w:pPr>
      <w:r>
        <w:rPr>
          <w:rFonts w:hint="eastAsia"/>
          <w:b/>
          <w:bCs/>
        </w:rPr>
        <w:t>20.促进健康教育能级提升。</w:t>
      </w:r>
      <w:r>
        <w:rPr>
          <w:rFonts w:hint="eastAsia"/>
        </w:rPr>
        <w:t>加大优质健康科普产品供给，加强龙华区“两库一机制”信息化平台建设，遴选汇集医疗卫生机构优质健康科普资源，进一步充实区级健康科普资源库。加强健康科普作品宣传推广，以“数字家医”平台及家庭医生团队为核心抓手，打造“全员参与、精准推送、多平台融合”的健康科普传播体系。构建健康科普评价体系，基于大数据抓取与动态监测，实现对医护人员科普影响力、科普作品传播效能的科学评估与持续管理。构建居民AI健康生活方式画像，并量化评估健康干预效果。</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tcPr>
          <w:p>
            <w:pPr>
              <w:spacing w:after="0" w:line="580" w:lineRule="exact"/>
              <w:ind w:firstLine="0" w:firstLineChars="0"/>
              <w:jc w:val="center"/>
              <w:rPr>
                <w:rFonts w:hint="eastAsia" w:hAnsi="黑体" w:cs="黑体"/>
                <w:b/>
                <w:bCs/>
                <w:sz w:val="28"/>
                <w:szCs w:val="28"/>
              </w:rPr>
            </w:pPr>
            <w:r>
              <w:rPr>
                <w:rFonts w:hint="eastAsia" w:hAnsi="黑体" w:cs="黑体"/>
                <w:b/>
                <w:bCs/>
                <w:sz w:val="28"/>
                <w:szCs w:val="28"/>
              </w:rPr>
              <w:t>专栏10：健康教育提升工程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84" w:type="dxa"/>
            <w:vAlign w:val="center"/>
          </w:tcPr>
          <w:p>
            <w:pPr>
              <w:spacing w:after="0"/>
              <w:ind w:firstLine="562"/>
              <w:jc w:val="left"/>
              <w:rPr>
                <w:rFonts w:hint="eastAsia" w:hAnsi="仿宋_GB2312" w:cs="仿宋_GB2312"/>
                <w:bCs/>
                <w:sz w:val="28"/>
                <w:szCs w:val="28"/>
                <w:lang w:bidi="ar"/>
              </w:rPr>
            </w:pPr>
            <w:r>
              <w:rPr>
                <w:rFonts w:hint="eastAsia" w:hAnsi="仿宋_GB2312" w:cs="仿宋_GB2312"/>
                <w:b/>
                <w:sz w:val="28"/>
                <w:szCs w:val="28"/>
                <w:lang w:bidi="ar"/>
              </w:rPr>
              <w:t>健康知识体验场景项目：</w:t>
            </w:r>
            <w:r>
              <w:rPr>
                <w:rFonts w:hint="eastAsia" w:hAnsi="仿宋_GB2312" w:cs="仿宋_GB2312"/>
                <w:bCs/>
                <w:sz w:val="28"/>
                <w:szCs w:val="28"/>
                <w:lang w:bidi="ar"/>
              </w:rPr>
              <w:t>构建公卫机构、医院、基层社康之间协同机制及互联互通的信息化工作网络，通过虚拟现实（VR）等技术，开发沉浸式健康知识体验场景，提升健康教育的体验感和实效性。</w:t>
            </w:r>
          </w:p>
          <w:p>
            <w:pPr>
              <w:spacing w:after="0"/>
              <w:ind w:firstLine="562"/>
              <w:jc w:val="left"/>
              <w:rPr>
                <w:rFonts w:hint="eastAsia" w:hAnsi="仿宋_GB2312" w:cs="仿宋_GB2312"/>
                <w:bCs/>
                <w:sz w:val="28"/>
                <w:szCs w:val="28"/>
                <w:lang w:bidi="ar"/>
              </w:rPr>
            </w:pPr>
            <w:bookmarkStart w:id="68" w:name="_Hlk217400301"/>
            <w:r>
              <w:rPr>
                <w:rFonts w:hint="eastAsia" w:hAnsi="仿宋_GB2312" w:cs="仿宋_GB2312"/>
                <w:b/>
                <w:sz w:val="28"/>
                <w:szCs w:val="28"/>
                <w:lang w:bidi="ar"/>
              </w:rPr>
              <w:t>居民AI健康生活方式画像</w:t>
            </w:r>
            <w:bookmarkEnd w:id="68"/>
            <w:r>
              <w:rPr>
                <w:rFonts w:hint="eastAsia" w:hAnsi="仿宋_GB2312" w:cs="仿宋_GB2312"/>
                <w:b/>
                <w:sz w:val="28"/>
                <w:szCs w:val="28"/>
                <w:lang w:bidi="ar"/>
              </w:rPr>
              <w:t>项目：</w:t>
            </w:r>
            <w:r>
              <w:rPr>
                <w:rFonts w:hint="eastAsia" w:hAnsi="仿宋_GB2312" w:cs="仿宋_GB2312"/>
                <w:bCs/>
                <w:sz w:val="28"/>
                <w:szCs w:val="28"/>
                <w:lang w:bidi="ar"/>
              </w:rPr>
              <w:t>利用可穿戴设备等物联网终端实时采集居民健康数据，依托人工智能技术动态生成精准、可视化的“居民健康生活方式自画像”，由家庭医生团队开展个性化、全程化的健康生活方式干预与指导。</w:t>
            </w:r>
          </w:p>
        </w:tc>
      </w:tr>
    </w:tbl>
    <w:p>
      <w:pPr>
        <w:ind w:firstLine="643"/>
        <w:rPr>
          <w:b/>
          <w:bCs/>
          <w:szCs w:val="32"/>
        </w:rPr>
      </w:pPr>
      <w:r>
        <w:rPr>
          <w:rFonts w:hint="eastAsia"/>
          <w:b/>
          <w:bCs/>
        </w:rPr>
        <w:t>21.深入开展健康促进专项行动。</w:t>
      </w:r>
      <w:r>
        <w:rPr>
          <w:rFonts w:hint="eastAsia"/>
          <w:szCs w:val="32"/>
        </w:rPr>
        <w:t>按照“一人群一策、一类型一策”的原则，</w:t>
      </w:r>
      <w:r>
        <w:rPr>
          <w:rFonts w:hint="eastAsia"/>
        </w:rPr>
        <w:t>聚焦精神卫生、心理健康、体重管理、职业健康、公共卫生、老年人健康管理、学生常见病防治、慢性病防控等主题，充分发挥各类健康教育阵地和品牌活动的带动作用，制定并实施个性化的健康促进行动，为重点人群提供全面、便捷、生动的健康知识科普与精准健康服务供给。逐步引导各类人群实现从“被动接受健康知识”向“主动养成健康习惯”的根本转变。</w:t>
      </w:r>
      <w:r>
        <w:rPr>
          <w:rFonts w:hint="eastAsia" w:hAnsi="仿宋_GB2312" w:cs="仿宋_GB2312"/>
        </w:rPr>
        <w:t>常态化开展社会应急救护培训，涵盖医疗卫生机构、托育机构及重点行业从业人员和社区志愿者等人群，持续提高培训质量，不断提升社会急救水平。</w:t>
      </w:r>
    </w:p>
    <w:tbl>
      <w:tblPr>
        <w:tblStyle w:val="90"/>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6" w:type="dxa"/>
          </w:tcPr>
          <w:p>
            <w:pPr>
              <w:spacing w:after="0" w:line="580" w:lineRule="exact"/>
              <w:ind w:firstLine="0" w:firstLineChars="0"/>
              <w:jc w:val="center"/>
              <w:rPr>
                <w:rFonts w:hint="eastAsia" w:hAnsi="黑体" w:cs="黑体"/>
                <w:b/>
                <w:bCs/>
                <w:sz w:val="28"/>
                <w:szCs w:val="28"/>
              </w:rPr>
            </w:pPr>
            <w:r>
              <w:rPr>
                <w:rFonts w:hint="eastAsia" w:hAnsi="黑体" w:cs="黑体"/>
                <w:b/>
                <w:bCs/>
                <w:sz w:val="28"/>
                <w:szCs w:val="28"/>
              </w:rPr>
              <w:t>专栏11：健康促进专项行动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8926" w:type="dxa"/>
            <w:vAlign w:val="center"/>
          </w:tcPr>
          <w:p>
            <w:pPr>
              <w:spacing w:after="0"/>
              <w:ind w:firstLine="562"/>
              <w:rPr>
                <w:rFonts w:hint="eastAsia" w:hAnsi="仿宋_GB2312" w:cs="仿宋_GB2312"/>
                <w:sz w:val="28"/>
                <w:szCs w:val="28"/>
              </w:rPr>
            </w:pPr>
            <w:r>
              <w:rPr>
                <w:rFonts w:hint="eastAsia" w:hAnsi="仿宋_GB2312" w:cs="仿宋_GB2312"/>
                <w:b/>
                <w:bCs/>
                <w:sz w:val="28"/>
                <w:szCs w:val="28"/>
              </w:rPr>
              <w:t>精神心理健康促进专项行动：</w:t>
            </w:r>
            <w:r>
              <w:rPr>
                <w:rFonts w:hint="eastAsia" w:hAnsi="仿宋_GB2312" w:cs="仿宋_GB2312"/>
                <w:sz w:val="28"/>
                <w:szCs w:val="28"/>
              </w:rPr>
              <w:t>细化社区关爱帮扶小组工作机制，推动街道、社区精神疾病康复阵地建设，完善精神障碍“筛查-诊疗-干预-康复”全流程管理。推动基层医疗机构规范设置心理科门诊，大力推进精神科医师引进培育和精神科转岗医师培训。加强医教协同，畅通学生心理干预就诊通道。结合主题日活动与线上平台持续强化精神、心理健康科普知识推广，持续提升居民心理健康素养水平。</w:t>
            </w:r>
          </w:p>
          <w:p>
            <w:pPr>
              <w:spacing w:after="0"/>
              <w:ind w:firstLine="562"/>
              <w:rPr>
                <w:rFonts w:hint="eastAsia" w:hAnsi="仿宋_GB2312" w:cs="仿宋_GB2312"/>
                <w:sz w:val="28"/>
                <w:szCs w:val="28"/>
              </w:rPr>
            </w:pPr>
            <w:r>
              <w:rPr>
                <w:rFonts w:hint="eastAsia" w:hAnsi="仿宋_GB2312" w:cs="仿宋_GB2312"/>
                <w:b/>
                <w:bCs/>
                <w:sz w:val="28"/>
                <w:szCs w:val="28"/>
              </w:rPr>
              <w:t>体重管理专项行动：</w:t>
            </w:r>
            <w:r>
              <w:rPr>
                <w:rFonts w:hint="eastAsia" w:hAnsi="仿宋_GB2312" w:cs="仿宋_GB2312"/>
                <w:sz w:val="28"/>
                <w:szCs w:val="28"/>
              </w:rPr>
              <w:t>推动体卫融合，鼓励医院与社康开设体重管理及运动健康门诊，强化多学科协同，建立完善运动处方和营养处方库，加强家庭医生运动处方、营养处方培训。探索AI技术嵌入龙华家医APP，协助家庭医生分析居民膳食结构、监测居民健康指标，并提供个性化体重管理建议。开展“三减三健”科普，加强重点人群营养膳食指导。</w:t>
            </w:r>
          </w:p>
          <w:p>
            <w:pPr>
              <w:spacing w:after="0"/>
              <w:ind w:firstLine="562"/>
              <w:rPr>
                <w:rFonts w:hint="eastAsia" w:hAnsi="仿宋_GB2312" w:cs="仿宋_GB2312"/>
                <w:b/>
                <w:bCs/>
                <w:sz w:val="28"/>
                <w:szCs w:val="28"/>
              </w:rPr>
            </w:pPr>
            <w:r>
              <w:rPr>
                <w:rFonts w:hint="eastAsia" w:hAnsi="仿宋_GB2312" w:cs="仿宋_GB2312"/>
                <w:b/>
                <w:bCs/>
                <w:sz w:val="28"/>
                <w:szCs w:val="28"/>
              </w:rPr>
              <w:t>重点人群健康保障专项行动：</w:t>
            </w:r>
            <w:r>
              <w:rPr>
                <w:rFonts w:hint="eastAsia" w:hAnsi="仿宋_GB2312" w:cs="仿宋_GB2312"/>
                <w:sz w:val="28"/>
                <w:szCs w:val="28"/>
              </w:rPr>
              <w:t>构建“疾控+街道+社区”三级公共卫生防控体系，完善卫健、人社、街道、园区等多方联动机制，</w:t>
            </w:r>
            <w:r>
              <w:rPr>
                <w:rFonts w:hAnsi="仿宋_GB2312" w:cs="仿宋_GB2312"/>
                <w:sz w:val="28"/>
                <w:szCs w:val="28"/>
              </w:rPr>
              <w:t>夯实重点人群健康管理根基</w:t>
            </w:r>
            <w:r>
              <w:rPr>
                <w:rFonts w:hint="eastAsia" w:hAnsi="仿宋_GB2312" w:cs="仿宋_GB2312"/>
                <w:sz w:val="28"/>
                <w:szCs w:val="28"/>
              </w:rPr>
              <w:t>。建立职业病防治片区管理机制，提升职业病危害申报、职业健康检查及用人单位培训覆盖率，做好从业人员体检和职业病体检工作。完善以学校为核心的健康监测评估体系，深入推进儿童青少年“五健”促进行动，加强近视、肥胖、脊柱侧弯、营养不良、龋齿等学生常见病防治。</w:t>
            </w:r>
            <w:r>
              <w:rPr>
                <w:rFonts w:hint="eastAsia" w:hAnsi="仿宋_GB2312" w:cs="仿宋_GB2312"/>
                <w:sz w:val="28"/>
                <w:szCs w:val="28"/>
                <w:lang w:eastAsia="zh"/>
              </w:rPr>
              <w:t>持续开展儿童青少年体重管理系列活动。</w:t>
            </w:r>
            <w:r>
              <w:rPr>
                <w:rFonts w:hAnsi="仿宋_GB2312" w:cs="仿宋_GB2312"/>
                <w:sz w:val="28"/>
                <w:szCs w:val="28"/>
                <w:lang w:eastAsia="zh"/>
              </w:rPr>
              <w:t>发展医养结合服务，</w:t>
            </w:r>
            <w:r>
              <w:rPr>
                <w:rFonts w:hint="eastAsia" w:hAnsi="仿宋_GB2312" w:cs="仿宋_GB2312"/>
                <w:sz w:val="28"/>
                <w:szCs w:val="28"/>
              </w:rPr>
              <w:t>开展老年人心理关爱与慢性病筛查干预，</w:t>
            </w:r>
            <w:r>
              <w:rPr>
                <w:rFonts w:hAnsi="仿宋_GB2312" w:cs="仿宋_GB2312"/>
                <w:sz w:val="28"/>
                <w:szCs w:val="28"/>
              </w:rPr>
              <w:t>健全失能失智老年人照护体系，扩大康复护理和安宁疗护服务供给。</w:t>
            </w:r>
          </w:p>
          <w:p>
            <w:pPr>
              <w:spacing w:after="0"/>
              <w:ind w:firstLine="562"/>
              <w:rPr>
                <w:rFonts w:hint="eastAsia" w:hAnsi="仿宋_GB2312" w:cs="仿宋_GB2312"/>
                <w:sz w:val="28"/>
                <w:szCs w:val="28"/>
              </w:rPr>
            </w:pPr>
            <w:r>
              <w:rPr>
                <w:rFonts w:hint="eastAsia" w:hAnsi="仿宋_GB2312" w:cs="仿宋_GB2312"/>
                <w:b/>
                <w:bCs/>
                <w:sz w:val="28"/>
                <w:szCs w:val="28"/>
              </w:rPr>
              <w:t>实施公共卫生健康专项行动：</w:t>
            </w:r>
            <w:r>
              <w:rPr>
                <w:rFonts w:hint="eastAsia" w:hAnsi="仿宋_GB2312" w:cs="仿宋_GB2312"/>
                <w:sz w:val="28"/>
                <w:szCs w:val="28"/>
              </w:rPr>
              <w:t>推进艾滋病防治专项行动，健全监测预警机制，强化重点人群宣教干预，支持区人民医院“爱心门诊”开展抗病毒治疗服务。开展病毒性肝炎消除行动，加强筛查、规范治疗与乙肝疫苗接种，持续提升丙肝病例治疗率。按照上级部署扩大免疫规划，推进适龄女童HPV疫苗接种。</w:t>
            </w:r>
          </w:p>
        </w:tc>
      </w:tr>
    </w:tbl>
    <w:p>
      <w:pPr>
        <w:pStyle w:val="88"/>
        <w:ind w:firstLine="643"/>
      </w:pPr>
      <w:bookmarkStart w:id="69" w:name="OLE_LINK45"/>
      <w:r>
        <w:rPr>
          <w:rFonts w:hint="eastAsia"/>
          <w:b/>
          <w:bCs/>
        </w:rPr>
        <w:t>22.</w:t>
      </w:r>
      <w:bookmarkStart w:id="70" w:name="OLE_LINK27"/>
      <w:r>
        <w:rPr>
          <w:rFonts w:hint="eastAsia"/>
          <w:b/>
          <w:bCs/>
        </w:rPr>
        <w:t>深入开展爱国卫生运动</w:t>
      </w:r>
      <w:bookmarkEnd w:id="70"/>
      <w:r>
        <w:rPr>
          <w:rFonts w:hint="eastAsia"/>
          <w:b/>
          <w:bCs/>
        </w:rPr>
        <w:t>。</w:t>
      </w:r>
      <w:r>
        <w:rPr>
          <w:rFonts w:hint="eastAsia" w:hAnsi="仿宋_GB2312" w:cs="仿宋_GB2312"/>
          <w:szCs w:val="32"/>
        </w:rPr>
        <w:t>巩固“政府主导-部门联动-行业监督-公众参与”的爱国卫生工作体系，推进落实季节性爱国卫生运动、爱国卫生月、清洁深圳月、环境清洁日等活动，</w:t>
      </w:r>
      <w:r>
        <w:rPr>
          <w:rFonts w:hint="eastAsia"/>
        </w:rPr>
        <w:t>发动群众集中开展社区、单位和家庭环境卫生清理整治、</w:t>
      </w:r>
      <w:r>
        <w:rPr>
          <w:rFonts w:hint="eastAsia" w:hAnsi="仿宋_GB2312" w:cs="仿宋_GB2312"/>
        </w:rPr>
        <w:t>垃圾分类等专项行动。</w:t>
      </w:r>
      <w:r>
        <w:rPr>
          <w:rFonts w:hint="eastAsia"/>
        </w:rPr>
        <w:t>实施健康环境促进行动，在健康步道、公园等场所融入健康素养宣传，</w:t>
      </w:r>
      <w:r>
        <w:rPr>
          <w:rFonts w:hint="eastAsia" w:hAnsi="仿宋_GB2312" w:cs="仿宋_GB2312"/>
          <w:szCs w:val="32"/>
          <w:lang w:eastAsia="zh"/>
        </w:rPr>
        <w:t>开展各类特色健康活动，</w:t>
      </w:r>
      <w:r>
        <w:rPr>
          <w:rFonts w:hint="eastAsia"/>
        </w:rPr>
        <w:t>引导居民践行绿色生活方式。</w:t>
      </w:r>
      <w:r>
        <w:rPr>
          <w:rFonts w:hint="eastAsia" w:hAnsi="仿宋_GB2312" w:cs="仿宋_GB2312"/>
        </w:rPr>
        <w:t>开展各类场所病媒生物防制标准化建设行动，推动重点场所落实环境卫生提升工作。</w:t>
      </w:r>
    </w:p>
    <w:p>
      <w:pPr>
        <w:pStyle w:val="88"/>
        <w:ind w:firstLine="643"/>
      </w:pPr>
      <w:r>
        <w:rPr>
          <w:rFonts w:hint="eastAsia"/>
          <w:b/>
          <w:bCs/>
        </w:rPr>
        <w:t>23.全方位提升疾控核心能力。</w:t>
      </w:r>
      <w:r>
        <w:rPr>
          <w:rFonts w:hint="eastAsia"/>
        </w:rPr>
        <w:t>坚持“区-街道-社区”三级疾控网络建设，聚焦传染性疾病、慢性非传染性疾病、精神卫生等重点领域，系统实施监测预警、应急处置、检验检测、调查分析与决策支持、教学科研与成果转化、社区公共卫生问题处置等“六大能力”提升工程，全面增强疾病预防控制机构的核心竞争力。</w:t>
      </w:r>
      <w:r>
        <w:t>构建智慧化多点触发监测预警体系，充分运用人工智能、大数据</w:t>
      </w:r>
      <w:r>
        <w:rPr>
          <w:rFonts w:hint="eastAsia"/>
        </w:rPr>
        <w:t>等</w:t>
      </w:r>
      <w:r>
        <w:t>技术，实现传染病及突发公共卫生事件相关信息的自动抓取、智能识别与实时预警</w:t>
      </w:r>
      <w:r>
        <w:rPr>
          <w:rFonts w:hint="eastAsia"/>
        </w:rPr>
        <w:t>。持续完善多部门联防联控工作机制，强化突发公共卫生事件协同处置能力，切实筑牢基层公共卫生“第一道防线”。</w:t>
      </w:r>
      <w:r>
        <w:t>强化队伍能力建设，建立分层分类的常态化培训制度，完善量化考核与动态评估机制，定期开展全流程、多场景的实战演练，持续提升专业素养和协同作战水平。</w:t>
      </w:r>
    </w:p>
    <w:bookmarkEnd w:id="69"/>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vAlign w:val="center"/>
          </w:tcPr>
          <w:p>
            <w:pPr>
              <w:spacing w:after="0" w:line="580" w:lineRule="exact"/>
              <w:ind w:firstLine="0" w:firstLineChars="0"/>
              <w:jc w:val="center"/>
              <w:rPr>
                <w:rFonts w:hint="eastAsia" w:hAnsi="黑体" w:cs="黑体"/>
                <w:b/>
                <w:bCs/>
                <w:sz w:val="28"/>
                <w:szCs w:val="28"/>
              </w:rPr>
            </w:pPr>
            <w:r>
              <w:rPr>
                <w:rFonts w:hint="eastAsia" w:hAnsi="黑体" w:cs="黑体"/>
                <w:b/>
                <w:bCs/>
                <w:sz w:val="28"/>
                <w:szCs w:val="28"/>
              </w:rPr>
              <w:t>专栏12：疾控能力提升工程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784" w:type="dxa"/>
            <w:vAlign w:val="center"/>
          </w:tcPr>
          <w:p>
            <w:pPr>
              <w:spacing w:after="0"/>
              <w:ind w:firstLine="562"/>
              <w:rPr>
                <w:rFonts w:hint="eastAsia" w:hAnsi="仿宋_GB2312" w:cs="仿宋_GB2312"/>
                <w:b/>
                <w:bCs/>
                <w:sz w:val="28"/>
                <w:szCs w:val="28"/>
              </w:rPr>
            </w:pPr>
            <w:r>
              <w:rPr>
                <w:rFonts w:hAnsi="仿宋_GB2312" w:cs="仿宋_GB2312"/>
                <w:b/>
                <w:bCs/>
                <w:sz w:val="28"/>
                <w:szCs w:val="28"/>
              </w:rPr>
              <w:t>“区—街道—社区”三级疾控网络建设</w:t>
            </w:r>
            <w:r>
              <w:rPr>
                <w:rFonts w:hint="eastAsia" w:hAnsi="仿宋_GB2312" w:cs="仿宋_GB2312"/>
                <w:b/>
                <w:bCs/>
                <w:sz w:val="28"/>
                <w:szCs w:val="28"/>
              </w:rPr>
              <w:t>项目：</w:t>
            </w:r>
            <w:r>
              <w:rPr>
                <w:rFonts w:hint="eastAsia" w:hAnsi="仿宋_GB2312" w:cs="仿宋_GB2312"/>
                <w:sz w:val="28"/>
                <w:szCs w:val="28"/>
              </w:rPr>
              <w:t>以区级疾控中心（区卫监所）为龙头、街道疾控分中心为枢纽、社康中心与社区公共卫生委员会为网底，并将区属医疗机构的临床医生、社康医生纳入后备应急队伍，构建专常兼备、平急结合的公共卫生应急体系。加强与公安、教育、民政、应急管理、市场监管、街道办事处等部门的互联互通，健全信息共享、会商研判、联合处置的联防联控机制，充分发挥社区网格员、志愿者、物业等多方力量，形成“政府主导、部门协同、社会参与”的群防群控格局。</w:t>
            </w:r>
          </w:p>
          <w:p>
            <w:pPr>
              <w:spacing w:after="0"/>
              <w:ind w:firstLine="562"/>
              <w:rPr>
                <w:rFonts w:hint="eastAsia" w:hAnsi="仿宋_GB2312" w:cs="仿宋_GB2312"/>
                <w:sz w:val="28"/>
                <w:szCs w:val="28"/>
              </w:rPr>
            </w:pPr>
            <w:r>
              <w:rPr>
                <w:rFonts w:hint="eastAsia" w:hAnsi="仿宋_GB2312" w:cs="仿宋_GB2312"/>
                <w:b/>
                <w:bCs/>
                <w:sz w:val="28"/>
                <w:szCs w:val="28"/>
              </w:rPr>
              <w:t>疫情分级分类智能处置系统项目：</w:t>
            </w:r>
            <w:r>
              <w:rPr>
                <w:rFonts w:hint="eastAsia" w:hAnsi="仿宋_GB2312" w:cs="仿宋_GB2312"/>
                <w:sz w:val="28"/>
                <w:szCs w:val="28"/>
              </w:rPr>
              <w:t>完善智能化的疫情分级分类处置平台，将“区疾控中心—街道分中心/区域社康—社区”的三级联动的应急响应机制融入系统流程，实现风险预警、任务派发、现场流调、结果反馈的全流程闭环管理。</w:t>
            </w:r>
          </w:p>
          <w:p>
            <w:pPr>
              <w:spacing w:after="0"/>
              <w:ind w:firstLine="562"/>
              <w:rPr>
                <w:rFonts w:hint="eastAsia" w:hAnsi="仿宋_GB2312" w:cs="仿宋_GB2312"/>
                <w:b/>
                <w:bCs/>
                <w:sz w:val="28"/>
                <w:szCs w:val="28"/>
              </w:rPr>
            </w:pPr>
            <w:r>
              <w:rPr>
                <w:rFonts w:hint="eastAsia" w:hAnsi="仿宋_GB2312" w:cs="仿宋_GB2312"/>
                <w:b/>
                <w:bCs/>
                <w:sz w:val="28"/>
                <w:szCs w:val="28"/>
              </w:rPr>
              <w:t>非现场监管平台项目：</w:t>
            </w:r>
            <w:r>
              <w:rPr>
                <w:rFonts w:hint="eastAsia" w:hAnsi="仿宋_GB2312" w:cs="仿宋_GB2312"/>
                <w:sz w:val="28"/>
                <w:szCs w:val="28"/>
              </w:rPr>
              <w:t>建设覆盖医疗卫生、职业卫生、公共场所等重点领域的非现场监管平台，实时查看数据、接收预警、处理任务，实行“线上发现问题、线下核查处置”的精准执法模式，加强数据分析和信用分级分类管理，推动监管精准高效，优化营商环境。</w:t>
            </w:r>
          </w:p>
          <w:p>
            <w:pPr>
              <w:spacing w:after="0"/>
              <w:ind w:firstLine="562"/>
              <w:rPr>
                <w:rFonts w:hint="eastAsia" w:hAnsi="仿宋_GB2312" w:cs="仿宋_GB2312"/>
                <w:sz w:val="28"/>
                <w:szCs w:val="28"/>
              </w:rPr>
            </w:pPr>
            <w:r>
              <w:rPr>
                <w:rFonts w:hint="eastAsia" w:hAnsi="仿宋_GB2312" w:cs="仿宋_GB2312"/>
                <w:b/>
                <w:bCs/>
                <w:sz w:val="28"/>
                <w:szCs w:val="28"/>
              </w:rPr>
              <w:t>疾控检验检测能力提升项目：</w:t>
            </w:r>
            <w:r>
              <w:rPr>
                <w:rFonts w:hint="eastAsia" w:hAnsi="仿宋_GB2312" w:cs="仿宋_GB2312"/>
                <w:sz w:val="28"/>
                <w:szCs w:val="28"/>
              </w:rPr>
              <w:t>进一步强化疑难病原体鉴定中心能力建设，强化疾控机构-医疗机构检验检测技术力量互补，拓展宏基因组测序、多重PCR等前沿技术应用，建立不少于320种化学危害因子的快速鉴定方法。聚焦“早发现、早预警、早处置”，</w:t>
            </w:r>
            <w:r>
              <w:rPr>
                <w:rFonts w:hAnsi="仿宋_GB2312" w:cs="仿宋_GB2312"/>
                <w:sz w:val="28"/>
                <w:szCs w:val="28"/>
              </w:rPr>
              <w:t>提升辖区疑难病原体感染疾病和毒物的监测预警能力，为辖区新发、再发传染病防控和临床疑难感染疾病诊疗提供技术支撑</w:t>
            </w:r>
            <w:r>
              <w:rPr>
                <w:rFonts w:hint="eastAsia" w:hAnsi="仿宋_GB2312" w:cs="仿宋_GB2312"/>
                <w:sz w:val="28"/>
                <w:szCs w:val="28"/>
              </w:rPr>
              <w:t>。</w:t>
            </w:r>
          </w:p>
        </w:tc>
      </w:tr>
    </w:tbl>
    <w:p>
      <w:pPr>
        <w:pStyle w:val="88"/>
        <w:ind w:firstLine="643"/>
        <w:rPr>
          <w:rFonts w:hint="eastAsia" w:hAnsi="仿宋_GB2312" w:cs="仿宋_GB2312"/>
        </w:rPr>
      </w:pPr>
      <w:r>
        <w:rPr>
          <w:rFonts w:hint="eastAsia"/>
          <w:b/>
          <w:bCs/>
        </w:rPr>
        <w:t>24.系统推进慢性病服务体系建设。</w:t>
      </w:r>
      <w:r>
        <w:rPr>
          <w:rFonts w:hint="eastAsia" w:hAnsi="仿宋_GB2312" w:cs="仿宋_GB2312"/>
        </w:rPr>
        <w:t>完善部门协调、全社会参与的慢性病综合防控体系，统筹推进慢性病全周期管理、精神障碍精准干预、公卫应急协同。强化公共卫生临床中心的枢纽功能，整合慢性病诊疗与公共卫生资源，拓展精神卫生、结核病防治等特色服务。完善严重精神障碍患者“筛查-诊疗-康复-回归”闭环管理，</w:t>
      </w:r>
      <w:bookmarkStart w:id="71" w:name="_Hlk217316458"/>
      <w:r>
        <w:rPr>
          <w:rFonts w:hint="eastAsia" w:hAnsi="仿宋_GB2312" w:cs="仿宋_GB2312"/>
        </w:rPr>
        <w:t>深化“1+7”工作机制与红黄区风险预警模式</w:t>
      </w:r>
      <w:bookmarkEnd w:id="71"/>
      <w:r>
        <w:rPr>
          <w:rFonts w:hint="eastAsia" w:hAnsi="仿宋_GB2312" w:cs="仿宋_GB2312"/>
        </w:rPr>
        <w:t>。推动将40岁以上居民肺功能检查纳入健康体检。健全心脑血管疾病、癌症、慢性呼吸系统疾病、糖尿病等重点慢性病的早筛早诊早治机制，</w:t>
      </w:r>
      <w:r>
        <w:rPr>
          <w:rFonts w:hint="eastAsia" w:hAnsi="仿宋_GB2312" w:cs="仿宋_GB2312"/>
          <w:lang w:eastAsia="zh"/>
        </w:rPr>
        <w:t>规范疾病的监测报告体系，</w:t>
      </w:r>
      <w:r>
        <w:rPr>
          <w:rFonts w:hint="eastAsia" w:hAnsi="仿宋_GB2312" w:cs="仿宋_GB2312"/>
        </w:rPr>
        <w:t>完善“防-治-康-管”全链条服务体系，重点癌症早诊率提升至70%以上。</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tcPr>
          <w:p>
            <w:pPr>
              <w:spacing w:after="0" w:line="580" w:lineRule="exact"/>
              <w:ind w:firstLine="0" w:firstLineChars="0"/>
              <w:jc w:val="center"/>
              <w:rPr>
                <w:rFonts w:hint="eastAsia" w:hAnsi="黑体" w:cs="黑体"/>
                <w:b/>
                <w:bCs/>
                <w:sz w:val="28"/>
                <w:szCs w:val="28"/>
              </w:rPr>
            </w:pPr>
            <w:r>
              <w:rPr>
                <w:rFonts w:hint="eastAsia" w:hAnsi="黑体" w:cs="黑体"/>
                <w:b/>
                <w:bCs/>
                <w:sz w:val="28"/>
                <w:szCs w:val="28"/>
              </w:rPr>
              <w:t>专栏13：慢病健康管理能力强化工程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784" w:type="dxa"/>
            <w:vAlign w:val="center"/>
          </w:tcPr>
          <w:p>
            <w:pPr>
              <w:spacing w:after="0"/>
              <w:ind w:firstLine="562"/>
              <w:rPr>
                <w:rFonts w:hint="eastAsia" w:hAnsi="仿宋_GB2312" w:cs="仿宋_GB2312"/>
                <w:sz w:val="28"/>
                <w:szCs w:val="28"/>
              </w:rPr>
            </w:pPr>
            <w:r>
              <w:rPr>
                <w:rFonts w:hint="eastAsia" w:hAnsi="仿宋_GB2312" w:cs="仿宋_GB2312"/>
                <w:b/>
                <w:bCs/>
                <w:sz w:val="28"/>
                <w:szCs w:val="28"/>
              </w:rPr>
              <w:t>智慧化慢病防控体系建设项目：</w:t>
            </w:r>
            <w:r>
              <w:rPr>
                <w:rFonts w:hint="eastAsia" w:hAnsi="仿宋_GB2312" w:cs="仿宋_GB2312"/>
                <w:sz w:val="28"/>
                <w:szCs w:val="28"/>
              </w:rPr>
              <w:t>依托公共卫生大数据平台与“数字家医”APP，搭建慢病管理AI系统及专病数据库，扩大多病共管范围，强化并发症筛查，打通“医院治疗-社区康复-居家管理”服务衔接，实现健康数据的自动监测、风险预警与疾病智能评估，推动管理模式从“人工随访”向“精准干预”转型，实现辖区</w:t>
            </w:r>
            <w:r>
              <w:rPr>
                <w:rFonts w:hint="eastAsia" w:hAnsi="仿宋_GB2312" w:cs="仿宋_GB2312"/>
                <w:sz w:val="28"/>
                <w:szCs w:val="28"/>
                <w:lang w:eastAsia="zh"/>
              </w:rPr>
              <w:t>高血压、糖尿病</w:t>
            </w:r>
            <w:r>
              <w:rPr>
                <w:rFonts w:hint="eastAsia" w:hAnsi="仿宋_GB2312" w:cs="仿宋_GB2312"/>
                <w:sz w:val="28"/>
                <w:szCs w:val="28"/>
              </w:rPr>
              <w:t>患者规范管理率超7</w:t>
            </w:r>
            <w:r>
              <w:rPr>
                <w:rFonts w:hint="eastAsia" w:hAnsi="仿宋_GB2312" w:cs="仿宋_GB2312"/>
                <w:sz w:val="28"/>
                <w:szCs w:val="28"/>
                <w:lang w:eastAsia="zh"/>
              </w:rPr>
              <w:t>5</w:t>
            </w:r>
            <w:r>
              <w:rPr>
                <w:rFonts w:hint="eastAsia" w:hAnsi="仿宋_GB2312" w:cs="仿宋_GB2312"/>
                <w:sz w:val="28"/>
                <w:szCs w:val="28"/>
              </w:rPr>
              <w:t>%，重大慢性病过早死亡率低于8%。</w:t>
            </w:r>
            <w:r>
              <w:rPr>
                <w:rFonts w:hAnsi="宋体" w:cs="仿宋_GB2312"/>
                <w:kern w:val="0"/>
                <w:sz w:val="28"/>
                <w:szCs w:val="28"/>
              </w:rPr>
              <w:t>完善心脑血管、糖尿病、肿瘤、慢性呼吸系统疾病“四大”重大慢性病综合监测，开展重大慢性病共病风险筛查</w:t>
            </w:r>
            <w:r>
              <w:rPr>
                <w:rFonts w:hint="eastAsia" w:hAnsi="仿宋_GB2312" w:cs="仿宋_GB2312"/>
                <w:sz w:val="28"/>
                <w:szCs w:val="28"/>
              </w:rPr>
              <w:t>。</w:t>
            </w:r>
          </w:p>
          <w:p>
            <w:pPr>
              <w:spacing w:after="0"/>
              <w:ind w:firstLine="562"/>
              <w:rPr>
                <w:rFonts w:hint="eastAsia" w:hAnsi="仿宋_GB2312" w:cs="仿宋_GB2312"/>
                <w:sz w:val="28"/>
                <w:szCs w:val="28"/>
              </w:rPr>
            </w:pPr>
            <w:r>
              <w:rPr>
                <w:rFonts w:hint="eastAsia" w:hAnsi="仿宋_GB2312" w:cs="仿宋_GB2312"/>
                <w:b/>
                <w:sz w:val="28"/>
                <w:szCs w:val="28"/>
                <w:lang w:bidi="ar"/>
              </w:rPr>
              <w:t>慢性病全专融合路径化管理项目：</w:t>
            </w:r>
            <w:r>
              <w:rPr>
                <w:rFonts w:hint="eastAsia" w:hAnsi="仿宋_GB2312" w:cs="仿宋_GB2312"/>
                <w:bCs/>
                <w:sz w:val="28"/>
                <w:szCs w:val="28"/>
                <w:lang w:bidi="ar"/>
              </w:rPr>
              <w:t>充分发挥全区医疗卫生信息化建设优势，强化与南方科技大学的慢性病全专融合路径化管理项目合作，强化全</w:t>
            </w:r>
            <w:r>
              <w:rPr>
                <w:rFonts w:hAnsi="仿宋_GB2312" w:cs="仿宋_GB2312"/>
                <w:bCs/>
                <w:sz w:val="28"/>
                <w:szCs w:val="28"/>
                <w:lang w:bidi="ar"/>
              </w:rPr>
              <w:t>-</w:t>
            </w:r>
            <w:r>
              <w:rPr>
                <w:rFonts w:hint="eastAsia" w:hAnsi="仿宋_GB2312" w:cs="仿宋_GB2312"/>
                <w:bCs/>
                <w:sz w:val="28"/>
                <w:szCs w:val="28"/>
                <w:lang w:bidi="ar"/>
              </w:rPr>
              <w:t>专协同工作平台建设，为慢性病患者提供连续性、高质量的健康管理服务，提升基层健康管理水平。</w:t>
            </w:r>
          </w:p>
        </w:tc>
      </w:tr>
      <w:bookmarkEnd w:id="67"/>
    </w:tbl>
    <w:p>
      <w:pPr>
        <w:pStyle w:val="5"/>
        <w:keepNext w:val="0"/>
        <w:keepLines w:val="0"/>
        <w:spacing w:after="0"/>
        <w:ind w:firstLine="640"/>
        <w:jc w:val="left"/>
      </w:pPr>
      <w:bookmarkStart w:id="72" w:name="_Toc217379416"/>
      <w:bookmarkStart w:id="73" w:name="_Toc230463247"/>
      <w:r>
        <w:rPr>
          <w:rFonts w:hint="eastAsia"/>
        </w:rPr>
        <w:t>（六）做实创优，系统提升妇幼健康与生育支持服务</w:t>
      </w:r>
      <w:bookmarkEnd w:id="72"/>
      <w:bookmarkEnd w:id="73"/>
    </w:p>
    <w:p>
      <w:pPr>
        <w:pStyle w:val="88"/>
        <w:ind w:firstLine="643"/>
        <w:rPr>
          <w:szCs w:val="32"/>
        </w:rPr>
      </w:pPr>
      <w:bookmarkStart w:id="74" w:name="OLE_LINK14"/>
      <w:r>
        <w:rPr>
          <w:rFonts w:hint="eastAsia"/>
          <w:b/>
          <w:bCs/>
        </w:rPr>
        <w:t>25.强化生育支持政策落实。</w:t>
      </w:r>
      <w:r>
        <w:rPr>
          <w:rFonts w:hint="eastAsia"/>
        </w:rPr>
        <w:t>落实育儿补贴制度和管理规范，切实减轻婴幼儿家庭养育负担。落实计划生育特殊家庭帮扶保障及独生子女父母奖励扶助政策。</w:t>
      </w:r>
      <w:r>
        <w:t>全域推进建设生育友好</w:t>
      </w:r>
      <w:r>
        <w:rPr>
          <w:rFonts w:hint="eastAsia"/>
        </w:rPr>
        <w:t>城区</w:t>
      </w:r>
      <w:r>
        <w:t>，</w:t>
      </w:r>
      <w:r>
        <w:rPr>
          <w:rFonts w:hint="eastAsia"/>
        </w:rPr>
        <w:t>推动公立医院在生育服务流程优化、生育健康教育推广、生育适宜技术推广应用等方面创新引领，全面加强对助产医疗机构的能力建设和政策支持，到2030年，推动生育友好医院在助产医疗机构中的比例达到90%。</w:t>
      </w:r>
    </w:p>
    <w:p>
      <w:pPr>
        <w:pStyle w:val="88"/>
        <w:ind w:firstLine="643"/>
      </w:pPr>
      <w:r>
        <w:rPr>
          <w:rFonts w:hint="eastAsia"/>
          <w:b/>
          <w:bCs/>
        </w:rPr>
        <w:t>26.健全妇幼全周期健康管理体系。</w:t>
      </w:r>
      <w:r>
        <w:rPr>
          <w:rFonts w:hint="eastAsia"/>
        </w:rPr>
        <w:t>加强妇幼保健机构、综合医院产科与儿科服务能力建设，支持开展中医药妇幼健康服务，积极</w:t>
      </w:r>
      <w:r>
        <w:t>建设生育友好医院、儿童友好医院</w:t>
      </w:r>
      <w:r>
        <w:rPr>
          <w:rFonts w:hint="eastAsia"/>
        </w:rPr>
        <w:t>。</w:t>
      </w:r>
      <w:r>
        <w:t>围绕</w:t>
      </w:r>
      <w:r>
        <w:rPr>
          <w:rFonts w:hint="eastAsia"/>
        </w:rPr>
        <w:t>“</w:t>
      </w:r>
      <w:r>
        <w:t>婚、孕、产、育</w:t>
      </w:r>
      <w:r>
        <w:rPr>
          <w:rFonts w:hint="eastAsia"/>
        </w:rPr>
        <w:t>”</w:t>
      </w:r>
      <w:r>
        <w:t>全生命周期，系统整合婚前医学检查、孕前优生健康检查、孕育能力提升、早孕健康关爱、产前检查与筛查诊断、出生缺陷综合防治</w:t>
      </w:r>
      <w:r>
        <w:rPr>
          <w:rFonts w:hint="eastAsia"/>
        </w:rPr>
        <w:t>、</w:t>
      </w:r>
      <w:r>
        <w:t>新生儿及儿童疾病筛查等服务，实现服务链条无缝衔接。</w:t>
      </w:r>
      <w:r>
        <w:rPr>
          <w:rFonts w:hint="eastAsia"/>
          <w:szCs w:val="32"/>
        </w:rPr>
        <w:t>严格落实母婴安全五项制度，</w:t>
      </w:r>
      <w:r>
        <w:t>强化危急重症救治能力</w:t>
      </w:r>
      <w:r>
        <w:rPr>
          <w:rFonts w:hint="eastAsia"/>
        </w:rPr>
        <w:t>，</w:t>
      </w:r>
      <w:r>
        <w:rPr>
          <w:szCs w:val="32"/>
        </w:rPr>
        <w:t>提升区级危重孕产妇和新生儿救治中心的多学科协同联动诊疗（MDT）水平</w:t>
      </w:r>
      <w:r>
        <w:rPr>
          <w:rFonts w:hint="eastAsia"/>
        </w:rPr>
        <w:t>。</w:t>
      </w:r>
      <w:r>
        <w:t>保障妇女基本医疗卫生服务，全面推进分娩镇痛工作</w:t>
      </w:r>
      <w:r>
        <w:rPr>
          <w:rFonts w:hint="eastAsia"/>
        </w:rPr>
        <w:t>，</w:t>
      </w:r>
      <w:r>
        <w:t>开展妇女常见病、多发病的预防、筛查和诊疗</w:t>
      </w:r>
      <w:r>
        <w:rPr>
          <w:rFonts w:hint="eastAsia"/>
        </w:rPr>
        <w:t>，</w:t>
      </w:r>
      <w:r>
        <w:t>拓展心理健康、营养改善及盆底康复等特色服务。</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tcPr>
          <w:p>
            <w:pPr>
              <w:spacing w:after="0" w:line="580" w:lineRule="exact"/>
              <w:ind w:firstLine="0" w:firstLineChars="0"/>
              <w:jc w:val="center"/>
              <w:rPr>
                <w:rFonts w:hint="eastAsia" w:hAnsi="黑体" w:cs="黑体"/>
                <w:b/>
                <w:bCs/>
                <w:sz w:val="28"/>
                <w:szCs w:val="28"/>
              </w:rPr>
            </w:pPr>
            <w:r>
              <w:rPr>
                <w:rFonts w:hint="eastAsia" w:hAnsi="黑体" w:cs="黑体"/>
                <w:b/>
                <w:bCs/>
                <w:sz w:val="28"/>
                <w:szCs w:val="28"/>
              </w:rPr>
              <w:t>专栏14：妇幼全生命周期体系跃升工程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784" w:type="dxa"/>
            <w:vAlign w:val="center"/>
          </w:tcPr>
          <w:p>
            <w:pPr>
              <w:spacing w:after="0"/>
              <w:ind w:firstLine="562"/>
              <w:rPr>
                <w:rFonts w:hint="eastAsia" w:hAnsi="仿宋_GB2312" w:cs="仿宋_GB2312"/>
                <w:bCs/>
                <w:sz w:val="28"/>
                <w:szCs w:val="28"/>
                <w:lang w:bidi="ar"/>
              </w:rPr>
            </w:pPr>
            <w:r>
              <w:rPr>
                <w:rFonts w:hint="eastAsia" w:hAnsi="仿宋_GB2312" w:cs="仿宋_GB2312"/>
                <w:b/>
                <w:sz w:val="28"/>
                <w:szCs w:val="28"/>
                <w:lang w:bidi="ar"/>
              </w:rPr>
              <w:t>人类辅助生殖技术资质提升项目：</w:t>
            </w:r>
            <w:r>
              <w:t>强化育龄人群生育力保护与支持，</w:t>
            </w:r>
            <w:r>
              <w:rPr>
                <w:rFonts w:hint="eastAsia" w:hAnsi="仿宋_GB2312" w:cs="仿宋_GB2312"/>
                <w:bCs/>
                <w:sz w:val="28"/>
                <w:szCs w:val="28"/>
                <w:lang w:bidi="ar"/>
              </w:rPr>
              <w:t>深化妇幼健康供给侧结构性改革，以三级甲等妇幼保健院创建为抓手，全面提升区妇幼保健院在产科、儿科、儿童康复等核心专科的服务能力，力争在“十五五”期间取得国家</w:t>
            </w:r>
            <w:r>
              <w:rPr>
                <w:rFonts w:hAnsi="仿宋_GB2312" w:cs="仿宋_GB2312"/>
                <w:bCs/>
                <w:sz w:val="28"/>
                <w:szCs w:val="28"/>
                <w:lang w:bidi="ar"/>
              </w:rPr>
              <w:t>夫精人工授精（AIH）、体外受精-胚胎移植（IVF-ET）</w:t>
            </w:r>
            <w:r>
              <w:rPr>
                <w:rFonts w:hint="eastAsia" w:hAnsi="仿宋_GB2312" w:cs="仿宋_GB2312"/>
                <w:bCs/>
                <w:sz w:val="28"/>
                <w:szCs w:val="28"/>
                <w:lang w:bidi="ar"/>
              </w:rPr>
              <w:t>辅助生殖资质，填补区域生殖健康服务空白。</w:t>
            </w:r>
          </w:p>
          <w:p>
            <w:pPr>
              <w:spacing w:after="0"/>
              <w:ind w:firstLine="562"/>
              <w:rPr>
                <w:rFonts w:hint="eastAsia" w:hAnsi="仿宋_GB2312" w:cs="仿宋_GB2312"/>
                <w:bCs/>
                <w:sz w:val="28"/>
                <w:szCs w:val="28"/>
                <w:lang w:bidi="ar"/>
              </w:rPr>
            </w:pPr>
            <w:r>
              <w:rPr>
                <w:rFonts w:hint="eastAsia" w:hAnsi="仿宋_GB2312" w:cs="仿宋_GB2312"/>
                <w:b/>
                <w:sz w:val="28"/>
                <w:szCs w:val="28"/>
                <w:lang w:bidi="ar"/>
              </w:rPr>
              <w:t>全生命周期智慧妇幼平台建设项目：</w:t>
            </w:r>
            <w:r>
              <w:rPr>
                <w:rFonts w:hint="eastAsia" w:hAnsi="仿宋_GB2312" w:cs="仿宋_GB2312"/>
                <w:bCs/>
                <w:sz w:val="28"/>
                <w:szCs w:val="28"/>
                <w:lang w:bidi="ar"/>
              </w:rPr>
              <w:t>持续推进全生命周期妇幼健康管理信息化建设，重点升级改造婚前医学检查、孕前优生健康检查、“两癌”筛查、孕产保健及儿童保健等核心功能模块，</w:t>
            </w:r>
            <w:r>
              <w:rPr>
                <w:rFonts w:hAnsi="仿宋_GB2312" w:cs="仿宋_GB2312"/>
                <w:bCs/>
                <w:sz w:val="28"/>
                <w:szCs w:val="28"/>
                <w:lang w:bidi="ar"/>
              </w:rPr>
              <w:t>开展体重管理、营养咨询、运动指导等健康促进项目</w:t>
            </w:r>
            <w:r>
              <w:rPr>
                <w:rFonts w:hint="eastAsia" w:hAnsi="仿宋_GB2312" w:cs="仿宋_GB2312"/>
                <w:bCs/>
                <w:sz w:val="28"/>
                <w:szCs w:val="28"/>
                <w:lang w:bidi="ar"/>
              </w:rPr>
              <w:t>，构建覆盖全量数据的妇幼健康全流程质控体系，实现动态监测与智能预警，打造高效便捷的智慧妇幼健康管理服务体系。</w:t>
            </w:r>
          </w:p>
          <w:p>
            <w:pPr>
              <w:spacing w:after="0"/>
              <w:ind w:firstLine="562"/>
              <w:rPr>
                <w:rFonts w:hint="eastAsia" w:hAnsi="仿宋_GB2312" w:cs="仿宋_GB2312"/>
                <w:b/>
                <w:sz w:val="28"/>
                <w:szCs w:val="28"/>
                <w:lang w:bidi="ar"/>
              </w:rPr>
            </w:pPr>
            <w:r>
              <w:rPr>
                <w:rFonts w:hint="eastAsia" w:hAnsi="仿宋_GB2312" w:cs="仿宋_GB2312"/>
                <w:b/>
                <w:sz w:val="28"/>
                <w:szCs w:val="28"/>
                <w:lang w:bidi="ar"/>
              </w:rPr>
              <w:t>生育友好医院建设项目：</w:t>
            </w:r>
            <w:r>
              <w:rPr>
                <w:rFonts w:hint="eastAsia" w:hAnsi="仿宋_GB2312" w:cs="仿宋_GB2312"/>
                <w:bCs/>
                <w:sz w:val="28"/>
                <w:szCs w:val="28"/>
                <w:lang w:bidi="ar"/>
              </w:rPr>
              <w:t>发挥区妇幼保健院、区属综合医院的带头作用，积极引导辖区助产医疗机构开展生育友好医院建设，到2030年，力争生育友好医院在助产医疗机构中的比例达到90%。加力推广早孕关爱行动，持续优化生育医疗保健服务，不断提升群众服务体验。</w:t>
            </w:r>
          </w:p>
          <w:p>
            <w:pPr>
              <w:spacing w:after="0"/>
              <w:ind w:firstLine="562"/>
              <w:rPr>
                <w:rFonts w:hint="eastAsia" w:hAnsi="仿宋_GB2312" w:cs="仿宋_GB2312"/>
                <w:bCs/>
                <w:sz w:val="28"/>
                <w:szCs w:val="28"/>
                <w:lang w:bidi="ar"/>
              </w:rPr>
            </w:pPr>
            <w:r>
              <w:rPr>
                <w:rFonts w:hint="eastAsia" w:hAnsi="仿宋_GB2312" w:cs="仿宋_GB2312"/>
                <w:b/>
                <w:sz w:val="28"/>
                <w:szCs w:val="28"/>
                <w:lang w:bidi="ar"/>
              </w:rPr>
              <w:t>儿童友好医院建设项目：</w:t>
            </w:r>
            <w:r>
              <w:rPr>
                <w:rFonts w:hint="eastAsia" w:hAnsi="仿宋_GB2312" w:cs="仿宋_GB2312"/>
                <w:bCs/>
                <w:sz w:val="28"/>
                <w:szCs w:val="28"/>
                <w:lang w:bidi="ar"/>
              </w:rPr>
              <w:t>发挥区妇幼保健院、区属综合医院的带头作用，引导辖区提供儿童医疗保健服务的医疗机构积极开展儿童友好医院建设，到2030年，力争儿童友好医院在上述医疗机构中的比例达到90%以上。建成一批儿童友好社区健康服务机构。加强新生儿科、儿科、小儿外科以及儿童营养、眼保健、心理保健、口腔保健等专科建设与人才培养，健全完善儿童医疗保健服务体系，推动优质儿童医疗保健资源下沉。</w:t>
            </w:r>
          </w:p>
        </w:tc>
      </w:tr>
    </w:tbl>
    <w:p>
      <w:pPr>
        <w:pStyle w:val="88"/>
        <w:numPr>
          <w:ilvl w:val="255"/>
          <w:numId w:val="0"/>
        </w:numPr>
        <w:ind w:firstLine="640"/>
      </w:pPr>
      <w:bookmarkStart w:id="75" w:name="OLE_LINK41"/>
      <w:r>
        <w:rPr>
          <w:rFonts w:hint="eastAsia"/>
          <w:b/>
          <w:bCs/>
        </w:rPr>
        <w:t>27.完善普惠托育服务体系。</w:t>
      </w:r>
      <w:r>
        <w:rPr>
          <w:rFonts w:hint="eastAsia"/>
        </w:rPr>
        <w:t>统筹规划托育服务布局，盘活存量、做优增量，协调利用街道、社区公共服务资源建设托育服务设施，大力发展社区嵌入式托育和托幼一体化服务，持续扩大普惠托育供给，着力打造15分钟托育服务圈。充分发挥区级托育综合服务中心在服务引领、质量管理、培训指导等方面的作用，支持用人单位、医疗机构兴办托育，引导社会资本发展高端托育及2岁以下婴幼儿托育服务，加快构建涵盖公办托育机构、托幼一体化幼儿园、社区托育点等主体的多元服务体系，实现多元化供给。深化“医育结合”，支持社康中心推出婴幼儿健康管理签约服务包，实现与托育机构100%对口签约，构建“医疗+托育+家庭”三方联动体系。加强托育机构管理和人才队伍建设，开展托育服务质量提升行动，不断提高托育服务专业化、规范化水平。健全跨部门综合监管机制，坚决守牢托育服务安全底线。到2030年，力争普惠托位数占比达到45%，3岁以下婴幼儿入托率提高6.5个百分点。</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tcPr>
          <w:p>
            <w:pPr>
              <w:spacing w:after="0" w:line="580" w:lineRule="exact"/>
              <w:ind w:firstLine="0" w:firstLineChars="0"/>
              <w:jc w:val="center"/>
              <w:rPr>
                <w:rFonts w:hint="eastAsia" w:hAnsi="黑体" w:cs="黑体"/>
                <w:b/>
                <w:bCs/>
                <w:sz w:val="28"/>
                <w:szCs w:val="28"/>
              </w:rPr>
            </w:pPr>
            <w:r>
              <w:rPr>
                <w:rFonts w:hint="eastAsia" w:hAnsi="黑体" w:cs="黑体"/>
                <w:b/>
                <w:bCs/>
                <w:sz w:val="28"/>
                <w:szCs w:val="28"/>
              </w:rPr>
              <w:t>专栏15：托育服务质量提升工程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784" w:type="dxa"/>
            <w:vAlign w:val="center"/>
          </w:tcPr>
          <w:p>
            <w:pPr>
              <w:spacing w:after="0"/>
              <w:ind w:firstLine="562"/>
              <w:rPr>
                <w:rFonts w:hint="eastAsia" w:hAnsi="仿宋_GB2312" w:cs="仿宋_GB2312"/>
                <w:bCs/>
                <w:sz w:val="28"/>
                <w:szCs w:val="28"/>
                <w:lang w:bidi="ar"/>
              </w:rPr>
            </w:pPr>
            <w:r>
              <w:rPr>
                <w:rFonts w:hAnsi="仿宋_GB2312" w:cs="仿宋_GB2312"/>
                <w:b/>
                <w:bCs/>
                <w:sz w:val="28"/>
                <w:szCs w:val="28"/>
                <w:lang w:bidi="ar"/>
              </w:rPr>
              <w:t>婴幼儿照护服务指导中心能力建设项目：</w:t>
            </w:r>
            <w:r>
              <w:rPr>
                <w:rFonts w:hAnsi="仿宋_GB2312" w:cs="仿宋_GB2312"/>
                <w:bCs/>
                <w:sz w:val="28"/>
                <w:szCs w:val="28"/>
                <w:lang w:bidi="ar"/>
              </w:rPr>
              <w:t>聚焦区妇幼保健院作为区级婴幼儿照护服务指导中心的职能定位，强化中心人员编制保障及财政专项经费支持。充分发挥其在行业内的技术引领作用，建立健全全区托育机构技术指导、质量评估与从业人员培训体系，全面提升区域托育服务专业化水平。</w:t>
            </w:r>
          </w:p>
          <w:p>
            <w:pPr>
              <w:spacing w:after="0"/>
              <w:ind w:firstLine="562"/>
              <w:rPr>
                <w:rFonts w:hint="eastAsia" w:hAnsi="仿宋_GB2312" w:cs="仿宋_GB2312"/>
                <w:bCs/>
                <w:sz w:val="28"/>
                <w:szCs w:val="28"/>
                <w:lang w:bidi="ar"/>
              </w:rPr>
            </w:pPr>
            <w:r>
              <w:rPr>
                <w:rFonts w:hAnsi="仿宋_GB2312" w:cs="仿宋_GB2312"/>
                <w:b/>
                <w:bCs/>
                <w:sz w:val="28"/>
                <w:szCs w:val="28"/>
                <w:lang w:bidi="ar"/>
              </w:rPr>
              <w:t>街道普惠托育服务网络建设</w:t>
            </w:r>
            <w:r>
              <w:rPr>
                <w:rFonts w:hint="eastAsia" w:hAnsi="仿宋_GB2312" w:cs="仿宋_GB2312"/>
                <w:b/>
                <w:bCs/>
                <w:sz w:val="28"/>
                <w:szCs w:val="28"/>
                <w:lang w:bidi="ar"/>
              </w:rPr>
              <w:t>项目</w:t>
            </w:r>
            <w:r>
              <w:rPr>
                <w:rFonts w:hAnsi="仿宋_GB2312" w:cs="仿宋_GB2312"/>
                <w:b/>
                <w:bCs/>
                <w:sz w:val="28"/>
                <w:szCs w:val="28"/>
                <w:lang w:bidi="ar"/>
              </w:rPr>
              <w:t>：</w:t>
            </w:r>
            <w:r>
              <w:rPr>
                <w:rFonts w:hAnsi="仿宋_GB2312" w:cs="仿宋_GB2312"/>
                <w:bCs/>
                <w:sz w:val="28"/>
                <w:szCs w:val="28"/>
                <w:lang w:bidi="ar"/>
              </w:rPr>
              <w:t>严格落实各街道履职事项清单，压实街道在3岁以下婴幼儿照护服务中的属地责任。明确各街道普惠托育服务建设任务，通过盘活社区闲置资源、公建民营等方式，推动各街道建立公办托育服务机构和社区托育点</w:t>
            </w:r>
            <w:r>
              <w:rPr>
                <w:rFonts w:hint="eastAsia" w:hAnsi="仿宋_GB2312" w:cs="仿宋_GB2312"/>
                <w:bCs/>
                <w:sz w:val="28"/>
                <w:szCs w:val="28"/>
                <w:lang w:bidi="ar"/>
              </w:rPr>
              <w:t>，</w:t>
            </w:r>
            <w:r>
              <w:rPr>
                <w:rFonts w:hAnsi="仿宋_GB2312" w:cs="仿宋_GB2312"/>
                <w:bCs/>
                <w:sz w:val="28"/>
                <w:szCs w:val="28"/>
                <w:lang w:bidi="ar"/>
              </w:rPr>
              <w:t>稳步提升婴幼儿入托率。</w:t>
            </w:r>
          </w:p>
          <w:p>
            <w:pPr>
              <w:spacing w:after="0"/>
              <w:ind w:firstLine="562"/>
              <w:rPr>
                <w:rFonts w:hint="eastAsia" w:hAnsi="仿宋_GB2312" w:cs="仿宋_GB2312"/>
                <w:bCs/>
                <w:sz w:val="28"/>
                <w:szCs w:val="28"/>
                <w:lang w:bidi="ar"/>
              </w:rPr>
            </w:pPr>
            <w:r>
              <w:rPr>
                <w:rFonts w:hAnsi="仿宋_GB2312" w:cs="仿宋_GB2312"/>
                <w:b/>
                <w:bCs/>
                <w:sz w:val="28"/>
                <w:szCs w:val="28"/>
                <w:lang w:bidi="ar"/>
              </w:rPr>
              <w:t>托育服务内涵质量提升行动：</w:t>
            </w:r>
            <w:r>
              <w:rPr>
                <w:rFonts w:hAnsi="仿宋_GB2312" w:cs="仿宋_GB2312"/>
                <w:bCs/>
                <w:sz w:val="28"/>
                <w:szCs w:val="28"/>
                <w:lang w:bidi="ar"/>
              </w:rPr>
              <w:t>深入实施托育服务质量提升行动，重点在卫生保健规范、科学照护服务、医育协同机制、综合监督管理、社区支持体系及专业人才队伍建设等关键环节发力。建立跨部门综合监管机制，推广“医育结合”新模式，推动托育机构从“有”向“优”转变，保障婴幼儿健康安全。</w:t>
            </w:r>
          </w:p>
          <w:p>
            <w:pPr>
              <w:spacing w:after="0"/>
              <w:ind w:firstLine="562"/>
              <w:rPr>
                <w:rFonts w:hint="eastAsia" w:hAnsi="仿宋_GB2312" w:cs="仿宋_GB2312"/>
                <w:bCs/>
                <w:sz w:val="28"/>
                <w:szCs w:val="28"/>
                <w:lang w:bidi="ar"/>
              </w:rPr>
            </w:pPr>
            <w:r>
              <w:rPr>
                <w:rFonts w:hAnsi="仿宋_GB2312" w:cs="仿宋_GB2312"/>
                <w:b/>
                <w:bCs/>
                <w:sz w:val="28"/>
                <w:szCs w:val="28"/>
                <w:lang w:bidi="ar"/>
              </w:rPr>
              <w:t>“区—街道—社区”科学育儿指导网络项目：</w:t>
            </w:r>
            <w:r>
              <w:rPr>
                <w:rFonts w:hAnsi="仿宋_GB2312" w:cs="仿宋_GB2312"/>
                <w:bCs/>
                <w:sz w:val="28"/>
                <w:szCs w:val="28"/>
                <w:lang w:bidi="ar"/>
              </w:rPr>
              <w:t>依托社区党群服务中心、社康中心等阵地，推动街道与社区常态化组织开展公益性科学育儿指导活动。通过亲子课堂、入户指导、线上科普等多种形式，向家庭传播科学育儿理念与知识，切实提高家庭科学育儿能力，营造良好的家庭养育环境。</w:t>
            </w:r>
          </w:p>
        </w:tc>
      </w:tr>
    </w:tbl>
    <w:p>
      <w:pPr>
        <w:pStyle w:val="88"/>
        <w:ind w:firstLine="640" w:firstLineChars="0"/>
        <w:rPr>
          <w:rFonts w:hint="eastAsia" w:hAnsi="仿宋_GB2312" w:cs="仿宋_GB2312"/>
          <w:szCs w:val="32"/>
        </w:rPr>
      </w:pPr>
      <w:r>
        <w:rPr>
          <w:rFonts w:hint="eastAsia"/>
          <w:b/>
          <w:bCs/>
        </w:rPr>
        <w:t>28</w:t>
      </w:r>
      <w:r>
        <w:rPr>
          <w:b/>
          <w:bCs/>
        </w:rPr>
        <w:t>.</w:t>
      </w:r>
      <w:r>
        <w:rPr>
          <w:rFonts w:hint="eastAsia"/>
          <w:b/>
          <w:bCs/>
        </w:rPr>
        <w:t>营造生育友好社会氛围。</w:t>
      </w:r>
      <w:r>
        <w:rPr>
          <w:rFonts w:hint="eastAsia"/>
        </w:rPr>
        <w:t>充分利用各类媒体平台，广泛开展人口生育政策及配套支持措施的宣传解读，不断提升育龄人群政策知晓率。依托社康中心及社区党群服务中心等阵地，</w:t>
      </w:r>
      <w:bookmarkStart w:id="76" w:name="OLE_LINK73"/>
      <w:r>
        <w:rPr>
          <w:rFonts w:hint="eastAsia"/>
        </w:rPr>
        <w:t>积极推进生殖健康、优生优育服务资源</w:t>
      </w:r>
      <w:bookmarkEnd w:id="76"/>
      <w:r>
        <w:rPr>
          <w:rFonts w:hint="eastAsia"/>
        </w:rPr>
        <w:t>下沉社区、贴近家庭。普及婚孕健康、科学育儿、生殖健康知识，提升家庭健康育儿与自我保健能力，营造适龄婚育、优生优育的良好社会氛围</w:t>
      </w:r>
      <w:r>
        <w:rPr>
          <w:rFonts w:hint="eastAsia"/>
          <w:szCs w:val="32"/>
        </w:rPr>
        <w:t>。</w:t>
      </w:r>
    </w:p>
    <w:bookmarkEnd w:id="75"/>
    <w:p>
      <w:pPr>
        <w:pStyle w:val="5"/>
        <w:keepNext w:val="0"/>
        <w:keepLines w:val="0"/>
        <w:spacing w:after="0"/>
        <w:ind w:firstLine="640"/>
        <w:rPr>
          <w:rFonts w:hint="eastAsia" w:hAnsi="楷体_GB2312" w:cs="楷体_GB2312"/>
          <w:lang w:bidi="ar"/>
        </w:rPr>
      </w:pPr>
      <w:bookmarkStart w:id="77" w:name="_Toc217379417"/>
      <w:bookmarkStart w:id="78" w:name="_Toc230463248"/>
      <w:r>
        <w:rPr>
          <w:rFonts w:hint="eastAsia"/>
        </w:rPr>
        <w:t>（七）数智赋能，</w:t>
      </w:r>
      <w:bookmarkEnd w:id="77"/>
      <w:r>
        <w:rPr>
          <w:rFonts w:hint="eastAsia"/>
        </w:rPr>
        <w:t>构建互联互通的智慧健康服务网络</w:t>
      </w:r>
      <w:bookmarkEnd w:id="78"/>
    </w:p>
    <w:p>
      <w:pPr>
        <w:pStyle w:val="47"/>
        <w:spacing w:after="0"/>
        <w:ind w:firstLine="643"/>
        <w:rPr>
          <w:rFonts w:ascii="仿宋_GB2312" w:hAnsi="Calibri"/>
          <w:b/>
          <w:bCs/>
          <w:szCs w:val="24"/>
        </w:rPr>
      </w:pPr>
      <w:bookmarkStart w:id="79" w:name="OLE_LINK49"/>
      <w:r>
        <w:rPr>
          <w:rFonts w:ascii="仿宋_GB2312" w:hAnsi="Calibri"/>
          <w:b/>
          <w:bCs/>
          <w:szCs w:val="24"/>
        </w:rPr>
        <w:t>2</w:t>
      </w:r>
      <w:r>
        <w:rPr>
          <w:rFonts w:hint="eastAsia" w:ascii="仿宋_GB2312" w:hAnsi="Calibri"/>
          <w:b/>
          <w:bCs/>
          <w:szCs w:val="24"/>
        </w:rPr>
        <w:t>9</w:t>
      </w:r>
      <w:r>
        <w:rPr>
          <w:rFonts w:ascii="仿宋_GB2312" w:hAnsi="Calibri"/>
          <w:b/>
          <w:bCs/>
          <w:szCs w:val="24"/>
        </w:rPr>
        <w:t>.</w:t>
      </w:r>
      <w:r>
        <w:rPr>
          <w:rFonts w:hint="eastAsia" w:ascii="仿宋_GB2312" w:hAnsi="Calibri"/>
          <w:b/>
          <w:bCs/>
          <w:szCs w:val="24"/>
        </w:rPr>
        <w:t>推进智慧医院建设。</w:t>
      </w:r>
      <w:r>
        <w:rPr>
          <w:rFonts w:hint="eastAsia"/>
        </w:rPr>
        <w:t>聚焦医疗健康垂直领域、行业特色应用，打造安全、绿色、智能的卫生健康数据底座，</w:t>
      </w:r>
      <w:r>
        <w:rPr>
          <w:rFonts w:hint="eastAsia" w:ascii="仿宋_GB2312"/>
          <w:szCs w:val="32"/>
        </w:rPr>
        <w:t>支撑公立医院信息平台互联互通，推进区域医疗信息共享协同，实现医疗、公卫等数据的实时交换与深度整合。</w:t>
      </w:r>
      <w:r>
        <w:rPr>
          <w:rFonts w:hint="eastAsia" w:ascii="仿宋_GB2312"/>
        </w:rPr>
        <w:t>增强移动设备医疗数据采集功能，力争实现全区</w:t>
      </w:r>
      <w:r>
        <w:rPr>
          <w:rFonts w:ascii="仿宋_GB2312"/>
        </w:rPr>
        <w:t>3</w:t>
      </w:r>
      <w:r>
        <w:rPr>
          <w:rFonts w:hint="eastAsia" w:ascii="仿宋_GB2312"/>
        </w:rPr>
        <w:t>家三级公立医院电子病历系统应用水平分级评价达到</w:t>
      </w:r>
      <w:r>
        <w:rPr>
          <w:rFonts w:ascii="仿宋_GB2312"/>
        </w:rPr>
        <w:t>5</w:t>
      </w:r>
      <w:r>
        <w:rPr>
          <w:rFonts w:hint="eastAsia" w:ascii="仿宋_GB2312"/>
        </w:rPr>
        <w:t>级，</w:t>
      </w:r>
      <w:r>
        <w:rPr>
          <w:rFonts w:ascii="仿宋_GB2312"/>
        </w:rPr>
        <w:t>1</w:t>
      </w:r>
      <w:r>
        <w:rPr>
          <w:rFonts w:hint="eastAsia" w:ascii="仿宋_GB2312"/>
        </w:rPr>
        <w:t>家达到</w:t>
      </w:r>
      <w:r>
        <w:rPr>
          <w:rFonts w:ascii="仿宋_GB2312"/>
        </w:rPr>
        <w:t>6</w:t>
      </w:r>
      <w:r>
        <w:rPr>
          <w:rFonts w:hint="eastAsia" w:ascii="仿宋_GB2312"/>
        </w:rPr>
        <w:t>级的突破性目标。力争实现全区三级公立医院智慧服务均达到</w:t>
      </w:r>
      <w:r>
        <w:rPr>
          <w:rFonts w:ascii="仿宋_GB2312"/>
        </w:rPr>
        <w:t>3</w:t>
      </w:r>
      <w:r>
        <w:rPr>
          <w:rFonts w:hint="eastAsia" w:ascii="仿宋_GB2312"/>
        </w:rPr>
        <w:t>级水平，并培育</w:t>
      </w:r>
      <w:r>
        <w:rPr>
          <w:rFonts w:ascii="仿宋_GB2312"/>
        </w:rPr>
        <w:t>1</w:t>
      </w:r>
      <w:r>
        <w:rPr>
          <w:rFonts w:hint="eastAsia" w:ascii="仿宋_GB2312"/>
        </w:rPr>
        <w:t>家医院达到</w:t>
      </w:r>
      <w:r>
        <w:rPr>
          <w:rFonts w:ascii="仿宋_GB2312"/>
        </w:rPr>
        <w:t>4</w:t>
      </w:r>
      <w:r>
        <w:rPr>
          <w:rFonts w:hint="eastAsia" w:ascii="仿宋_GB2312"/>
        </w:rPr>
        <w:t>级水平的示范标杆。</w:t>
      </w:r>
    </w:p>
    <w:p>
      <w:pPr>
        <w:pStyle w:val="47"/>
        <w:spacing w:after="0"/>
        <w:ind w:firstLine="643"/>
        <w:rPr>
          <w:rFonts w:ascii="仿宋_GB2312"/>
          <w:szCs w:val="32"/>
        </w:rPr>
      </w:pPr>
      <w:r>
        <w:rPr>
          <w:rFonts w:hint="eastAsia" w:ascii="仿宋_GB2312" w:hAnsi="Calibri"/>
          <w:b/>
          <w:bCs/>
        </w:rPr>
        <w:t>30</w:t>
      </w:r>
      <w:r>
        <w:rPr>
          <w:rFonts w:ascii="仿宋_GB2312" w:hAnsi="Calibri"/>
          <w:b/>
          <w:bCs/>
        </w:rPr>
        <w:t>.</w:t>
      </w:r>
      <w:r>
        <w:rPr>
          <w:rFonts w:hint="eastAsia" w:ascii="仿宋_GB2312" w:hAnsi="Calibri"/>
          <w:b/>
          <w:bCs/>
        </w:rPr>
        <w:t>构建全场景鸿蒙生态</w:t>
      </w:r>
      <w:r>
        <w:rPr>
          <w:rFonts w:hint="eastAsia" w:ascii="仿宋_GB2312"/>
          <w:b/>
          <w:bCs/>
        </w:rPr>
        <w:t>。</w:t>
      </w:r>
      <w:r>
        <w:rPr>
          <w:rFonts w:hint="eastAsia" w:ascii="仿宋_GB2312"/>
        </w:rPr>
        <w:t>支持区属医院及新建医院打造“鸿蒙医院”示范标杆，形成智慧医院建设“龙华方案”，重点落地智慧门诊、智慧病房、智慧物联等应用场景。基于鸿蒙系统汇聚多源异构医疗设备数据，为临床诊疗提供智能决策支持。以</w:t>
      </w:r>
      <w:r>
        <w:rPr>
          <w:rFonts w:ascii="仿宋_GB2312"/>
        </w:rPr>
        <w:t>OpenHarmony</w:t>
      </w:r>
      <w:r>
        <w:rPr>
          <w:rFonts w:hint="eastAsia" w:ascii="仿宋_GB2312"/>
        </w:rPr>
        <w:t>统一数字底座推动多厂家、多型号设备与系统互联互通</w:t>
      </w:r>
      <w:r>
        <w:rPr>
          <w:rFonts w:hint="eastAsia" w:ascii="仿宋_GB2312"/>
          <w:szCs w:val="32"/>
        </w:rPr>
        <w:t>。创新开展“鸿蒙社康”试点，</w:t>
      </w:r>
      <w:r>
        <w:rPr>
          <w:rFonts w:hint="eastAsia" w:ascii="仿宋_GB2312" w:hAnsi="仿宋_GB2312" w:cs="仿宋_GB2312"/>
          <w:szCs w:val="32"/>
        </w:rPr>
        <w:t>依托鸿蒙操作系统分布式核心理念，深度融合AI、物联网等技术，构建覆盖“诊前-诊中-诊后-居家”的全流程智慧健康服务体系。</w:t>
      </w:r>
    </w:p>
    <w:p>
      <w:pPr>
        <w:spacing w:after="0"/>
        <w:ind w:firstLine="643"/>
      </w:pPr>
      <w:r>
        <w:rPr>
          <w:b/>
          <w:bCs/>
          <w:lang w:bidi="zh-CN"/>
        </w:rPr>
        <w:t>3</w:t>
      </w:r>
      <w:r>
        <w:rPr>
          <w:rFonts w:hint="eastAsia"/>
          <w:b/>
          <w:bCs/>
          <w:lang w:bidi="zh-CN"/>
        </w:rPr>
        <w:t>1</w:t>
      </w:r>
      <w:r>
        <w:rPr>
          <w:b/>
          <w:bCs/>
          <w:lang w:bidi="zh-CN"/>
        </w:rPr>
        <w:t>.</w:t>
      </w:r>
      <w:r>
        <w:rPr>
          <w:rFonts w:hint="eastAsia"/>
          <w:b/>
          <w:bCs/>
          <w:lang w:bidi="zh-CN"/>
        </w:rPr>
        <w:t>强化</w:t>
      </w:r>
      <w:r>
        <w:rPr>
          <w:b/>
          <w:bCs/>
          <w:lang w:bidi="zh-CN"/>
        </w:rPr>
        <w:t>AI+</w:t>
      </w:r>
      <w:r>
        <w:rPr>
          <w:rFonts w:hint="eastAsia"/>
          <w:b/>
          <w:bCs/>
          <w:lang w:bidi="zh-CN"/>
        </w:rPr>
        <w:t>创新发展</w:t>
      </w:r>
      <w:r>
        <w:rPr>
          <w:rFonts w:hint="eastAsia"/>
          <w:b/>
          <w:bCs/>
        </w:rPr>
        <w:t>。</w:t>
      </w:r>
      <w:r>
        <w:rPr>
          <w:rFonts w:hint="eastAsia"/>
        </w:rPr>
        <w:t>全面实施“</w:t>
      </w:r>
      <w:r>
        <w:t>1+4+N</w:t>
      </w:r>
      <w:r>
        <w:rPr>
          <w:rFonts w:hint="eastAsia"/>
        </w:rPr>
        <w:t>”（1个国产化医疗大模型+4类核心应用场景+N项拓展应用）卫生健康人工智能平台建设，以国产化医疗大模型为基座，提供基础AI算法与模型，赋能上层应用，完善数字健康生态。构建“AI+健康管理”“AI+医疗服务”“AI+医药服务”及“AI+监管服务”四类核心应用场景，</w:t>
      </w:r>
      <w:r>
        <w:t>推动AI技术垂直化、轻量化部署，</w:t>
      </w:r>
      <w:r>
        <w:rPr>
          <w:rFonts w:hint="eastAsia"/>
        </w:rPr>
        <w:t>推动AI应用</w:t>
      </w:r>
      <w:r>
        <w:t>从通用赋能向领域性、垂直型</w:t>
      </w:r>
      <w:r>
        <w:rPr>
          <w:rFonts w:hint="eastAsia"/>
        </w:rPr>
        <w:t>创新转型。推动高端医疗器械产业高质量发展，</w:t>
      </w:r>
      <w:r>
        <w:t>主动布局脑机接口、具身智能前沿领域，加快脑机接口在神经类疾病诊治、康复干预、智能辅具控制</w:t>
      </w:r>
      <w:r>
        <w:rPr>
          <w:rFonts w:hint="eastAsia"/>
        </w:rPr>
        <w:t>、传染病监测预警、社区智能鉴别诊断</w:t>
      </w:r>
      <w:r>
        <w:t>等方面的临床试验与实践应用。持续拓展医疗机器人应用边界，推动手术、康复、院内物流、护理陪伴等各类具身智能</w:t>
      </w:r>
      <w:r>
        <w:rPr>
          <w:rFonts w:hint="eastAsia"/>
        </w:rPr>
        <w:t>终端</w:t>
      </w:r>
      <w:r>
        <w:t>落地场景化试点。</w:t>
      </w:r>
    </w:p>
    <w:p>
      <w:pPr>
        <w:pStyle w:val="47"/>
        <w:spacing w:after="0"/>
        <w:ind w:firstLine="643"/>
      </w:pPr>
      <w:r>
        <w:rPr>
          <w:rFonts w:ascii="仿宋_GB2312" w:hAnsi="Calibri"/>
          <w:b/>
          <w:bCs/>
          <w:szCs w:val="24"/>
        </w:rPr>
        <w:t>3</w:t>
      </w:r>
      <w:r>
        <w:rPr>
          <w:rFonts w:hint="eastAsia" w:ascii="仿宋_GB2312" w:hAnsi="Calibri"/>
          <w:b/>
          <w:bCs/>
          <w:szCs w:val="24"/>
        </w:rPr>
        <w:t>2.激活数据要素价值。</w:t>
      </w:r>
      <w:r>
        <w:rPr>
          <w:rFonts w:hint="eastAsia"/>
        </w:rPr>
        <w:t>完善数据治理制度，研究制定卫生健康数据分类分级指南，健全数据产权与分类分级制度</w:t>
      </w:r>
      <w:r>
        <w:t>，建立数据确权登记机制，依托深圳数据产权登记平台登记可流通数据，完善公共数据授权运营机制。构建数据要素市场化配置模式，</w:t>
      </w:r>
      <w:r>
        <w:rPr>
          <w:rFonts w:hint="eastAsia"/>
        </w:rPr>
        <w:t>推动</w:t>
      </w:r>
      <w:r>
        <w:t>卫生健康数字资产交易试点，</w:t>
      </w:r>
      <w:r>
        <w:rPr>
          <w:rFonts w:hint="eastAsia"/>
        </w:rPr>
        <w:t>促进“</w:t>
      </w:r>
      <w:r>
        <w:t>数据+产业</w:t>
      </w:r>
      <w:r>
        <w:rPr>
          <w:rFonts w:hint="eastAsia"/>
        </w:rPr>
        <w:t>”</w:t>
      </w:r>
      <w:r>
        <w:t>融合，探索软件专利授权分成与知识产权收益分成机制</w:t>
      </w:r>
      <w:r>
        <w:rPr>
          <w:rFonts w:hint="eastAsia"/>
        </w:rPr>
        <w:t>，</w:t>
      </w:r>
      <w:r>
        <w:rPr>
          <w:rFonts w:hint="eastAsia" w:ascii="仿宋_GB2312" w:hAnsi="仿宋_GB2312" w:cs="仿宋_GB2312"/>
          <w:szCs w:val="32"/>
        </w:rPr>
        <w:t>提升数据利用价值</w:t>
      </w:r>
      <w:r>
        <w:t>。</w:t>
      </w:r>
      <w:r>
        <w:rPr>
          <w:rFonts w:hint="eastAsia"/>
        </w:rPr>
        <w:t>强化区域数据管理，打通数据共享，建立专病数据运营和标注基础设施，构建妇幼、心血管等专科高质量数据集，对标国际规范搭建多模态数据标注基础设施，拓展数据价值转化</w:t>
      </w:r>
      <w:r>
        <w:t>。</w:t>
      </w:r>
    </w:p>
    <w:p>
      <w:pPr>
        <w:ind w:firstLine="640"/>
      </w:pPr>
      <w:r>
        <w:rPr>
          <w:rFonts w:ascii="仿宋_GB2312" w:hAnsi="Calibri"/>
          <w:b/>
          <w:bCs/>
          <w:szCs w:val="24"/>
        </w:rPr>
        <w:t>33.</w:t>
      </w:r>
      <w:r>
        <w:rPr>
          <w:rFonts w:hint="eastAsia" w:ascii="仿宋_GB2312" w:hAnsi="Calibri"/>
          <w:b/>
          <w:bCs/>
          <w:szCs w:val="24"/>
        </w:rPr>
        <w:t>铸牢信息安全防线。</w:t>
      </w:r>
      <w:r>
        <w:rPr>
          <w:rFonts w:hint="eastAsia" w:ascii="仿宋_GB2312" w:hAnsi="Calibri"/>
          <w:szCs w:val="24"/>
        </w:rPr>
        <w:t>建立健全数据备份与灾难恢复机制，确保关键数据安全。组建专业的信息安全应急队伍，制定网络安全事件应急预案，并定期组织演练。完善监测预警与沟通机制，落实应急资源与资金保障。建立与网信、公安等部门的协同联动机制，快速应对重大安全事件。完善核心业务系统权限控制体系，保障医疗数据安全和患者隐私。升级病历质控系统，提高医疗文书质量和规范性。优化电子认证与签名系统，提升医疗流程的便捷性和合法性。稳步推进信创工作。</w:t>
      </w:r>
    </w:p>
    <w:bookmarkEnd w:id="79"/>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pPr>
              <w:spacing w:after="0" w:line="580" w:lineRule="exact"/>
              <w:ind w:firstLine="0" w:firstLineChars="0"/>
              <w:jc w:val="center"/>
              <w:rPr>
                <w:rFonts w:hint="eastAsia" w:hAnsi="黑体" w:cs="黑体"/>
                <w:b/>
                <w:bCs/>
                <w:sz w:val="28"/>
                <w:szCs w:val="28"/>
              </w:rPr>
            </w:pPr>
            <w:r>
              <w:rPr>
                <w:rFonts w:hint="eastAsia" w:hAnsi="黑体" w:cs="黑体"/>
                <w:b/>
                <w:bCs/>
                <w:sz w:val="28"/>
                <w:szCs w:val="28"/>
              </w:rPr>
              <w:t>专栏16：数智赋能信息化建设工程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784" w:type="dxa"/>
          </w:tcPr>
          <w:p>
            <w:pPr>
              <w:pStyle w:val="47"/>
              <w:spacing w:after="0"/>
              <w:ind w:firstLine="562"/>
              <w:jc w:val="left"/>
              <w:rPr>
                <w:rFonts w:hAnsi="Times New Roman"/>
                <w:sz w:val="28"/>
                <w:szCs w:val="28"/>
              </w:rPr>
            </w:pPr>
            <w:r>
              <w:rPr>
                <w:rFonts w:hint="eastAsia" w:hAnsi="Times New Roman"/>
                <w:b/>
                <w:bCs/>
                <w:sz w:val="28"/>
                <w:szCs w:val="28"/>
              </w:rPr>
              <w:t>卫生健康数据底座平台项目：</w:t>
            </w:r>
            <w:r>
              <w:rPr>
                <w:rFonts w:hint="eastAsia" w:hAnsi="Times New Roman"/>
                <w:sz w:val="28"/>
                <w:szCs w:val="28"/>
              </w:rPr>
              <w:t>融合区域全民健康信息平台、区域临床数据中心CDR、医疗健康信息链（区块链平台）、物联网数据平台，打造统一可信共享的卫生健康数据底座平台。</w:t>
            </w:r>
          </w:p>
          <w:p>
            <w:pPr>
              <w:pStyle w:val="47"/>
              <w:spacing w:after="0"/>
              <w:ind w:firstLine="562"/>
              <w:jc w:val="left"/>
              <w:rPr>
                <w:rFonts w:hint="eastAsia" w:hAnsi="仿宋_GB2312" w:cs="仿宋_GB2312"/>
                <w:bCs/>
                <w:sz w:val="28"/>
                <w:szCs w:val="28"/>
                <w:lang w:bidi="ar"/>
              </w:rPr>
            </w:pPr>
            <w:r>
              <w:rPr>
                <w:rFonts w:hint="eastAsia" w:hAnsi="仿宋_GB2312" w:cs="仿宋_GB2312"/>
                <w:b/>
                <w:sz w:val="28"/>
                <w:szCs w:val="28"/>
                <w:lang w:bidi="ar"/>
              </w:rPr>
              <w:t>区域医疗双活数据中心项目：</w:t>
            </w:r>
            <w:r>
              <w:rPr>
                <w:rFonts w:hint="eastAsia" w:hAnsi="仿宋_GB2312" w:cs="仿宋_GB2312"/>
                <w:bCs/>
                <w:sz w:val="28"/>
                <w:szCs w:val="28"/>
                <w:lang w:bidi="ar"/>
              </w:rPr>
              <w:t>推进构建高标准区域医疗双活数据中心硬件基础环境，建设双活数据中心传输网络、双活数据中心网络、计算资源池、存储资源池、业务系统双活应用。</w:t>
            </w:r>
          </w:p>
          <w:p>
            <w:pPr>
              <w:pStyle w:val="47"/>
              <w:spacing w:after="0"/>
              <w:ind w:firstLine="562"/>
              <w:jc w:val="left"/>
              <w:rPr>
                <w:rFonts w:hint="eastAsia" w:ascii="仿宋_GB2312" w:hAnsi="仿宋_GB2312" w:cs="仿宋_GB2312"/>
                <w:bCs/>
                <w:sz w:val="28"/>
                <w:szCs w:val="28"/>
                <w:lang w:bidi="ar"/>
              </w:rPr>
            </w:pPr>
            <w:r>
              <w:rPr>
                <w:rFonts w:hint="eastAsia" w:ascii="仿宋_GB2312" w:hAnsi="仿宋_GB2312" w:cs="仿宋_GB2312"/>
                <w:b/>
                <w:sz w:val="28"/>
                <w:szCs w:val="28"/>
                <w:lang w:bidi="ar"/>
              </w:rPr>
              <w:t>信息化软件国产化改造工程：</w:t>
            </w:r>
            <w:r>
              <w:rPr>
                <w:rFonts w:hint="eastAsia" w:ascii="仿宋_GB2312" w:hAnsi="仿宋_GB2312" w:cs="仿宋_GB2312"/>
                <w:bCs/>
                <w:sz w:val="28"/>
                <w:szCs w:val="28"/>
                <w:lang w:bidi="ar"/>
              </w:rPr>
              <w:t>开展智慧医疗“114工程”（1个基础设施，包括卫生专网和数据中心；1个全民健康信息平台；4项应用，包括医疗服务、惠民服务、公卫监管、综合管理）公卫督导管理系统、区域临床数据中心CDR、统一检查预约平台、区域医学影像信息系统、区域体检信息系统等5个系统国产化数据库、操作系统、中间件等适配改造工作。</w:t>
            </w:r>
          </w:p>
          <w:p>
            <w:pPr>
              <w:pStyle w:val="47"/>
              <w:spacing w:after="0"/>
              <w:ind w:firstLine="562"/>
              <w:jc w:val="left"/>
              <w:rPr>
                <w:lang w:bidi="ar"/>
              </w:rPr>
            </w:pPr>
            <w:r>
              <w:rPr>
                <w:rFonts w:hint="eastAsia" w:ascii="仿宋_GB2312" w:hAnsi="仿宋_GB2312" w:cs="仿宋_GB2312"/>
                <w:b/>
                <w:sz w:val="28"/>
                <w:szCs w:val="28"/>
                <w:lang w:bidi="ar"/>
              </w:rPr>
              <w:t>龙华区人工智能项目（一期）之卫生健康人工智能（AI）平台及应用项目：</w:t>
            </w:r>
            <w:r>
              <w:rPr>
                <w:rFonts w:hint="eastAsia" w:ascii="仿宋_GB2312" w:hAnsi="仿宋_GB2312" w:cs="仿宋_GB2312"/>
                <w:bCs/>
                <w:sz w:val="28"/>
                <w:szCs w:val="28"/>
                <w:lang w:bidi="ar"/>
              </w:rPr>
              <w:t>基于“1+4+N”的整体规划，建设一个国产化医疗大模型基座，构建“AI+医疗服务场景”、“AI+医药服务场景”、“AI+健康管理场景”及“AI+医院管理场景”四类核心应用场景。主要包括数字家医平台、智慧健康素养管理、智能导诊系统、放射AI影像辅助诊断、超声智能辅助检查系统、疫情分级分类处置、智慧家庭病床系统、基层AI辅助诊疗、基层AI审方系统、医院临床智能辅助决策、VTE智能防治、AI语音随访、人工智能全流程健康管理、电子病历语音智能辅助、智慧健康数字空间、妇幼重点人群智能健康管理、医疗AI质控中心等模块。</w:t>
            </w:r>
          </w:p>
        </w:tc>
      </w:tr>
      <w:bookmarkEnd w:id="58"/>
      <w:bookmarkEnd w:id="74"/>
    </w:tbl>
    <w:p>
      <w:pPr>
        <w:pStyle w:val="5"/>
        <w:keepNext w:val="0"/>
        <w:keepLines w:val="0"/>
        <w:spacing w:after="0"/>
        <w:ind w:firstLine="640"/>
        <w:jc w:val="left"/>
        <w:rPr>
          <w:rFonts w:hint="eastAsia" w:hAnsi="楷体_GB2312" w:cs="楷体_GB2312"/>
          <w:lang w:bidi="ar"/>
        </w:rPr>
      </w:pPr>
      <w:bookmarkStart w:id="80" w:name="_Toc230463249"/>
      <w:bookmarkStart w:id="81" w:name="_Toc217379418"/>
      <w:bookmarkStart w:id="82" w:name="_Toc206526518"/>
      <w:r>
        <w:rPr>
          <w:rFonts w:hint="eastAsia"/>
        </w:rPr>
        <w:t>（八）夯实根基，</w:t>
      </w:r>
      <w:r>
        <w:t>建设高素质专业化卫生健康人才队伍</w:t>
      </w:r>
      <w:bookmarkEnd w:id="80"/>
      <w:bookmarkEnd w:id="81"/>
    </w:p>
    <w:p>
      <w:pPr>
        <w:spacing w:after="0"/>
        <w:ind w:firstLine="643"/>
        <w:rPr>
          <w:rFonts w:hint="eastAsia" w:hAnsi="仿宋_GB2312" w:cs="仿宋_GB2312"/>
          <w:szCs w:val="32"/>
        </w:rPr>
      </w:pPr>
      <w:bookmarkStart w:id="83" w:name="OLE_LINK15"/>
      <w:r>
        <w:rPr>
          <w:rFonts w:hint="eastAsia" w:hAnsi="仿宋_GB2312" w:cs="仿宋_GB2312"/>
          <w:b/>
          <w:bCs/>
          <w:szCs w:val="32"/>
        </w:rPr>
        <w:t>34.</w:t>
      </w:r>
      <w:bookmarkStart w:id="84" w:name="OLE_LINK76"/>
      <w:r>
        <w:rPr>
          <w:rFonts w:hint="eastAsia" w:hAnsi="仿宋_GB2312" w:cs="仿宋_GB2312"/>
          <w:b/>
          <w:bCs/>
          <w:szCs w:val="32"/>
        </w:rPr>
        <w:t>深化人才队伍体系建设</w:t>
      </w:r>
      <w:bookmarkEnd w:id="84"/>
      <w:r>
        <w:rPr>
          <w:rFonts w:hint="eastAsia" w:hAnsi="仿宋_GB2312" w:cs="仿宋_GB2312"/>
          <w:b/>
          <w:bCs/>
          <w:szCs w:val="32"/>
        </w:rPr>
        <w:t>。</w:t>
      </w:r>
      <w:r>
        <w:rPr>
          <w:rFonts w:hint="eastAsia" w:hAnsi="仿宋_GB2312" w:cs="仿宋_GB2312"/>
          <w:szCs w:val="32"/>
        </w:rPr>
        <w:t>加</w:t>
      </w:r>
      <w:r>
        <w:rPr>
          <w:rFonts w:hint="eastAsia"/>
        </w:rPr>
        <w:t>强与国内外知名医学院校建立多元化合作机制，探索通过共建临床教学基地、合作设立定向培养项目、共建联合实验室等方式深化医教研合作，精准储备和培育契合龙华医疗卫生事业发展需要的优秀医学人才。</w:t>
      </w:r>
      <w:r>
        <w:rPr>
          <w:rFonts w:hint="eastAsia" w:hAnsi="仿宋_GB2312" w:cs="仿宋_GB2312"/>
          <w:szCs w:val="32"/>
        </w:rPr>
        <w:t>建立全科医学五星级培养认证体系，围绕临床诊疗、健康管理、科教创新、团队管理、职业素养等核心维度，着力培育具备全科核心诊疗技能、基层科研转化能力、团队统筹管理素养的复合型人才，力争“十五五”期间培养10名以上五星级全科医生。加强教学师资队伍培训和专业发展支持，力争2030年1家区属综合医院建成住院医师规范化培训基地。</w:t>
      </w:r>
    </w:p>
    <w:p>
      <w:pPr>
        <w:spacing w:after="0"/>
        <w:ind w:firstLine="643"/>
      </w:pPr>
      <w:r>
        <w:rPr>
          <w:rFonts w:hint="eastAsia"/>
          <w:b/>
          <w:bCs/>
        </w:rPr>
        <w:t>35.推动重点专科人才队伍建设。</w:t>
      </w:r>
      <w:r>
        <w:rPr>
          <w:rFonts w:hint="eastAsia"/>
        </w:rPr>
        <w:t>结合全区学科建设发展规划，重点围绕优势学科以及群众就医需求量大的学科，</w:t>
      </w:r>
      <w:bookmarkStart w:id="85" w:name="OLE_LINK22"/>
      <w:r>
        <w:rPr>
          <w:rFonts w:hint="eastAsia"/>
        </w:rPr>
        <w:t>科学制定人才发展计划</w:t>
      </w:r>
      <w:bookmarkEnd w:id="85"/>
      <w:r>
        <w:rPr>
          <w:rFonts w:hint="eastAsia"/>
        </w:rPr>
        <w:t>，</w:t>
      </w:r>
      <w:r>
        <w:t>精准挖掘符合龙华区医疗卫生需求的高层次人才</w:t>
      </w:r>
      <w:r>
        <w:rPr>
          <w:rFonts w:hint="eastAsia"/>
        </w:rPr>
        <w:t>、紧缺人才。通过“住院医师全科化、主治医师专业化、主任医师专病化”培养路径，补齐重症、儿科等学科人才短板。鼓励区属医疗卫生单位与国内外医疗卫生专家通过“三名工程”、特聘岗位、项目合作等形式，引进其到区内医疗卫生单位从事诊疗、科研教学、学术交流等工作。</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tcPr>
          <w:p>
            <w:pPr>
              <w:spacing w:after="0" w:line="580" w:lineRule="exact"/>
              <w:ind w:firstLine="0" w:firstLineChars="0"/>
              <w:jc w:val="center"/>
              <w:rPr>
                <w:rFonts w:hint="eastAsia" w:hAnsi="黑体" w:cs="黑体"/>
                <w:b/>
                <w:bCs/>
                <w:sz w:val="28"/>
                <w:szCs w:val="28"/>
              </w:rPr>
            </w:pPr>
            <w:r>
              <w:rPr>
                <w:rFonts w:hint="eastAsia" w:hAnsi="黑体" w:cs="黑体"/>
                <w:b/>
                <w:bCs/>
                <w:sz w:val="28"/>
                <w:szCs w:val="28"/>
              </w:rPr>
              <w:t>专栏17：专业人才引育工程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784" w:type="dxa"/>
            <w:vAlign w:val="center"/>
          </w:tcPr>
          <w:p>
            <w:pPr>
              <w:spacing w:after="0"/>
              <w:ind w:firstLine="562"/>
              <w:rPr>
                <w:rFonts w:hint="eastAsia" w:hAnsi="仿宋_GB2312" w:cs="仿宋_GB2312"/>
                <w:b/>
                <w:sz w:val="28"/>
                <w:szCs w:val="28"/>
                <w:lang w:bidi="ar"/>
              </w:rPr>
            </w:pPr>
            <w:r>
              <w:rPr>
                <w:rFonts w:hint="eastAsia" w:hAnsi="仿宋_GB2312" w:cs="仿宋_GB2312"/>
                <w:b/>
                <w:sz w:val="28"/>
                <w:szCs w:val="28"/>
                <w:lang w:bidi="ar"/>
              </w:rPr>
              <w:t>中医药人才建设行动：</w:t>
            </w:r>
            <w:r>
              <w:rPr>
                <w:rFonts w:hint="eastAsia" w:hAnsi="仿宋_GB2312" w:cs="仿宋_GB2312"/>
                <w:bCs/>
                <w:sz w:val="28"/>
                <w:szCs w:val="28"/>
                <w:lang w:bidi="ar"/>
              </w:rPr>
              <w:t>依托区属医院中医科及区中医院建设，充分发挥引入广州中医药大学第一附属医院的优势，加强中医药高层次人才的培养和引进，加强基层医务人员中医药健康知识与特色技能培训。依托基层名中医工作室和龙华区全科医学中医技能培训中心，开展基层骨干中医药综合服务能力提升培训、医护人员中医药适宜技术培训班，积极提升医护人员适宜技术操作能力。探索师资授课带教的激励措施，打造一支带不走的中医教培师资队伍。</w:t>
            </w:r>
          </w:p>
          <w:p>
            <w:pPr>
              <w:spacing w:after="0"/>
              <w:ind w:firstLine="562"/>
              <w:rPr>
                <w:rFonts w:hint="eastAsia" w:hAnsi="仿宋_GB2312" w:cs="仿宋_GB2312"/>
                <w:b/>
                <w:sz w:val="28"/>
                <w:szCs w:val="28"/>
                <w:lang w:bidi="ar"/>
              </w:rPr>
            </w:pPr>
            <w:r>
              <w:rPr>
                <w:rFonts w:hint="eastAsia" w:hAnsi="仿宋_GB2312" w:cs="仿宋_GB2312"/>
                <w:b/>
                <w:sz w:val="28"/>
                <w:szCs w:val="28"/>
                <w:lang w:bidi="ar"/>
              </w:rPr>
              <w:t>公共卫生人才队伍提质扩容行动：</w:t>
            </w:r>
            <w:r>
              <w:rPr>
                <w:rFonts w:hint="eastAsia" w:hAnsi="仿宋_GB2312" w:cs="仿宋_GB2312"/>
                <w:bCs/>
                <w:sz w:val="28"/>
                <w:szCs w:val="28"/>
                <w:lang w:bidi="ar"/>
              </w:rPr>
              <w:t>依托疑难病原体鉴定中心建设，着力培养病原学鉴定、疫情形势研判和传播规律研究、现场流行病学调查、实验室检测等人才，</w:t>
            </w:r>
            <w:bookmarkStart w:id="86" w:name="OLE_LINK83"/>
            <w:r>
              <w:rPr>
                <w:rFonts w:hint="eastAsia" w:hAnsi="仿宋_GB2312" w:cs="仿宋_GB2312"/>
                <w:bCs/>
                <w:sz w:val="28"/>
                <w:szCs w:val="28"/>
                <w:lang w:bidi="ar"/>
              </w:rPr>
              <w:t>针对感染性疾病、呼吸系统疾病、重症医学、急救创伤及医院感染控制、检验检测、健康大数据等领域，</w:t>
            </w:r>
            <w:r>
              <w:rPr>
                <w:rFonts w:hAnsi="仿宋_GB2312" w:cs="仿宋_GB2312"/>
                <w:bCs/>
                <w:sz w:val="28"/>
                <w:szCs w:val="28"/>
                <w:lang w:bidi="ar"/>
              </w:rPr>
              <w:t>开通“绿色通道”引进领军人才与学科带头人</w:t>
            </w:r>
            <w:bookmarkEnd w:id="86"/>
            <w:r>
              <w:rPr>
                <w:rFonts w:hint="eastAsia" w:hAnsi="仿宋_GB2312" w:cs="仿宋_GB2312"/>
                <w:bCs/>
                <w:sz w:val="28"/>
                <w:szCs w:val="28"/>
                <w:lang w:bidi="ar"/>
              </w:rPr>
              <w:t>。强化医疗机构公共卫生职责，配置适宜数量的公共卫生人员，吸纳多学科专业人员融入公共卫生队伍。</w:t>
            </w:r>
            <w:r>
              <w:rPr>
                <w:rFonts w:hAnsi="仿宋_GB2312" w:cs="仿宋_GB2312"/>
                <w:bCs/>
                <w:sz w:val="28"/>
                <w:szCs w:val="28"/>
                <w:lang w:bidi="ar"/>
              </w:rPr>
              <w:t>探索建立公卫与临床人才双向轮训机制，推动公卫骨干进医院、临床骨干进疾控，实现“公卫知临床、临床懂公卫”，着力打造医防融合的复合型人才队伍。</w:t>
            </w:r>
          </w:p>
          <w:p>
            <w:pPr>
              <w:spacing w:after="0"/>
              <w:ind w:firstLine="562"/>
              <w:rPr>
                <w:rFonts w:hint="eastAsia" w:hAnsi="仿宋_GB2312" w:cs="仿宋_GB2312"/>
                <w:bCs/>
                <w:sz w:val="28"/>
                <w:szCs w:val="28"/>
                <w:lang w:bidi="ar"/>
              </w:rPr>
            </w:pPr>
            <w:r>
              <w:rPr>
                <w:rFonts w:hint="eastAsia" w:hAnsi="仿宋_GB2312" w:cs="仿宋_GB2312"/>
                <w:b/>
                <w:sz w:val="28"/>
                <w:szCs w:val="28"/>
                <w:lang w:bidi="ar"/>
              </w:rPr>
              <w:t>复合型人才引育行动：</w:t>
            </w:r>
            <w:r>
              <w:rPr>
                <w:rFonts w:hint="eastAsia" w:hAnsi="仿宋_GB2312" w:cs="仿宋_GB2312"/>
                <w:bCs/>
                <w:sz w:val="28"/>
                <w:szCs w:val="28"/>
                <w:lang w:bidi="ar"/>
              </w:rPr>
              <w:t>搭建跨学科人才协作平台，促进不同学科领域人才的交流合作，推进医学、公共卫生、管理学等多学科背景的复合型拔尖创新人才培养，培育复合型学科人才。探索建立公共卫生机构和医疗机构人员交流机制，推进疾控、慢病机构人员与区属医院双向轮训，促进临床与公卫技能互鉴，打造复合型卫生健康人才队伍。</w:t>
            </w:r>
          </w:p>
          <w:p>
            <w:pPr>
              <w:spacing w:after="0"/>
              <w:ind w:firstLine="562"/>
              <w:rPr>
                <w:rFonts w:hint="eastAsia" w:hAnsi="仿宋_GB2312" w:cs="仿宋_GB2312"/>
                <w:bCs/>
                <w:sz w:val="28"/>
                <w:szCs w:val="28"/>
                <w:lang w:bidi="ar"/>
              </w:rPr>
            </w:pPr>
            <w:r>
              <w:rPr>
                <w:rFonts w:hint="eastAsia" w:hAnsi="仿宋_GB2312" w:cs="仿宋_GB2312"/>
                <w:b/>
                <w:sz w:val="28"/>
                <w:szCs w:val="28"/>
                <w:lang w:bidi="ar"/>
              </w:rPr>
              <w:t>后备人才队伍建设行动：</w:t>
            </w:r>
            <w:r>
              <w:rPr>
                <w:rFonts w:hint="eastAsia" w:hAnsi="仿宋_GB2312" w:cs="仿宋_GB2312"/>
                <w:bCs/>
                <w:sz w:val="28"/>
                <w:szCs w:val="28"/>
                <w:lang w:bidi="ar"/>
              </w:rPr>
              <w:t>做好后备人才培养，特别是加大对重症、儿科、老年、感染、麻醉、全科医学科等短缺人才的储备，确保重点学科年龄结构合理，老、中、青的比例符合1：5：4的要求，建立完备的人才梯队。</w:t>
            </w:r>
          </w:p>
        </w:tc>
      </w:tr>
    </w:tbl>
    <w:p>
      <w:pPr>
        <w:pStyle w:val="88"/>
        <w:ind w:firstLine="643"/>
      </w:pPr>
      <w:r>
        <w:rPr>
          <w:rFonts w:hint="eastAsia"/>
          <w:b/>
          <w:bCs/>
        </w:rPr>
        <w:t>36.优化人才培养模式。</w:t>
      </w:r>
      <w:r>
        <w:rPr>
          <w:rFonts w:hint="eastAsia"/>
        </w:rPr>
        <w:t>实施中青年技术骨干培养计划，每年从区属医疗卫生单位选拔骨干人才到国（境）内外高等院校、知名医疗机构、公共卫生机构进行业务培训。常态化组织开展“龙华卫健大讲堂”，着力破除妨碍青年骨干人才成长的“路障”，推行青年人才“奋斗导师+专业导师”双导师制，选派引进的领军人才、学科带头人等高层次人才作为青年人才的导师，为青年人才成长搭桥梁、竖阶梯。</w:t>
      </w:r>
      <w:r>
        <w:rPr>
          <w:rFonts w:hint="eastAsia" w:hAnsi="仿宋_GB2312" w:cs="仿宋_GB2312"/>
          <w:szCs w:val="32"/>
        </w:rPr>
        <w:t>每两年进行人才梯队结构分析</w:t>
      </w:r>
      <w:r>
        <w:rPr>
          <w:rFonts w:hint="eastAsia"/>
        </w:rPr>
        <w:t>，建立“红黄蓝”三级预警机制应对人才断层风险。创新管理体制，探索设立公卫首席监督员制度，</w:t>
      </w:r>
      <w:r>
        <w:t>通过严格选拔、动态考核，打造专业素养过硬的领航团队</w:t>
      </w:r>
      <w:r>
        <w:rPr>
          <w:rFonts w:hint="eastAsia"/>
        </w:rPr>
        <w:t>。</w:t>
      </w:r>
    </w:p>
    <w:p>
      <w:pPr>
        <w:pStyle w:val="88"/>
        <w:ind w:firstLine="643"/>
      </w:pPr>
      <w:r>
        <w:rPr>
          <w:rFonts w:hint="eastAsia"/>
          <w:b/>
          <w:bCs/>
        </w:rPr>
        <w:t>37.完善考核评估和激励机制。</w:t>
      </w:r>
      <w:r>
        <w:t>完善公立医院人员总量管理配套制度，统筹编制内外人员管理，在岗位、聘用、薪酬、晋升、考核等方面建立统一规范的管理体系。探索推动疾控机构</w:t>
      </w:r>
      <w:r>
        <w:rPr>
          <w:rFonts w:hint="eastAsia"/>
        </w:rPr>
        <w:t>“</w:t>
      </w:r>
      <w:r>
        <w:t>一类保障、二类管理</w:t>
      </w:r>
      <w:r>
        <w:rPr>
          <w:rFonts w:hint="eastAsia"/>
        </w:rPr>
        <w:t>”</w:t>
      </w:r>
      <w:r>
        <w:t>政策落地</w:t>
      </w:r>
      <w:r>
        <w:rPr>
          <w:rFonts w:hint="eastAsia"/>
        </w:rPr>
        <w:t>，</w:t>
      </w:r>
      <w:r>
        <w:t>完善符合疾控体系人才队伍特点的薪酬保障和激励制度，探索疾控机构收入返还长效激励机制，按照</w:t>
      </w:r>
      <w:r>
        <w:rPr>
          <w:rFonts w:hint="eastAsia"/>
        </w:rPr>
        <w:t>“</w:t>
      </w:r>
      <w:r>
        <w:t>两个允许</w:t>
      </w:r>
      <w:r>
        <w:rPr>
          <w:rFonts w:hint="eastAsia"/>
        </w:rPr>
        <w:t>”</w:t>
      </w:r>
      <w:r>
        <w:t>要求，科学合理确定疾控机构绩效工资水平，加强疾控工作人员激励措施，增强内生动力。</w:t>
      </w:r>
      <w:r>
        <w:rPr>
          <w:rFonts w:hint="eastAsia"/>
        </w:rPr>
        <w:t>建立编制动态调整机制，持续优化编制池管理机制，提升人才的编制资源使用效益。完善去编制化配套政策，</w:t>
      </w:r>
      <w:r>
        <w:rPr>
          <w:rFonts w:hint="eastAsia" w:hAnsi="等线"/>
          <w:szCs w:val="32"/>
        </w:rPr>
        <w:t>深入推进公立医院薪酬制度改革，着力体现医务人员技术劳务价值。改善公立医院收支结构，提高人员经费支出占比，推动卫生健康投入方式从“投资于物”向“投资于人”转变。</w:t>
      </w:r>
      <w:r>
        <w:rPr>
          <w:rFonts w:hint="eastAsia" w:hAnsi="仿宋_GB2312" w:cs="仿宋_GB2312"/>
          <w:szCs w:val="32"/>
        </w:rPr>
        <w:t>在职称评聘、评先评优工作中，优先从各类优秀人才中推荐人选，激励人才干事创业、创先争优。</w:t>
      </w:r>
    </w:p>
    <w:p>
      <w:pPr>
        <w:pStyle w:val="88"/>
        <w:ind w:firstLine="643"/>
      </w:pPr>
      <w:r>
        <w:rPr>
          <w:rFonts w:hint="eastAsia"/>
          <w:b/>
          <w:bCs/>
        </w:rPr>
        <w:t>38.强化人才综合保障。</w:t>
      </w:r>
      <w:r>
        <w:rPr>
          <w:rFonts w:hint="eastAsia"/>
        </w:rPr>
        <w:t>建立健全常态化联系服务机制，通过“</w:t>
      </w:r>
      <w:r>
        <w:t>人才茶话会</w:t>
      </w:r>
      <w:r>
        <w:rPr>
          <w:rFonts w:hint="eastAsia"/>
        </w:rPr>
        <w:t>”、定期走访等形式主动关心人才需求，建立需求快速响应和联动解决机制。优化人才</w:t>
      </w:r>
      <w:r>
        <w:t>全周期服务</w:t>
      </w:r>
      <w:r>
        <w:rPr>
          <w:rFonts w:hint="eastAsia"/>
        </w:rPr>
        <w:t>体系，衔接</w:t>
      </w:r>
      <w:r>
        <w:t>人才引进、培养、使用</w:t>
      </w:r>
      <w:r>
        <w:rPr>
          <w:rFonts w:hint="eastAsia"/>
        </w:rPr>
        <w:t>各环节</w:t>
      </w:r>
      <w:r>
        <w:t>，用</w:t>
      </w:r>
      <w:r>
        <w:rPr>
          <w:rFonts w:hint="eastAsia"/>
        </w:rPr>
        <w:t>好用足“尚贤卡”等人才</w:t>
      </w:r>
      <w:r>
        <w:t>政策，</w:t>
      </w:r>
      <w:r>
        <w:rPr>
          <w:rFonts w:hint="eastAsia"/>
        </w:rPr>
        <w:t>在住房、子女教育等方面提供精准支持。</w:t>
      </w:r>
      <w:r>
        <w:t>加大人才宣传力度，</w:t>
      </w:r>
      <w:r>
        <w:rPr>
          <w:rFonts w:hint="eastAsia"/>
        </w:rPr>
        <w:t>定期举办高层次医学人才讲座、专业论坛与成果展示活动，提升医学人才社会影响力与群众认可度。</w:t>
      </w:r>
    </w:p>
    <w:p>
      <w:pPr>
        <w:pStyle w:val="5"/>
        <w:keepNext w:val="0"/>
        <w:keepLines w:val="0"/>
        <w:spacing w:after="0"/>
        <w:ind w:firstLine="640"/>
        <w:jc w:val="left"/>
      </w:pPr>
      <w:bookmarkStart w:id="87" w:name="_Toc230463250"/>
      <w:bookmarkStart w:id="88" w:name="_Toc217379419"/>
      <w:r>
        <w:rPr>
          <w:rFonts w:hint="eastAsia"/>
        </w:rPr>
        <w:t>（九）</w:t>
      </w:r>
      <w:r>
        <w:rPr>
          <w:rFonts w:hint="eastAsia"/>
          <w:color w:val="000000" w:themeColor="text1"/>
          <w14:textFill>
            <w14:solidFill>
              <w14:schemeClr w14:val="tx1"/>
            </w14:solidFill>
          </w14:textFill>
        </w:rPr>
        <w:t>党建赋能，打造规范高效卫生健康治理格局</w:t>
      </w:r>
      <w:bookmarkEnd w:id="87"/>
      <w:bookmarkEnd w:id="88"/>
    </w:p>
    <w:p>
      <w:pPr>
        <w:pStyle w:val="88"/>
        <w:ind w:firstLine="643"/>
      </w:pPr>
      <w:r>
        <w:rPr>
          <w:rFonts w:hint="eastAsia"/>
          <w:b/>
          <w:bCs/>
        </w:rPr>
        <w:t>39.深化党建引领，筑牢全面发展根基。</w:t>
      </w:r>
      <w:r>
        <w:rPr>
          <w:rFonts w:hint="eastAsia"/>
          <w:lang w:bidi="ar"/>
        </w:rPr>
        <w:t>全面贯彻党委领导下的院长负责制，以党的政治建设为统领，统筹推进思想、组织、作风、纪律、制度建设，创新“党建+业务”深度融合机制，推动党建工作与医疗、教学、科研、管理工作同步部署、一体考核。持续巩固“党支部建在科室上”组织基础，深化“双培养”工程，推进党支部标准化规范化建设。扎实推进清廉医院建设，完善重点领域廉政风险防控机制，推动党风、行风、作风持续向好，以高质量党建引领卫生健康治理体系和治理能力现代化。</w:t>
      </w:r>
    </w:p>
    <w:p>
      <w:pPr>
        <w:pStyle w:val="88"/>
        <w:ind w:firstLine="643"/>
      </w:pPr>
      <w:r>
        <w:rPr>
          <w:rFonts w:hint="eastAsia"/>
          <w:b/>
          <w:bCs/>
        </w:rPr>
        <w:t>40.推进依法治理，健全规范运行体系。</w:t>
      </w:r>
      <w:r>
        <w:rPr>
          <w:rFonts w:hint="eastAsia"/>
        </w:rPr>
        <w:t>以习近平法治思想为引领，扎实推进卫生健康领域法治建设重点工作，提升依法行政能力，全面营造权责明晰、执法规范、普法深入的良好法治环境。持续深化国家工作人员学法用法，持续深化全方位、多层次学习教育，提升干部职工法治素养。强化法律顾问全流程审查机制，为依法决策提供坚实保障。深化普法供给侧改革，构建分层分类精准普法新格局，深化“谁执法谁普法”责任制，将普法融入执法全过程，通过“送法上门”“执法告知”实现医美、职业卫生等重点领域法治需求精准对接。持续规范涉企执法，整合内部资源推行卫生健康领域“综合查一次”，以法治软环境优化营商硬实力，为卫生健康事业高质量发展筑牢法治根基。</w:t>
      </w:r>
    </w:p>
    <w:p>
      <w:pPr>
        <w:pStyle w:val="88"/>
        <w:ind w:firstLine="643"/>
        <w:rPr>
          <w:lang w:bidi="ar"/>
        </w:rPr>
      </w:pPr>
      <w:r>
        <w:rPr>
          <w:rFonts w:hint="eastAsia"/>
          <w:b/>
          <w:bCs/>
        </w:rPr>
        <w:t>41.完善综合监管，打造协同共治格局。</w:t>
      </w:r>
      <w:r>
        <w:rPr>
          <w:rFonts w:hint="eastAsia" w:hAnsi="仿宋_GB2312" w:cs="仿宋_GB2312"/>
          <w:szCs w:val="32"/>
        </w:rPr>
        <w:t>健全部门协同监管机制，通过卫生健康领域综合监管联席会议强化重点领域跨部门联合监管，根据各成员单位责任与分工清单推动信息共享、联合研判，通过</w:t>
      </w:r>
      <w:r>
        <w:rPr>
          <w:rFonts w:hint="eastAsia" w:hAnsi="仿宋_GB2312" w:cs="仿宋_GB2312"/>
          <w:kern w:val="0"/>
          <w:szCs w:val="32"/>
        </w:rPr>
        <w:t>常态化联合执法联动机制，对跨部门违法违规行为实施联合惩戒，形成“分工明确、协同高效、闭环管理”的跨部门监管格局。</w:t>
      </w:r>
      <w:r>
        <w:rPr>
          <w:rFonts w:hAnsi="黑体" w:cs="仿宋_GB2312"/>
          <w:kern w:val="0"/>
          <w:szCs w:val="32"/>
          <w:lang w:bidi="ar"/>
        </w:rPr>
        <w:t>探索构建以信用为基础的新型监管机制，</w:t>
      </w:r>
      <w:r>
        <w:rPr>
          <w:rFonts w:hint="eastAsia" w:hAnsi="仿宋_GB2312" w:cs="仿宋_GB2312"/>
          <w:szCs w:val="32"/>
        </w:rPr>
        <w:t>完善以信用为基础的全行业分级分类监管，在医疗卫生领域</w:t>
      </w:r>
      <w:r>
        <w:rPr>
          <w:rStyle w:val="95"/>
          <w:rFonts w:hint="eastAsia" w:hAnsi="黑体" w:cs="仿宋_GB2312"/>
          <w:kern w:val="0"/>
          <w:sz w:val="32"/>
          <w:szCs w:val="32"/>
          <w:lang w:bidi="ar"/>
        </w:rPr>
        <w:t>加强社会办医疗机构依法执业管理</w:t>
      </w:r>
      <w:r>
        <w:rPr>
          <w:rFonts w:hint="eastAsia" w:hAnsi="黑体" w:cs="仿宋_GB2312"/>
          <w:kern w:val="0"/>
          <w:szCs w:val="32"/>
          <w:lang w:bidi="ar"/>
        </w:rPr>
        <w:t>，同时通过</w:t>
      </w:r>
      <w:r>
        <w:rPr>
          <w:rFonts w:hint="eastAsia" w:hAnsi="仿宋_GB2312" w:cs="仿宋_GB2312"/>
          <w:szCs w:val="32"/>
        </w:rPr>
        <w:t>建立健全医疗卫生行业信用评价体系，完善守信激励和失信惩戒机制，对守信主体减少检查频次，对失信主体实施重点监管和联合惩戒，以信用监管倒逼行业规范自律，</w:t>
      </w:r>
      <w:r>
        <w:rPr>
          <w:rFonts w:hint="eastAsia" w:hAnsi="黑体" w:cs="仿宋_GB2312"/>
          <w:kern w:val="0"/>
          <w:szCs w:val="32"/>
          <w:lang w:bidi="ar"/>
        </w:rPr>
        <w:t>推动社会办医疗机构与公立医疗机构协同发展。</w:t>
      </w:r>
      <w:r>
        <w:rPr>
          <w:rFonts w:hint="eastAsia" w:hAnsi="仿宋_GB2312" w:cs="仿宋_GB2312"/>
          <w:szCs w:val="32"/>
        </w:rPr>
        <w:t>全面推进非现场执法能力建设，在游泳池水质、职业病危害因素等场景试点部署在线监测、视频识别等智能设备，通过远程感知与数据分析固定违法证据，提升问题发现和响应效率</w:t>
      </w:r>
      <w:r>
        <w:rPr>
          <w:lang w:bidi="ar"/>
        </w:rPr>
        <w:t>。</w:t>
      </w:r>
    </w:p>
    <w:p>
      <w:pPr>
        <w:pStyle w:val="47"/>
        <w:spacing w:after="0"/>
        <w:ind w:firstLine="643"/>
      </w:pPr>
      <w:r>
        <w:rPr>
          <w:rFonts w:ascii="仿宋_GB2312" w:hAnsi="Calibri"/>
          <w:b/>
          <w:bCs/>
          <w:szCs w:val="24"/>
        </w:rPr>
        <w:t>4</w:t>
      </w:r>
      <w:r>
        <w:rPr>
          <w:rFonts w:hint="eastAsia" w:ascii="仿宋_GB2312" w:hAnsi="Calibri"/>
          <w:b/>
          <w:bCs/>
          <w:szCs w:val="24"/>
        </w:rPr>
        <w:t>2</w:t>
      </w:r>
      <w:r>
        <w:rPr>
          <w:rFonts w:ascii="仿宋_GB2312" w:hAnsi="Calibri"/>
          <w:b/>
          <w:bCs/>
          <w:szCs w:val="24"/>
        </w:rPr>
        <w:t>.</w:t>
      </w:r>
      <w:r>
        <w:rPr>
          <w:rFonts w:hint="eastAsia" w:ascii="仿宋_GB2312" w:hAnsi="Calibri"/>
          <w:b/>
          <w:bCs/>
          <w:szCs w:val="24"/>
        </w:rPr>
        <w:t>筑牢廉洁防线，推进医保专项整治。</w:t>
      </w:r>
      <w:r>
        <w:rPr>
          <w:rFonts w:hint="eastAsia"/>
        </w:rPr>
        <w:t>健全与医保、政数、市监等部门的线索互移、联合惩戒机制，促进医疗、医保、医药协同发展和治理。持续完善医院内控、医保基金管理、医用耗材采购等长效机制，深入开展政策法规培训和典型案例警示教育，全面提升从业人员业务能力和合规意识。加快建设医保信息监管平台与卫生健康重点领域廉洁合规数字监管平台，督促区属医院持续升级完善检查检验审核系统。针对整改问题制定跟踪问效清单，定期做好问题整改“回头看”，以整改成效评价推动存在问题真改实改、系统整改。</w:t>
      </w:r>
    </w:p>
    <w:tbl>
      <w:tblPr>
        <w:tblStyle w:val="89"/>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98" w:type="dxa"/>
            <w:vAlign w:val="center"/>
          </w:tcPr>
          <w:p>
            <w:pPr>
              <w:spacing w:after="0" w:line="580" w:lineRule="exact"/>
              <w:ind w:firstLine="0" w:firstLineChars="0"/>
              <w:jc w:val="center"/>
              <w:rPr>
                <w:rFonts w:hint="eastAsia" w:hAnsi="黑体" w:cs="仿宋_GB2312"/>
                <w:kern w:val="0"/>
                <w:sz w:val="28"/>
                <w:szCs w:val="28"/>
                <w:lang w:bidi="ar"/>
              </w:rPr>
            </w:pPr>
            <w:r>
              <w:rPr>
                <w:rFonts w:hint="eastAsia" w:hAnsi="黑体" w:cs="黑体"/>
                <w:b/>
                <w:bCs/>
                <w:sz w:val="28"/>
                <w:szCs w:val="28"/>
              </w:rPr>
              <w:t>专栏18：廉政监管平台建设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98" w:type="dxa"/>
            <w:vAlign w:val="center"/>
          </w:tcPr>
          <w:p>
            <w:pPr>
              <w:spacing w:after="0"/>
              <w:ind w:firstLine="562"/>
              <w:rPr>
                <w:rFonts w:hint="eastAsia" w:hAnsi="仿宋_GB2312" w:cs="仿宋_GB2312"/>
                <w:bCs/>
                <w:kern w:val="0"/>
                <w:sz w:val="28"/>
                <w:szCs w:val="28"/>
                <w:lang w:bidi="ar"/>
              </w:rPr>
            </w:pPr>
            <w:bookmarkStart w:id="89" w:name="OLE_LINK24"/>
            <w:r>
              <w:rPr>
                <w:rFonts w:hint="eastAsia" w:hAnsi="仿宋_GB2312" w:cs="仿宋_GB2312"/>
                <w:b/>
                <w:bCs/>
                <w:kern w:val="0"/>
                <w:sz w:val="28"/>
                <w:szCs w:val="28"/>
                <w:lang w:bidi="ar"/>
              </w:rPr>
              <w:t>医疗设备廉洁合规监管平台</w:t>
            </w:r>
            <w:bookmarkEnd w:id="89"/>
            <w:r>
              <w:rPr>
                <w:rFonts w:hint="eastAsia" w:hAnsi="仿宋_GB2312" w:cs="仿宋_GB2312"/>
                <w:b/>
                <w:bCs/>
                <w:kern w:val="0"/>
                <w:sz w:val="28"/>
                <w:szCs w:val="28"/>
                <w:lang w:bidi="ar"/>
              </w:rPr>
              <w:t>：</w:t>
            </w:r>
            <w:r>
              <w:rPr>
                <w:rFonts w:hint="eastAsia" w:hAnsi="仿宋_GB2312" w:cs="仿宋_GB2312"/>
                <w:bCs/>
                <w:kern w:val="0"/>
                <w:sz w:val="28"/>
                <w:szCs w:val="28"/>
                <w:lang w:bidi="ar"/>
              </w:rPr>
              <w:t>以“数字化监管平台”作为破题路径，全面开展医疗设备廉洁合规监管平台建设。聚焦立项审批、效益分析等医疗设备全生命周期管理的关键环节，边使用、边升级、边优化，基本实现“四个转变”，即线下监管向线上监管转变、事后核查向事前预警转变、被动整改向主动规范转变、碎片监督向系统监管转变。在工作实践中持续完善监管平台各项功能，实现业务监督和纪检监督双融双促。</w:t>
            </w:r>
          </w:p>
          <w:p>
            <w:pPr>
              <w:spacing w:after="0"/>
              <w:ind w:firstLine="562"/>
              <w:rPr>
                <w:rFonts w:hint="eastAsia" w:hAnsi="宋体" w:cs="仿宋"/>
                <w:kern w:val="0"/>
                <w:sz w:val="28"/>
                <w:szCs w:val="28"/>
              </w:rPr>
            </w:pPr>
            <w:r>
              <w:rPr>
                <w:rFonts w:hint="eastAsia" w:hAnsi="仿宋_GB2312" w:cs="仿宋_GB2312"/>
                <w:b/>
                <w:sz w:val="28"/>
                <w:szCs w:val="28"/>
                <w:lang w:bidi="ar"/>
              </w:rPr>
              <w:t>卫健系统招采监管系统：</w:t>
            </w:r>
            <w:r>
              <w:rPr>
                <w:rFonts w:hint="eastAsia" w:hAnsi="仿宋_GB2312" w:cs="仿宋_GB2312"/>
                <w:bCs/>
                <w:sz w:val="28"/>
                <w:szCs w:val="28"/>
                <w:lang w:bidi="ar"/>
              </w:rPr>
              <w:t>以统一、高效、智能、合规的招标采购全流程为核心，建设全区各卫生医疗机构采购工作信息化管理平台。项目解决当前医院采购管理中可能存在流程分散、标准不一、数据孤岛、效率低下以及潜在的合规风险。实现对设备、服务、货物、工程、试剂耗材等所有采购类型的全生命周期闭环管理，打通从需求发起、计划审批、招投标、专家评审、合同签订到履约付款等各个环节并透明化。帮助医院实现精细化运营，并为医疗业务的高效运转和流程合规监管提供强有力的数据支撑。</w:t>
            </w:r>
          </w:p>
        </w:tc>
      </w:tr>
      <w:bookmarkEnd w:id="83"/>
    </w:tbl>
    <w:p>
      <w:pPr>
        <w:pStyle w:val="3"/>
        <w:keepNext w:val="0"/>
        <w:keepLines w:val="0"/>
        <w:spacing w:after="0"/>
        <w:ind w:firstLine="640"/>
        <w:jc w:val="left"/>
      </w:pPr>
      <w:bookmarkStart w:id="90" w:name="_Toc230463251"/>
      <w:bookmarkStart w:id="91" w:name="_Toc217379420"/>
      <w:r>
        <w:rPr>
          <w:rFonts w:hint="eastAsia"/>
        </w:rPr>
        <w:t>五、保障措施</w:t>
      </w:r>
      <w:bookmarkEnd w:id="82"/>
      <w:bookmarkEnd w:id="90"/>
      <w:bookmarkEnd w:id="91"/>
    </w:p>
    <w:p>
      <w:pPr>
        <w:pStyle w:val="5"/>
        <w:keepNext w:val="0"/>
        <w:keepLines w:val="0"/>
        <w:spacing w:after="0"/>
        <w:ind w:firstLine="640"/>
        <w:jc w:val="left"/>
      </w:pPr>
      <w:bookmarkStart w:id="92" w:name="_Toc217379421"/>
      <w:bookmarkStart w:id="93" w:name="_Toc230463252"/>
      <w:bookmarkStart w:id="94" w:name="_Toc206526519"/>
      <w:r>
        <w:rPr>
          <w:rFonts w:hint="eastAsia"/>
        </w:rPr>
        <w:t>（一）加强组织领导</w:t>
      </w:r>
      <w:bookmarkEnd w:id="92"/>
      <w:bookmarkEnd w:id="93"/>
      <w:bookmarkEnd w:id="94"/>
    </w:p>
    <w:p>
      <w:pPr>
        <w:pStyle w:val="88"/>
        <w:ind w:firstLine="640"/>
        <w:jc w:val="left"/>
        <w:rPr>
          <w:rFonts w:ascii="宋体" w:hAnsi="Courier New"/>
          <w:szCs w:val="21"/>
        </w:rPr>
      </w:pPr>
      <w:r>
        <w:rPr>
          <w:rFonts w:hint="eastAsia" w:ascii="宋体" w:hAnsi="Courier New"/>
          <w:szCs w:val="21"/>
        </w:rPr>
        <w:t>加强党对卫生健康事业发展的领导，强化政府宏观调控职能，发挥政府对区域卫生健康事业发展规划落实的组织领导责任。建立工作目标责任制，根据“十五五”规划目标和重点任务，分解任务到相关部门，明确部门责任与实施策略，强化规划落实，切实维护规划的权威性和严肃性。</w:t>
      </w:r>
    </w:p>
    <w:p>
      <w:pPr>
        <w:pStyle w:val="5"/>
        <w:keepNext w:val="0"/>
        <w:keepLines w:val="0"/>
        <w:spacing w:after="0"/>
        <w:ind w:firstLine="640"/>
        <w:jc w:val="left"/>
      </w:pPr>
      <w:bookmarkStart w:id="95" w:name="_Toc230463253"/>
      <w:bookmarkStart w:id="96" w:name="_Toc217379422"/>
      <w:bookmarkStart w:id="97" w:name="_Toc206526520"/>
      <w:r>
        <w:rPr>
          <w:rFonts w:hint="eastAsia"/>
        </w:rPr>
        <w:t>（二）完善财政投入</w:t>
      </w:r>
      <w:bookmarkEnd w:id="95"/>
      <w:bookmarkEnd w:id="96"/>
      <w:bookmarkEnd w:id="97"/>
    </w:p>
    <w:p>
      <w:pPr>
        <w:pStyle w:val="47"/>
        <w:spacing w:after="0"/>
        <w:ind w:firstLine="640"/>
        <w:jc w:val="left"/>
      </w:pPr>
      <w:r>
        <w:rPr>
          <w:rFonts w:hint="eastAsia"/>
        </w:rPr>
        <w:t>完善政府主导的多元化卫生筹资机制，强化政府对卫生健康基本公共服务的投入责任，探索差异化补助机制，健全完善区属医院绩效考核机制，建立与绩效考核结果紧密挂钩的差异化财政补助机制，更好发挥财政性资金对促进分级诊疗、提升基层首诊能力、保障可持续发展的“指挥棒”作用。引导社会资金参与发展卫生健康事业。建立适应医药卫生体制改革、符合区域经济发展水平的卫生健康服务投入机制，实现医疗卫生财政投入增速与全区经济社会发展水平相匹配，保障卫生健康事业发展顺利推进。</w:t>
      </w:r>
    </w:p>
    <w:p>
      <w:pPr>
        <w:pStyle w:val="47"/>
        <w:spacing w:after="0"/>
        <w:ind w:firstLine="640"/>
        <w:jc w:val="left"/>
        <w:rPr>
          <w:rFonts w:hint="eastAsia" w:ascii="楷体_GB2312" w:hAnsi="楷体_GB2312" w:eastAsia="楷体_GB2312" w:cs="楷体_GB2312"/>
        </w:rPr>
      </w:pPr>
      <w:r>
        <w:rPr>
          <w:rFonts w:hint="eastAsia" w:ascii="楷体_GB2312" w:hAnsi="楷体_GB2312" w:eastAsia="楷体_GB2312" w:cs="楷体_GB2312"/>
        </w:rPr>
        <w:t>（三）</w:t>
      </w:r>
      <w:bookmarkStart w:id="98" w:name="_Toc217379423"/>
      <w:bookmarkStart w:id="99" w:name="_Toc206526521"/>
      <w:r>
        <w:rPr>
          <w:rFonts w:hint="eastAsia" w:ascii="楷体_GB2312" w:hAnsi="楷体_GB2312" w:eastAsia="楷体_GB2312" w:cs="楷体_GB2312"/>
        </w:rPr>
        <w:t>加强监测评估</w:t>
      </w:r>
      <w:bookmarkEnd w:id="98"/>
      <w:bookmarkEnd w:id="99"/>
    </w:p>
    <w:p>
      <w:pPr>
        <w:pStyle w:val="47"/>
        <w:numPr>
          <w:ilvl w:val="255"/>
          <w:numId w:val="0"/>
        </w:numPr>
        <w:spacing w:after="0"/>
        <w:ind w:firstLine="640" w:firstLineChars="200"/>
        <w:jc w:val="left"/>
      </w:pPr>
      <w:r>
        <w:rPr>
          <w:rFonts w:hint="eastAsia"/>
        </w:rPr>
        <w:t>强化对本规划的监督和评价，建立卫生健康事业规划监测评估机制，定期对规划实施进度和实施效果开展全面评估，及时发现实施中存在的问题，加强督导和纠偏，及时研究解决办法，确保规划目标的实现。监督重大项目的执行情况。完善规划中期和终期评估制度。各有关部门和单位按照职责分工，建立工作责任制。实施本规划提出的发展目标和任务，并列入本系统和本单位的目标责任制考核体系。</w:t>
      </w:r>
    </w:p>
    <w:p>
      <w:pPr>
        <w:pStyle w:val="47"/>
        <w:ind w:firstLine="640" w:firstLineChars="0"/>
        <w:jc w:val="left"/>
      </w:pPr>
    </w:p>
    <w:p>
      <w:pPr>
        <w:adjustRightInd w:val="0"/>
        <w:snapToGrid w:val="0"/>
        <w:spacing w:after="0"/>
        <w:ind w:firstLine="640"/>
        <w:jc w:val="left"/>
        <w:rPr>
          <w:rFonts w:hint="eastAsia" w:hAnsi="宋体"/>
          <w:szCs w:val="32"/>
        </w:rPr>
      </w:pPr>
      <w:bookmarkStart w:id="100" w:name="_Toc217379424"/>
      <w:r>
        <w:rPr>
          <w:rFonts w:hint="eastAsia" w:hAnsi="宋体"/>
          <w:szCs w:val="32"/>
        </w:rPr>
        <w:t>附件：1.深圳市龙华区卫生健康事业发展“十五五”规划</w:t>
      </w:r>
      <w:bookmarkEnd w:id="100"/>
      <w:bookmarkStart w:id="101" w:name="_Toc217379425"/>
    </w:p>
    <w:p>
      <w:pPr>
        <w:adjustRightInd w:val="0"/>
        <w:snapToGrid w:val="0"/>
        <w:spacing w:after="0"/>
        <w:ind w:firstLine="1856" w:firstLineChars="580"/>
        <w:jc w:val="left"/>
        <w:rPr>
          <w:rFonts w:hint="eastAsia" w:hAnsi="宋体"/>
          <w:szCs w:val="32"/>
        </w:rPr>
      </w:pPr>
      <w:r>
        <w:rPr>
          <w:rFonts w:hint="eastAsia" w:hAnsi="宋体"/>
          <w:szCs w:val="32"/>
        </w:rPr>
        <w:t>指标解释</w:t>
      </w:r>
      <w:bookmarkEnd w:id="101"/>
    </w:p>
    <w:p>
      <w:pPr>
        <w:adjustRightInd w:val="0"/>
        <w:snapToGrid w:val="0"/>
        <w:spacing w:after="0"/>
        <w:ind w:firstLine="1568" w:firstLineChars="490"/>
        <w:jc w:val="left"/>
        <w:rPr>
          <w:rFonts w:hint="eastAsia" w:hAnsi="宋体"/>
          <w:szCs w:val="32"/>
        </w:rPr>
      </w:pPr>
      <w:r>
        <w:rPr>
          <w:rFonts w:hint="eastAsia" w:hAnsi="宋体"/>
          <w:szCs w:val="32"/>
        </w:rPr>
        <w:t>2.深圳市龙华区卫生健康事业发展“十五五”规划</w:t>
      </w:r>
    </w:p>
    <w:p>
      <w:pPr>
        <w:adjustRightInd w:val="0"/>
        <w:snapToGrid w:val="0"/>
        <w:spacing w:after="0"/>
        <w:ind w:firstLine="1888" w:firstLineChars="590"/>
        <w:jc w:val="left"/>
        <w:rPr>
          <w:rFonts w:hint="eastAsia" w:hAnsi="宋体"/>
          <w:szCs w:val="32"/>
        </w:rPr>
        <w:sectPr>
          <w:footerReference r:id="rId11" w:type="default"/>
          <w:pgSz w:w="11906" w:h="16838"/>
          <w:pgMar w:top="2098" w:right="1474" w:bottom="1474" w:left="1587" w:header="851" w:footer="992" w:gutter="0"/>
          <w:pgNumType w:fmt="decimal" w:start="1"/>
          <w:cols w:space="0" w:num="1"/>
          <w:docGrid w:type="linesAndChars" w:linePitch="312" w:charSpace="0"/>
        </w:sectPr>
      </w:pPr>
      <w:r>
        <w:rPr>
          <w:rFonts w:hint="eastAsia" w:hAnsi="宋体"/>
          <w:szCs w:val="32"/>
        </w:rPr>
        <w:t>重大项目</w:t>
      </w:r>
    </w:p>
    <w:p>
      <w:pPr>
        <w:pStyle w:val="3"/>
        <w:keepNext w:val="0"/>
        <w:keepLines w:val="0"/>
        <w:spacing w:after="0"/>
        <w:ind w:firstLine="0" w:firstLineChars="0"/>
        <w:jc w:val="left"/>
        <w:rPr>
          <w:rFonts w:hint="eastAsia" w:hAnsi="黑体" w:cs="黑体"/>
          <w:bCs w:val="0"/>
          <w:color w:val="000000" w:themeColor="text1"/>
          <w:kern w:val="2"/>
          <w:szCs w:val="32"/>
          <w:lang w:val="en" w:bidi="ar"/>
          <w14:textFill>
            <w14:solidFill>
              <w14:schemeClr w14:val="tx1"/>
            </w14:solidFill>
          </w14:textFill>
        </w:rPr>
      </w:pPr>
      <w:bookmarkStart w:id="102" w:name="_Toc1322604909"/>
      <w:bookmarkStart w:id="103" w:name="_Toc217379426"/>
      <w:bookmarkStart w:id="104" w:name="_Toc230463254"/>
      <w:r>
        <w:rPr>
          <w:rFonts w:hint="eastAsia" w:hAnsi="黑体" w:cs="黑体"/>
          <w:bCs w:val="0"/>
          <w:color w:val="000000" w:themeColor="text1"/>
          <w:kern w:val="2"/>
          <w:szCs w:val="32"/>
          <w:lang w:val="en" w:bidi="ar"/>
          <w14:textFill>
            <w14:solidFill>
              <w14:schemeClr w14:val="tx1"/>
            </w14:solidFill>
          </w14:textFill>
        </w:rPr>
        <w:t>附件</w:t>
      </w:r>
      <w:bookmarkEnd w:id="102"/>
      <w:bookmarkEnd w:id="103"/>
      <w:r>
        <w:rPr>
          <w:rFonts w:hint="eastAsia" w:hAnsi="黑体" w:cs="黑体"/>
          <w:bCs w:val="0"/>
          <w:color w:val="000000" w:themeColor="text1"/>
          <w:kern w:val="2"/>
          <w:szCs w:val="32"/>
          <w:lang w:val="en" w:bidi="ar"/>
          <w14:textFill>
            <w14:solidFill>
              <w14:schemeClr w14:val="tx1"/>
            </w14:solidFill>
          </w14:textFill>
        </w:rPr>
        <w:t>1</w:t>
      </w:r>
      <w:bookmarkEnd w:id="104"/>
    </w:p>
    <w:p>
      <w:pPr>
        <w:pStyle w:val="3"/>
        <w:keepNext w:val="0"/>
        <w:keepLines w:val="0"/>
        <w:spacing w:after="0"/>
        <w:ind w:firstLine="0" w:firstLineChars="0"/>
        <w:jc w:val="left"/>
        <w:rPr>
          <w:rFonts w:hint="eastAsia" w:hAnsi="黑体" w:cs="黑体"/>
          <w:bCs w:val="0"/>
          <w:color w:val="000000" w:themeColor="text1"/>
          <w:kern w:val="2"/>
          <w:szCs w:val="32"/>
          <w:lang w:val="en" w:bidi="ar"/>
          <w14:textFill>
            <w14:solidFill>
              <w14:schemeClr w14:val="tx1"/>
            </w14:solidFill>
          </w14:textFill>
        </w:rPr>
      </w:pPr>
    </w:p>
    <w:p>
      <w:pPr>
        <w:pStyle w:val="97"/>
        <w:pBdr>
          <w:top w:val="none" w:color="auto" w:sz="0" w:space="1"/>
          <w:left w:val="none" w:color="auto" w:sz="0" w:space="4"/>
          <w:bottom w:val="none" w:color="auto" w:sz="0" w:space="1"/>
          <w:right w:val="none" w:color="auto" w:sz="0" w:space="4"/>
        </w:pBdr>
        <w:spacing w:after="0" w:line="578" w:lineRule="exact"/>
        <w:ind w:firstLine="0" w:firstLineChars="0"/>
        <w:jc w:val="center"/>
        <w:rPr>
          <w:rFonts w:hint="eastAsia" w:ascii="方正小标宋_GBK" w:hAnsi="方正小标宋_GBK" w:eastAsia="方正小标宋_GBK" w:cs="方正小标宋_GBK"/>
          <w:color w:val="000000" w:themeColor="text1"/>
          <w:sz w:val="44"/>
          <w:szCs w:val="44"/>
          <w:lang w:bidi="ar"/>
          <w14:textFill>
            <w14:solidFill>
              <w14:schemeClr w14:val="tx1"/>
            </w14:solidFill>
          </w14:textFill>
        </w:rPr>
      </w:pPr>
      <w:bookmarkStart w:id="105" w:name="OLE_LINK2"/>
      <w:r>
        <w:rPr>
          <w:rFonts w:hint="eastAsia" w:ascii="方正小标宋_GBK" w:hAnsi="方正小标宋_GBK" w:eastAsia="方正小标宋_GBK" w:cs="方正小标宋_GBK"/>
          <w:color w:val="000000" w:themeColor="text1"/>
          <w:sz w:val="44"/>
          <w:szCs w:val="44"/>
          <w:lang w:bidi="ar"/>
          <w14:textFill>
            <w14:solidFill>
              <w14:schemeClr w14:val="tx1"/>
            </w14:solidFill>
          </w14:textFill>
        </w:rPr>
        <w:t>深圳市龙华区卫生健康事业发展</w:t>
      </w:r>
    </w:p>
    <w:p>
      <w:pPr>
        <w:pStyle w:val="97"/>
        <w:pBdr>
          <w:top w:val="none" w:color="auto" w:sz="0" w:space="1"/>
          <w:left w:val="none" w:color="auto" w:sz="0" w:space="4"/>
          <w:bottom w:val="none" w:color="auto" w:sz="0" w:space="1"/>
          <w:right w:val="none" w:color="auto" w:sz="0" w:space="4"/>
        </w:pBdr>
        <w:spacing w:after="0" w:line="578" w:lineRule="exact"/>
        <w:ind w:firstLine="0" w:firstLineChars="0"/>
        <w:jc w:val="center"/>
        <w:rPr>
          <w:rFonts w:hint="eastAsia" w:ascii="方正小标宋_GBK" w:hAnsi="方正小标宋_GBK" w:eastAsia="方正小标宋_GBK" w:cs="方正小标宋_GBK"/>
          <w:color w:val="000000" w:themeColor="text1"/>
          <w:sz w:val="44"/>
          <w:szCs w:val="44"/>
          <w:lang w:bidi="ar"/>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bidi="ar"/>
          <w14:textFill>
            <w14:solidFill>
              <w14:schemeClr w14:val="tx1"/>
            </w14:solidFill>
          </w14:textFill>
        </w:rPr>
        <w:t>“十五五”规划指标解释</w:t>
      </w:r>
      <w:bookmarkEnd w:id="105"/>
    </w:p>
    <w:p>
      <w:pPr>
        <w:pStyle w:val="35"/>
        <w:pBdr>
          <w:top w:val="none" w:color="auto" w:sz="0" w:space="1"/>
          <w:left w:val="none" w:color="auto" w:sz="0" w:space="4"/>
          <w:bottom w:val="none" w:color="auto" w:sz="0" w:space="1"/>
          <w:right w:val="none" w:color="auto" w:sz="0" w:space="4"/>
        </w:pBdr>
        <w:spacing w:after="0" w:line="578" w:lineRule="exact"/>
        <w:ind w:firstLine="640"/>
        <w:jc w:val="left"/>
      </w:pP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color w:val="000000" w:themeColor="text1"/>
          <w:szCs w:val="32"/>
          <w:lang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1.人均预期寿命（岁）：</w:t>
      </w:r>
      <w:r>
        <w:rPr>
          <w:rFonts w:hint="eastAsia" w:ascii="仿宋_GB2312" w:hAnsi="仿宋_GB2312" w:eastAsia="仿宋_GB2312" w:cs="仿宋_GB2312"/>
          <w:color w:val="000000" w:themeColor="text1"/>
          <w:szCs w:val="32"/>
          <w:lang w:bidi="ar"/>
          <w14:textFill>
            <w14:solidFill>
              <w14:schemeClr w14:val="tx1"/>
            </w14:solidFill>
          </w14:textFill>
        </w:rPr>
        <w:t>通常指同时出生的一代人，预期可存活的平均年数，即出生预期寿命。该指标是衡量一个国家或地区经济社会发展水平、医疗卫生服务水平等的综合指标。</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color w:val="000000" w:themeColor="text1"/>
          <w:szCs w:val="32"/>
          <w:lang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2.居民健康素养水平（%）</w:t>
      </w:r>
      <w:r>
        <w:rPr>
          <w:rFonts w:hint="eastAsia" w:ascii="仿宋_GB2312" w:hAnsi="仿宋_GB2312" w:eastAsia="仿宋_GB2312" w:cs="仿宋_GB2312"/>
          <w:b/>
          <w:bCs/>
          <w:color w:val="000000" w:themeColor="text1"/>
          <w:szCs w:val="32"/>
          <w:lang w:val="en" w:bidi="ar"/>
          <w14:textFill>
            <w14:solidFill>
              <w14:schemeClr w14:val="tx1"/>
            </w14:solidFill>
          </w14:textFill>
        </w:rPr>
        <w:t>：</w:t>
      </w:r>
      <w:r>
        <w:rPr>
          <w:rFonts w:ascii="仿宋_GB2312" w:hAnsi="仿宋_GB2312" w:eastAsia="仿宋_GB2312" w:cs="仿宋_GB2312"/>
          <w:color w:val="000000" w:themeColor="text1"/>
          <w:szCs w:val="32"/>
          <w:lang w:val="en" w:bidi="ar"/>
          <w14:textFill>
            <w14:solidFill>
              <w14:schemeClr w14:val="tx1"/>
            </w14:solidFill>
          </w14:textFill>
        </w:rPr>
        <w:t>健康素养是指个人获取和理解基本健康信息和服务，并运用这些信息和服务做出正确决策，以维护和促进自身健康的能力。通过《全国居民健康素养监测调查问卷》对非集体居住的15</w:t>
      </w:r>
      <w:r>
        <w:rPr>
          <w:rFonts w:hint="eastAsia" w:ascii="仿宋_GB2312" w:hAnsi="仿宋_GB2312" w:eastAsia="仿宋_GB2312" w:cs="仿宋_GB2312"/>
          <w:color w:val="000000" w:themeColor="text1"/>
          <w:szCs w:val="32"/>
          <w:lang w:val="en" w:bidi="ar"/>
          <w14:textFill>
            <w14:solidFill>
              <w14:schemeClr w14:val="tx1"/>
            </w14:solidFill>
          </w14:textFill>
        </w:rPr>
        <w:t>—</w:t>
      </w:r>
      <w:r>
        <w:rPr>
          <w:rFonts w:ascii="仿宋_GB2312" w:hAnsi="仿宋_GB2312" w:eastAsia="仿宋_GB2312" w:cs="仿宋_GB2312"/>
          <w:color w:val="000000" w:themeColor="text1"/>
          <w:szCs w:val="32"/>
          <w:lang w:val="en" w:bidi="ar"/>
          <w14:textFill>
            <w14:solidFill>
              <w14:schemeClr w14:val="tx1"/>
            </w14:solidFill>
          </w14:textFill>
        </w:rPr>
        <w:t>69岁常住人口进行监测，得分达到总分80%及以上，被判定具备基本健康素养。居民健康素养水平=具备基本健康素养的人数/监测人群总人数×100%。</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color w:val="000000" w:themeColor="text1"/>
          <w:szCs w:val="32"/>
          <w:lang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3.婴儿死亡率（‰）：</w:t>
      </w:r>
      <w:r>
        <w:rPr>
          <w:rFonts w:hint="eastAsia" w:ascii="仿宋_GB2312" w:hAnsi="仿宋_GB2312" w:eastAsia="仿宋_GB2312" w:cs="仿宋_GB2312"/>
          <w:color w:val="000000" w:themeColor="text1"/>
          <w:szCs w:val="32"/>
          <w:lang w:bidi="ar"/>
          <w14:textFill>
            <w14:solidFill>
              <w14:schemeClr w14:val="tx1"/>
            </w14:solidFill>
          </w14:textFill>
        </w:rPr>
        <w:t>指年内一定地区出生至不满1周岁的活产婴儿死亡的比例（按常住人口统计）。活产是指妊娠满28周，胎儿娩出后有心跳、呼吸、脐带搏动、随意肌收缩4项生命指标之一者，如孕周不清楚，以出生体重（≥1000克）为参考标准。婴儿死亡率=出生至不满1周岁的活产婴儿死亡数/某年某地区活产数×1000‰。</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color w:val="000000" w:themeColor="text1"/>
          <w:szCs w:val="32"/>
          <w:lang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4.孕产妇死亡率（1/10万）：</w:t>
      </w:r>
      <w:r>
        <w:rPr>
          <w:rFonts w:hint="eastAsia" w:ascii="仿宋_GB2312" w:hAnsi="仿宋_GB2312" w:eastAsia="仿宋_GB2312" w:cs="仿宋_GB2312"/>
          <w:color w:val="000000" w:themeColor="text1"/>
          <w:szCs w:val="32"/>
          <w:lang w:bidi="ar"/>
          <w14:textFill>
            <w14:solidFill>
              <w14:schemeClr w14:val="tx1"/>
            </w14:solidFill>
          </w14:textFill>
        </w:rPr>
        <w:t>指年内一定地区每10万名孕产妇死亡人数占同年活产数的比例（按常住人口统计）。孕产妇死亡指妇女在妊娠期至妊娠结束后42天以内，由于任何妊娠或妊娠处理有关的原因导致的死亡，但不包括意外原因死亡者。按国际通用计算方法，“孕产妇总数”以“活产数”代替。孕产妇死亡率=该年该地区孕产妇死亡人数/某年某地区活产数×10万/10万。</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color w:val="000000" w:themeColor="text1"/>
          <w:szCs w:val="32"/>
          <w:lang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5.重点癌症早诊率（%）：</w:t>
      </w:r>
      <w:r>
        <w:rPr>
          <w:rFonts w:hint="eastAsia" w:ascii="仿宋_GB2312" w:hAnsi="仿宋_GB2312" w:eastAsia="仿宋_GB2312" w:cs="仿宋_GB2312"/>
          <w:color w:val="000000" w:themeColor="text1"/>
          <w14:textFill>
            <w14:solidFill>
              <w14:schemeClr w14:val="tx1"/>
            </w14:solidFill>
          </w14:textFill>
        </w:rPr>
        <w:t>指本地区发现的重点癌症（肺癌、肝癌、胃癌、食管癌、大肠癌、乳腺癌、宫颈癌）患者中患早期癌的比例。重点癌症早诊率=重点癌症筛查发现的癌症患者中患早期癌的例数/筛查发现的患者总人数×100%。</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color w:val="000000" w:themeColor="text1"/>
          <w:szCs w:val="32"/>
          <w:lang w:val="en"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6.重大慢性病过早死亡率（%）：</w:t>
      </w:r>
      <w:r>
        <w:rPr>
          <w:rFonts w:hint="eastAsia" w:ascii="仿宋_GB2312" w:hAnsi="仿宋_GB2312" w:eastAsia="仿宋_GB2312" w:cs="仿宋_GB2312"/>
          <w:color w:val="000000" w:themeColor="text1"/>
          <w:szCs w:val="32"/>
          <w:lang w:bidi="ar"/>
          <w14:textFill>
            <w14:solidFill>
              <w14:schemeClr w14:val="tx1"/>
            </w14:solidFill>
          </w14:textFill>
        </w:rPr>
        <w:t>通常被称为慢性病早死概率，是指30—70岁（不包括70岁）人群因重大慢性病（心脑血管疾病、癌症、慢性呼吸系统疾病和糖尿病）导致的死亡概率。可通过30—69岁间四类慢性病的年龄组（5岁组）死亡率来推算</w:t>
      </w:r>
      <w:r>
        <w:rPr>
          <w:rFonts w:ascii="仿宋_GB2312" w:hAnsi="仿宋_GB2312" w:eastAsia="仿宋_GB2312" w:cs="仿宋_GB2312"/>
          <w:color w:val="000000" w:themeColor="text1"/>
          <w:szCs w:val="32"/>
          <w:lang w:val="en" w:bidi="ar"/>
          <w14:textFill>
            <w14:solidFill>
              <w14:schemeClr w14:val="tx1"/>
            </w14:solidFill>
          </w14:textFill>
        </w:rPr>
        <w:t>。</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color w:val="000000" w:themeColor="text1"/>
          <w:szCs w:val="32"/>
          <w:lang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7.每千人口拥有执业（助理）医师数（人）：</w:t>
      </w:r>
      <w:r>
        <w:rPr>
          <w:rFonts w:hint="eastAsia" w:ascii="仿宋_GB2312" w:hAnsi="仿宋_GB2312" w:eastAsia="仿宋_GB2312" w:cs="仿宋_GB2312"/>
          <w:color w:val="000000" w:themeColor="text1"/>
          <w:szCs w:val="32"/>
          <w14:textFill>
            <w14:solidFill>
              <w14:schemeClr w14:val="tx1"/>
            </w14:solidFill>
          </w14:textFill>
        </w:rPr>
        <w:t>指执业（助理）医师数与常住人口数（千人）之比。每千常住人口执业（助理）医师数=年内执业（助理）医师总数/常住人口数×1000。</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8.每10万人口拥有精神科执业（助理）医师数（人）：</w:t>
      </w:r>
      <w:r>
        <w:rPr>
          <w:rFonts w:hint="eastAsia" w:ascii="仿宋_GB2312" w:hAnsi="仿宋_GB2312" w:eastAsia="仿宋_GB2312" w:cs="仿宋_GB2312"/>
          <w:color w:val="000000" w:themeColor="text1"/>
          <w:szCs w:val="32"/>
          <w14:textFill>
            <w14:solidFill>
              <w14:schemeClr w14:val="tx1"/>
            </w14:solidFill>
          </w14:textFill>
        </w:rPr>
        <w:t>某一行政区域内精神科执业（助理）医师总数（含加注精神科执业范围的精神科转岗医师）与该行政区域内的常住人口（十万人）之比。每十万人口精神科执业（助理）医师数=精神科执业（助理）医师总数/常住人口×100000。</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color w:val="000000" w:themeColor="text1"/>
          <w:szCs w:val="32"/>
          <w:lang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9.每千人口拥有注册护士数（人）：</w:t>
      </w:r>
      <w:r>
        <w:rPr>
          <w:rFonts w:hint="eastAsia" w:ascii="仿宋_GB2312" w:hAnsi="仿宋_GB2312" w:eastAsia="仿宋_GB2312" w:cs="仿宋_GB2312"/>
          <w:color w:val="000000" w:themeColor="text1"/>
          <w:szCs w:val="32"/>
          <w14:textFill>
            <w14:solidFill>
              <w14:schemeClr w14:val="tx1"/>
            </w14:solidFill>
          </w14:textFill>
        </w:rPr>
        <w:t>指注册护士数与常住人口数（千人）之比。每千常住人口注册护士数=年内注册护士总数/常住人口数×1000。</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b/>
          <w:bCs/>
          <w:color w:val="000000" w:themeColor="text1"/>
          <w:szCs w:val="32"/>
          <w:lang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10.医护比：</w:t>
      </w:r>
      <w:r>
        <w:rPr>
          <w:rFonts w:hint="eastAsia" w:ascii="仿宋_GB2312" w:hAnsi="仿宋_GB2312" w:eastAsia="仿宋_GB2312" w:cs="仿宋_GB2312"/>
          <w:color w:val="000000" w:themeColor="text1"/>
          <w:szCs w:val="32"/>
          <w:lang w:bidi="ar"/>
          <w14:textFill>
            <w14:solidFill>
              <w14:schemeClr w14:val="tx1"/>
            </w14:solidFill>
          </w14:textFill>
        </w:rPr>
        <w:t>医护比是衡量一个地区医疗卫生服务体系人力资源配置合理性、医疗服务质量与患者安全的关键指标。医护比=执业（助理）医师总数与注册护士总数</w:t>
      </w:r>
      <w:r>
        <w:rPr>
          <w:rFonts w:hint="eastAsia" w:ascii="仿宋_GB2312" w:hAnsi="仿宋_GB2312" w:eastAsia="仿宋_GB2312" w:cs="仿宋_GB2312"/>
          <w:color w:val="000000" w:themeColor="text1"/>
          <w:szCs w:val="32"/>
          <w:lang w:val="en" w:bidi="ar"/>
          <w14:textFill>
            <w14:solidFill>
              <w14:schemeClr w14:val="tx1"/>
            </w14:solidFill>
          </w14:textFill>
        </w:rPr>
        <w:t>的比值</w:t>
      </w:r>
      <w:r>
        <w:rPr>
          <w:rFonts w:hint="eastAsia" w:ascii="仿宋_GB2312" w:hAnsi="仿宋_GB2312" w:eastAsia="仿宋_GB2312" w:cs="仿宋_GB2312"/>
          <w:color w:val="000000" w:themeColor="text1"/>
          <w:szCs w:val="32"/>
          <w:lang w:bidi="ar"/>
          <w14:textFill>
            <w14:solidFill>
              <w14:schemeClr w14:val="tx1"/>
            </w14:solidFill>
          </w14:textFill>
        </w:rPr>
        <w:t>。</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b/>
          <w:bCs/>
          <w:color w:val="000000" w:themeColor="text1"/>
          <w:szCs w:val="32"/>
          <w:lang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11.家庭医生重点人群签约服务覆盖率（%）：</w:t>
      </w:r>
      <w:r>
        <w:rPr>
          <w:rFonts w:hint="eastAsia" w:ascii="仿宋_GB2312" w:hAnsi="仿宋_GB2312" w:eastAsia="仿宋_GB2312" w:cs="仿宋_GB2312"/>
          <w:color w:val="000000" w:themeColor="text1"/>
          <w:szCs w:val="32"/>
          <w:lang w:bidi="ar"/>
          <w14:textFill>
            <w14:solidFill>
              <w14:schemeClr w14:val="tx1"/>
            </w14:solidFill>
          </w14:textFill>
        </w:rPr>
        <w:t>在特定统计时期内，区域内与家庭医生团队签署了服务协议的重点人群人数，占该地区重点人群总人口数的比例。</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b/>
          <w:bCs/>
          <w:color w:val="000000" w:themeColor="text1"/>
          <w:szCs w:val="32"/>
          <w:lang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12.社康机构诊疗量占全区总诊疗量比例（%）：</w:t>
      </w:r>
      <w:r>
        <w:rPr>
          <w:rFonts w:hint="eastAsia" w:ascii="仿宋_GB2312" w:hAnsi="仿宋_GB2312" w:eastAsia="仿宋_GB2312" w:cs="仿宋_GB2312"/>
          <w:color w:val="000000" w:themeColor="text1"/>
          <w:szCs w:val="32"/>
          <w:lang w:bidi="ar"/>
          <w14:textFill>
            <w14:solidFill>
              <w14:schemeClr w14:val="tx1"/>
            </w14:solidFill>
          </w14:textFill>
        </w:rPr>
        <w:t>衡量分级诊疗制度实施效果和医疗卫生资源利用结构的核心指标。社康机构诊疗量占比=(社康机构总诊疗人次数/全区医疗卫生机构总诊疗人次数)×100%。</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color w:val="000000" w:themeColor="text1"/>
          <w:szCs w:val="32"/>
          <w:lang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13.3岁以下婴幼儿入托率(%):</w:t>
      </w:r>
      <w:r>
        <w:rPr>
          <w:rFonts w:hint="eastAsia" w:ascii="仿宋_GB2312" w:hAnsi="仿宋_GB2312" w:eastAsia="仿宋_GB2312" w:cs="仿宋_GB2312"/>
          <w:color w:val="000000" w:themeColor="text1"/>
          <w:szCs w:val="32"/>
          <w:lang w:bidi="ar"/>
          <w14:textFill>
            <w14:solidFill>
              <w14:schemeClr w14:val="tx1"/>
            </w14:solidFill>
          </w14:textFill>
        </w:rPr>
        <w:t>3岁以下婴幼儿入托率=3岁以下婴幼儿入托人数/3岁以下婴幼儿总数x100%。</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b/>
          <w:bCs/>
          <w:color w:val="000000" w:themeColor="text1"/>
          <w:szCs w:val="32"/>
          <w:lang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14.国家三级公立医疗机构绩效监测达到A等次及以上机构数（个）：</w:t>
      </w:r>
    </w:p>
    <w:p>
      <w:pPr>
        <w:pStyle w:val="35"/>
        <w:pBdr>
          <w:top w:val="none" w:color="auto" w:sz="0" w:space="1"/>
          <w:left w:val="none" w:color="auto" w:sz="0" w:space="4"/>
          <w:bottom w:val="none" w:color="auto" w:sz="0" w:space="1"/>
          <w:right w:val="none" w:color="auto" w:sz="0" w:space="4"/>
        </w:pBdr>
        <w:topLinePunct/>
        <w:spacing w:after="0"/>
        <w:ind w:firstLine="640"/>
        <w:rPr>
          <w:rFonts w:hint="eastAsia" w:ascii="仿宋_GB2312" w:hAnsi="仿宋_GB2312" w:eastAsia="仿宋_GB2312" w:cs="仿宋_GB2312"/>
          <w:color w:val="000000" w:themeColor="text1"/>
          <w:szCs w:val="32"/>
          <w:lang w:bidi="ar"/>
          <w14:textFill>
            <w14:solidFill>
              <w14:schemeClr w14:val="tx1"/>
            </w14:solidFill>
          </w14:textFill>
        </w:rPr>
      </w:pPr>
      <w:r>
        <w:rPr>
          <w:rFonts w:hint="eastAsia" w:ascii="仿宋_GB2312" w:hAnsi="仿宋_GB2312" w:eastAsia="仿宋_GB2312" w:cs="仿宋_GB2312"/>
          <w:color w:val="000000" w:themeColor="text1"/>
          <w:szCs w:val="32"/>
          <w:lang w:bidi="ar"/>
          <w14:textFill>
            <w14:solidFill>
              <w14:schemeClr w14:val="tx1"/>
            </w14:solidFill>
          </w14:textFill>
        </w:rPr>
        <w:t>本指标包含西医类医院（综合医院、专科医院）、中医医院、妇幼保健院，各类别医院的评价标准如下：</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color w:val="000000" w:themeColor="text1"/>
          <w:szCs w:val="32"/>
          <w:lang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西医类医院：</w:t>
      </w:r>
      <w:r>
        <w:rPr>
          <w:rFonts w:hint="eastAsia" w:ascii="仿宋_GB2312" w:hAnsi="仿宋_GB2312" w:eastAsia="仿宋_GB2312" w:cs="仿宋_GB2312"/>
          <w:color w:val="000000" w:themeColor="text1"/>
          <w:szCs w:val="32"/>
          <w:lang w:bidi="ar"/>
          <w14:textFill>
            <w14:solidFill>
              <w14:schemeClr w14:val="tx1"/>
            </w14:solidFill>
          </w14:textFill>
        </w:rPr>
        <w:t>根据《国务院办公厅关于加强三级公立医院绩效考核工作的意见》，三级公立医院绩效考核指标体系由医疗质量、运营效率、持续发展、满意度评价等4个方面的指标构成。</w:t>
      </w:r>
      <w:r>
        <w:rPr>
          <w:rFonts w:hint="eastAsia" w:ascii="仿宋_GB2312" w:hAnsi="仿宋_GB2312" w:eastAsia="仿宋_GB2312" w:cs="仿宋_GB2312"/>
          <w:b/>
          <w:bCs/>
          <w:color w:val="000000" w:themeColor="text1"/>
          <w:szCs w:val="32"/>
          <w:lang w:bidi="ar"/>
          <w14:textFill>
            <w14:solidFill>
              <w14:schemeClr w14:val="tx1"/>
            </w14:solidFill>
          </w14:textFill>
        </w:rPr>
        <w:t>西医综合医院（三级九等）</w:t>
      </w:r>
      <w:r>
        <w:rPr>
          <w:rFonts w:hint="eastAsia" w:ascii="仿宋_GB2312" w:hAnsi="仿宋_GB2312" w:eastAsia="仿宋_GB2312" w:cs="仿宋_GB2312"/>
          <w:color w:val="000000" w:themeColor="text1"/>
          <w:szCs w:val="32"/>
          <w:lang w:bidi="ar"/>
          <w14:textFill>
            <w14:solidFill>
              <w14:schemeClr w14:val="tx1"/>
            </w14:solidFill>
          </w14:textFill>
        </w:rPr>
        <w:t>，得分排名位于前1%的等级为A++，位于前1%—10%的等级为A+，10%—20%为A；20%—35%为B++，35%—50%为B+，50%—75%为B；75%—85%为C++，85%—95%为C+，95%—100%为C。</w:t>
      </w:r>
      <w:r>
        <w:rPr>
          <w:rFonts w:hint="eastAsia" w:ascii="仿宋_GB2312" w:hAnsi="仿宋_GB2312" w:eastAsia="仿宋_GB2312" w:cs="仿宋_GB2312"/>
          <w:b/>
          <w:bCs/>
          <w:color w:val="000000" w:themeColor="text1"/>
          <w:szCs w:val="32"/>
          <w:lang w:bidi="ar"/>
          <w14:textFill>
            <w14:solidFill>
              <w14:schemeClr w14:val="tx1"/>
            </w14:solidFill>
          </w14:textFill>
        </w:rPr>
        <w:t>西医其他类别医院（三级）</w:t>
      </w:r>
      <w:r>
        <w:rPr>
          <w:rFonts w:hint="eastAsia" w:ascii="仿宋_GB2312" w:hAnsi="仿宋_GB2312" w:eastAsia="仿宋_GB2312" w:cs="仿宋_GB2312"/>
          <w:color w:val="000000" w:themeColor="text1"/>
          <w:szCs w:val="32"/>
          <w:lang w:bidi="ar"/>
          <w14:textFill>
            <w14:solidFill>
              <w14:schemeClr w14:val="tx1"/>
            </w14:solidFill>
          </w14:textFill>
        </w:rPr>
        <w:t>，得分排名前20%为A；20%—75%为B；75%—100%为C。</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color w:val="000000" w:themeColor="text1"/>
          <w:szCs w:val="32"/>
          <w:lang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中医类医院（含中西医结合医院）：</w:t>
      </w:r>
      <w:r>
        <w:rPr>
          <w:rFonts w:hint="eastAsia" w:ascii="仿宋_GB2312" w:hAnsi="仿宋_GB2312" w:eastAsia="仿宋_GB2312" w:cs="仿宋_GB2312"/>
          <w:color w:val="000000" w:themeColor="text1"/>
          <w:szCs w:val="32"/>
          <w:lang w:bidi="ar"/>
          <w14:textFill>
            <w14:solidFill>
              <w14:schemeClr w14:val="tx1"/>
            </w14:solidFill>
          </w14:textFill>
        </w:rPr>
        <w:t>国家中医药管理局根据《国务院办公厅关于加强三级公立医院绩效考核工作的意见》，制定《三级公立中医医院绩效考核指标》，指标体系覆盖医疗质量、运营效率、持续发展、满意度评价等4个方面。</w:t>
      </w:r>
      <w:r>
        <w:rPr>
          <w:rFonts w:hint="eastAsia" w:ascii="仿宋_GB2312" w:hAnsi="仿宋_GB2312" w:eastAsia="仿宋_GB2312" w:cs="仿宋_GB2312"/>
          <w:b/>
          <w:bCs/>
          <w:color w:val="000000" w:themeColor="text1"/>
          <w:szCs w:val="32"/>
          <w:lang w:bidi="ar"/>
          <w14:textFill>
            <w14:solidFill>
              <w14:schemeClr w14:val="tx1"/>
            </w14:solidFill>
          </w14:textFill>
        </w:rPr>
        <w:t>中医类医院（三级六等）</w:t>
      </w:r>
      <w:r>
        <w:rPr>
          <w:rFonts w:hint="eastAsia" w:ascii="仿宋_GB2312" w:hAnsi="仿宋_GB2312" w:eastAsia="仿宋_GB2312" w:cs="仿宋_GB2312"/>
          <w:color w:val="000000" w:themeColor="text1"/>
          <w:szCs w:val="32"/>
          <w:lang w:bidi="ar"/>
          <w14:textFill>
            <w14:solidFill>
              <w14:schemeClr w14:val="tx1"/>
            </w14:solidFill>
          </w14:textFill>
        </w:rPr>
        <w:t>，得分排名位于前5%的等级为A+，5%—20%为A；20%—50%为B+，50%—75%为B；75%—95%为C+，95%—100%为C。</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color w:val="000000" w:themeColor="text1"/>
          <w:szCs w:val="32"/>
          <w:lang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妇幼保健机构：</w:t>
      </w:r>
      <w:r>
        <w:rPr>
          <w:rFonts w:hint="eastAsia" w:ascii="仿宋_GB2312" w:hAnsi="仿宋_GB2312" w:eastAsia="仿宋_GB2312" w:cs="仿宋_GB2312"/>
          <w:color w:val="000000" w:themeColor="text1"/>
          <w:szCs w:val="32"/>
          <w:lang w:bidi="ar"/>
          <w14:textFill>
            <w14:solidFill>
              <w14:schemeClr w14:val="tx1"/>
            </w14:solidFill>
          </w14:textFill>
        </w:rPr>
        <w:t>根据国家卫健委印发的《妇幼保健机构绩效考核办法》，妇幼保健机构绩效考核指标体系由辖区管理、服务提供、运行效率、持续发展、满意度评价等5个方面组成。得分排名前25%为A，25%—75%为B，75%—100%为C；同一级别分为三个等次，共三级九等。对发生重大负性事件的机构予以绩效考核降级等处理，社会影响恶劣的降为D级。</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color w:val="000000" w:themeColor="text1"/>
          <w:szCs w:val="32"/>
          <w:lang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15.</w:t>
      </w:r>
      <w:bookmarkStart w:id="106" w:name="OLE_LINK40"/>
      <w:r>
        <w:rPr>
          <w:rFonts w:hint="eastAsia" w:ascii="仿宋_GB2312" w:hAnsi="仿宋_GB2312" w:eastAsia="仿宋_GB2312" w:cs="仿宋_GB2312"/>
          <w:b/>
          <w:bCs/>
          <w:color w:val="000000" w:themeColor="text1"/>
          <w:szCs w:val="32"/>
          <w:lang w:bidi="ar"/>
          <w14:textFill>
            <w14:solidFill>
              <w14:schemeClr w14:val="tx1"/>
            </w14:solidFill>
          </w14:textFill>
        </w:rPr>
        <w:t>市级重点学科或特色专科</w:t>
      </w:r>
      <w:bookmarkEnd w:id="106"/>
      <w:r>
        <w:rPr>
          <w:rFonts w:hint="eastAsia" w:ascii="仿宋_GB2312" w:hAnsi="仿宋_GB2312" w:eastAsia="仿宋_GB2312" w:cs="仿宋_GB2312"/>
          <w:b/>
          <w:bCs/>
          <w:color w:val="000000" w:themeColor="text1"/>
          <w:szCs w:val="32"/>
          <w:lang w:bidi="ar"/>
          <w14:textFill>
            <w14:solidFill>
              <w14:schemeClr w14:val="tx1"/>
            </w14:solidFill>
          </w14:textFill>
        </w:rPr>
        <w:t>：</w:t>
      </w:r>
      <w:r>
        <w:rPr>
          <w:rFonts w:hint="eastAsia" w:ascii="仿宋_GB2312" w:hAnsi="仿宋_GB2312" w:eastAsia="仿宋_GB2312" w:cs="仿宋_GB2312"/>
          <w:color w:val="000000" w:themeColor="text1"/>
          <w:szCs w:val="32"/>
          <w:lang w:bidi="ar"/>
          <w14:textFill>
            <w14:solidFill>
              <w14:schemeClr w14:val="tx1"/>
            </w14:solidFill>
          </w14:textFill>
        </w:rPr>
        <w:t>经由市级卫生健康行政部门组织评审认定，在医疗、科研、教学等方面具有显著优势和特色，在本市范围内处于领先或先进水平的医学学科，包括市级重点学科、市级特色专科。</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color w:val="000000" w:themeColor="text1"/>
          <w:szCs w:val="32"/>
          <w:lang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16.开展国际医院评审认证医院数（家）</w:t>
      </w:r>
      <w:r>
        <w:rPr>
          <w:rFonts w:hint="eastAsia" w:ascii="仿宋_GB2312" w:hAnsi="仿宋_GB2312" w:eastAsia="仿宋_GB2312" w:cs="仿宋_GB2312"/>
          <w:b/>
          <w:bCs/>
          <w:color w:val="000000" w:themeColor="text1"/>
          <w:szCs w:val="32"/>
          <w:lang w:val="en" w:bidi="ar"/>
          <w14:textFill>
            <w14:solidFill>
              <w14:schemeClr w14:val="tx1"/>
            </w14:solidFill>
          </w14:textFill>
        </w:rPr>
        <w:t>：</w:t>
      </w:r>
      <w:r>
        <w:rPr>
          <w:rFonts w:hint="eastAsia" w:ascii="仿宋_GB2312" w:hAnsi="仿宋_GB2312" w:eastAsia="仿宋_GB2312" w:cs="仿宋_GB2312"/>
          <w:color w:val="000000" w:themeColor="text1"/>
          <w:szCs w:val="32"/>
          <w:lang w:val="en" w:bidi="ar"/>
          <w14:textFill>
            <w14:solidFill>
              <w14:schemeClr w14:val="tx1"/>
            </w14:solidFill>
          </w14:textFill>
        </w:rPr>
        <w:t>《国际医院评审认证标准（中国）》是深圳建立的与国际接轨的医院评审认证标准，获得国际医疗质量协会外部评审会（ISQuaEEA）的权威认证，是中国首个通过国际认证的医院评审标准，作为中国医院走向国际的“桥梁”。评估</w:t>
      </w:r>
      <w:r>
        <w:rPr>
          <w:rFonts w:hint="eastAsia" w:ascii="仿宋_GB2312" w:hAnsi="仿宋_GB2312" w:eastAsia="仿宋_GB2312" w:cs="仿宋_GB2312"/>
          <w:color w:val="000000" w:themeColor="text1"/>
          <w:szCs w:val="32"/>
          <w:lang w:bidi="ar"/>
          <w14:textFill>
            <w14:solidFill>
              <w14:schemeClr w14:val="tx1"/>
            </w14:solidFill>
          </w14:textFill>
        </w:rPr>
        <w:t>开展国际医院评审认证医院数</w:t>
      </w:r>
      <w:r>
        <w:rPr>
          <w:rFonts w:hint="eastAsia" w:ascii="仿宋_GB2312" w:hAnsi="仿宋_GB2312" w:eastAsia="仿宋_GB2312" w:cs="仿宋_GB2312"/>
          <w:color w:val="000000" w:themeColor="text1"/>
          <w:szCs w:val="32"/>
          <w:lang w:val="en" w:bidi="ar"/>
          <w14:textFill>
            <w14:solidFill>
              <w14:schemeClr w14:val="tx1"/>
            </w14:solidFill>
          </w14:textFill>
        </w:rPr>
        <w:t>可以反映区域医疗机构国际化建设进程。</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color w:val="000000" w:themeColor="text1"/>
          <w:szCs w:val="32"/>
          <w:lang w:val="en"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17.每年承接药械临床试验数（项）</w:t>
      </w:r>
      <w:r>
        <w:rPr>
          <w:rFonts w:hint="eastAsia" w:ascii="仿宋_GB2312" w:hAnsi="仿宋_GB2312" w:eastAsia="仿宋_GB2312" w:cs="仿宋_GB2312"/>
          <w:b/>
          <w:bCs/>
          <w:color w:val="000000" w:themeColor="text1"/>
          <w:szCs w:val="32"/>
          <w:lang w:val="en" w:bidi="ar"/>
          <w14:textFill>
            <w14:solidFill>
              <w14:schemeClr w14:val="tx1"/>
            </w14:solidFill>
          </w14:textFill>
        </w:rPr>
        <w:t>:</w:t>
      </w:r>
      <w:r>
        <w:rPr>
          <w:rFonts w:hint="eastAsia" w:ascii="仿宋_GB2312" w:hAnsi="仿宋_GB2312" w:eastAsia="仿宋_GB2312" w:cs="仿宋_GB2312"/>
          <w:color w:val="000000" w:themeColor="text1"/>
          <w:szCs w:val="32"/>
          <w:lang w:val="en" w:bidi="ar"/>
          <w14:textFill>
            <w14:solidFill>
              <w14:schemeClr w14:val="tx1"/>
            </w14:solidFill>
          </w14:textFill>
        </w:rPr>
        <w:t>全市医疗卫生机构每年承担企业发起的药械GCP项目数。</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color w:val="000000" w:themeColor="text1"/>
          <w:szCs w:val="32"/>
          <w:lang w:val="en"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18.AI赋能医疗健康场景典型应用推广数（项）</w:t>
      </w:r>
      <w:r>
        <w:rPr>
          <w:rFonts w:hint="eastAsia" w:ascii="仿宋_GB2312" w:hAnsi="仿宋_GB2312" w:eastAsia="仿宋_GB2312" w:cs="仿宋_GB2312"/>
          <w:b/>
          <w:bCs/>
          <w:color w:val="000000" w:themeColor="text1"/>
          <w:szCs w:val="32"/>
          <w:lang w:val="en" w:bidi="ar"/>
          <w14:textFill>
            <w14:solidFill>
              <w14:schemeClr w14:val="tx1"/>
            </w14:solidFill>
          </w14:textFill>
        </w:rPr>
        <w:t>:</w:t>
      </w:r>
      <w:r>
        <w:rPr>
          <w:rFonts w:hint="eastAsia" w:ascii="仿宋_GB2312" w:hAnsi="仿宋_GB2312" w:eastAsia="仿宋_GB2312" w:cs="仿宋_GB2312"/>
          <w:color w:val="000000" w:themeColor="text1"/>
          <w:szCs w:val="32"/>
          <w:lang w:val="en" w:bidi="ar"/>
          <w14:textFill>
            <w14:solidFill>
              <w14:schemeClr w14:val="tx1"/>
            </w14:solidFill>
          </w14:textFill>
        </w:rPr>
        <w:t>某个医疗健康AI应用在深圳市3家及以上医疗卫生机构（不含分院）应用且效果良好，形成规模化效应。</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color w:val="000000" w:themeColor="text1"/>
          <w:szCs w:val="32"/>
          <w:lang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19.医疗健康数据产品（服务）：</w:t>
      </w:r>
      <w:r>
        <w:rPr>
          <w:rFonts w:hint="eastAsia" w:ascii="仿宋_GB2312" w:hAnsi="仿宋_GB2312" w:eastAsia="仿宋_GB2312" w:cs="仿宋_GB2312"/>
          <w:color w:val="000000" w:themeColor="text1"/>
          <w:szCs w:val="32"/>
          <w:lang w:bidi="ar"/>
          <w14:textFill>
            <w14:solidFill>
              <w14:schemeClr w14:val="tx1"/>
            </w14:solidFill>
          </w14:textFill>
        </w:rPr>
        <w:t>指通过对原始医疗数据进行脱敏、清洗、整合等加工后形成的，可用于交易与应用的数据集、信息服务或应用程序。</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color w:val="000000" w:themeColor="text1"/>
          <w:szCs w:val="32"/>
          <w:lang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20.电子病历5级及以上水平医院（家）：</w:t>
      </w:r>
      <w:r>
        <w:rPr>
          <w:rFonts w:hint="eastAsia" w:ascii="仿宋_GB2312" w:hAnsi="仿宋_GB2312" w:eastAsia="仿宋_GB2312" w:cs="仿宋_GB2312"/>
          <w:color w:val="000000" w:themeColor="text1"/>
          <w:szCs w:val="32"/>
          <w:lang w:bidi="ar"/>
          <w14:textFill>
            <w14:solidFill>
              <w14:schemeClr w14:val="tx1"/>
            </w14:solidFill>
          </w14:textFill>
        </w:rPr>
        <w:t>指电子病历系统应用5级及以上等高阶水平，并通过国家评审的医院数量。</w:t>
      </w:r>
    </w:p>
    <w:p>
      <w:pPr>
        <w:pStyle w:val="35"/>
        <w:pBdr>
          <w:top w:val="none" w:color="auto" w:sz="0" w:space="1"/>
          <w:left w:val="none" w:color="auto" w:sz="0" w:space="4"/>
          <w:bottom w:val="none" w:color="auto" w:sz="0" w:space="1"/>
          <w:right w:val="none" w:color="auto" w:sz="0" w:space="4"/>
        </w:pBdr>
        <w:topLinePunct/>
        <w:spacing w:after="0"/>
        <w:ind w:firstLine="643"/>
        <w:rPr>
          <w:rFonts w:hint="eastAsia" w:ascii="仿宋_GB2312" w:hAnsi="仿宋_GB2312" w:eastAsia="仿宋_GB2312" w:cs="仿宋_GB2312"/>
          <w:color w:val="000000" w:themeColor="text1"/>
          <w:szCs w:val="32"/>
          <w:lang w:bidi="ar"/>
          <w14:textFill>
            <w14:solidFill>
              <w14:schemeClr w14:val="tx1"/>
            </w14:solidFill>
          </w14:textFill>
        </w:rPr>
      </w:pPr>
      <w:r>
        <w:rPr>
          <w:rFonts w:hint="eastAsia" w:ascii="仿宋_GB2312" w:hAnsi="仿宋_GB2312" w:eastAsia="仿宋_GB2312" w:cs="仿宋_GB2312"/>
          <w:b/>
          <w:bCs/>
          <w:color w:val="000000" w:themeColor="text1"/>
          <w:szCs w:val="32"/>
          <w:lang w:bidi="ar"/>
          <w14:textFill>
            <w14:solidFill>
              <w14:schemeClr w14:val="tx1"/>
            </w14:solidFill>
          </w14:textFill>
        </w:rPr>
        <w:t>21.智慧服务达到三级的医院数（家）：</w:t>
      </w:r>
      <w:r>
        <w:rPr>
          <w:rFonts w:hint="eastAsia" w:ascii="仿宋_GB2312" w:hAnsi="仿宋_GB2312" w:eastAsia="仿宋_GB2312" w:cs="仿宋_GB2312"/>
          <w:color w:val="000000" w:themeColor="text1"/>
          <w:szCs w:val="32"/>
          <w:lang w:bidi="ar"/>
          <w14:textFill>
            <w14:solidFill>
              <w14:schemeClr w14:val="tx1"/>
            </w14:solidFill>
          </w14:textFill>
        </w:rPr>
        <w:t>指利用信息技术实现诊前、诊中、诊后全流程覆盖，为患者提供便捷、个性化服务的医院数量，是医院智慧服务分级评估达到三级水平的医院数量。</w:t>
      </w:r>
    </w:p>
    <w:p>
      <w:pPr>
        <w:pStyle w:val="36"/>
        <w:widowControl w:val="0"/>
        <w:spacing w:before="0"/>
        <w:ind w:firstLine="643"/>
        <w:jc w:val="both"/>
        <w:rPr>
          <w:lang w:bidi="ar"/>
        </w:rPr>
        <w:sectPr>
          <w:footerReference r:id="rId12" w:type="default"/>
          <w:pgSz w:w="11906" w:h="16838"/>
          <w:pgMar w:top="2098" w:right="1474" w:bottom="1474" w:left="1587" w:header="851" w:footer="992" w:gutter="0"/>
          <w:pgNumType w:fmt="decimal" w:start="1"/>
          <w:cols w:space="0" w:num="1"/>
          <w:docGrid w:type="linesAndChars" w:linePitch="312" w:charSpace="0"/>
        </w:sectPr>
      </w:pPr>
    </w:p>
    <w:p>
      <w:pPr>
        <w:pStyle w:val="3"/>
        <w:keepNext w:val="0"/>
        <w:keepLines w:val="0"/>
        <w:adjustRightInd w:val="0"/>
        <w:snapToGrid w:val="0"/>
        <w:spacing w:after="0"/>
        <w:ind w:firstLine="0" w:firstLineChars="0"/>
        <w:jc w:val="left"/>
        <w:rPr>
          <w:rFonts w:hint="eastAsia" w:hAnsi="黑体" w:cs="黑体"/>
          <w:szCs w:val="32"/>
        </w:rPr>
      </w:pPr>
      <w:bookmarkStart w:id="107" w:name="_Toc230463255"/>
      <w:bookmarkStart w:id="108" w:name="_Toc514052018"/>
      <w:r>
        <w:rPr>
          <w:rFonts w:hint="eastAsia" w:hAnsi="黑体" w:cs="黑体"/>
          <w:szCs w:val="32"/>
        </w:rPr>
        <w:t>附件2</w:t>
      </w:r>
      <w:bookmarkEnd w:id="107"/>
    </w:p>
    <w:p>
      <w:pPr>
        <w:pStyle w:val="3"/>
        <w:keepNext w:val="0"/>
        <w:keepLines w:val="0"/>
        <w:adjustRightInd w:val="0"/>
        <w:snapToGrid w:val="0"/>
        <w:spacing w:after="0"/>
        <w:ind w:firstLine="0" w:firstLineChars="0"/>
        <w:jc w:val="left"/>
        <w:rPr>
          <w:rFonts w:hint="eastAsia" w:hAnsi="黑体" w:cs="黑体"/>
          <w:szCs w:val="32"/>
        </w:rPr>
      </w:pPr>
    </w:p>
    <w:p>
      <w:pPr>
        <w:pStyle w:val="97"/>
        <w:pBdr>
          <w:top w:val="none" w:color="auto" w:sz="0" w:space="1"/>
          <w:left w:val="none" w:color="auto" w:sz="0" w:space="4"/>
          <w:bottom w:val="none" w:color="auto" w:sz="0" w:space="1"/>
          <w:right w:val="none" w:color="auto" w:sz="0" w:space="4"/>
        </w:pBdr>
        <w:adjustRightInd w:val="0"/>
        <w:snapToGrid w:val="0"/>
        <w:spacing w:after="0" w:line="578" w:lineRule="exact"/>
        <w:ind w:firstLine="0" w:firstLineChars="0"/>
        <w:jc w:val="center"/>
        <w:outlineLvl w:val="0"/>
        <w:rPr>
          <w:rFonts w:hint="eastAsia" w:ascii="方正小标宋_GBK" w:hAnsi="方正小标宋_GBK" w:eastAsia="方正小标宋_GBK" w:cs="方正小标宋_GBK"/>
          <w:color w:val="000000" w:themeColor="text1"/>
          <w:sz w:val="44"/>
          <w:szCs w:val="44"/>
          <w:lang w:val="en" w:bidi="ar"/>
          <w14:textFill>
            <w14:solidFill>
              <w14:schemeClr w14:val="tx1"/>
            </w14:solidFill>
          </w14:textFill>
        </w:rPr>
      </w:pPr>
      <w:bookmarkStart w:id="109" w:name="_Toc230463256"/>
      <w:bookmarkStart w:id="110" w:name="_Toc228358110"/>
      <w:bookmarkStart w:id="111" w:name="_Toc228277786"/>
      <w:bookmarkStart w:id="112" w:name="_Toc227597143"/>
      <w:r>
        <w:rPr>
          <w:rFonts w:hint="eastAsia" w:ascii="方正小标宋_GBK" w:hAnsi="方正小标宋_GBK" w:eastAsia="方正小标宋_GBK" w:cs="方正小标宋_GBK"/>
          <w:color w:val="000000" w:themeColor="text1"/>
          <w:sz w:val="44"/>
          <w:szCs w:val="44"/>
          <w:lang w:val="en" w:bidi="ar"/>
          <w14:textFill>
            <w14:solidFill>
              <w14:schemeClr w14:val="tx1"/>
            </w14:solidFill>
          </w14:textFill>
        </w:rPr>
        <w:t>深圳市龙华区卫生健康事业发展</w:t>
      </w:r>
      <w:bookmarkEnd w:id="109"/>
      <w:bookmarkEnd w:id="110"/>
      <w:bookmarkEnd w:id="111"/>
    </w:p>
    <w:p>
      <w:pPr>
        <w:pStyle w:val="97"/>
        <w:pBdr>
          <w:top w:val="none" w:color="auto" w:sz="0" w:space="1"/>
          <w:left w:val="none" w:color="auto" w:sz="0" w:space="4"/>
          <w:bottom w:val="none" w:color="auto" w:sz="0" w:space="1"/>
          <w:right w:val="none" w:color="auto" w:sz="0" w:space="4"/>
        </w:pBdr>
        <w:adjustRightInd w:val="0"/>
        <w:snapToGrid w:val="0"/>
        <w:spacing w:after="0" w:line="578" w:lineRule="exact"/>
        <w:ind w:firstLine="0" w:firstLineChars="0"/>
        <w:jc w:val="center"/>
        <w:outlineLvl w:val="0"/>
        <w:rPr>
          <w:rFonts w:hint="eastAsia" w:ascii="方正小标宋_GBK" w:hAnsi="方正小标宋_GBK" w:eastAsia="方正小标宋_GBK" w:cs="方正小标宋_GBK"/>
          <w:color w:val="000000" w:themeColor="text1"/>
          <w:sz w:val="44"/>
          <w:szCs w:val="44"/>
          <w:lang w:val="en" w:bidi="ar"/>
          <w14:textFill>
            <w14:solidFill>
              <w14:schemeClr w14:val="tx1"/>
            </w14:solidFill>
          </w14:textFill>
        </w:rPr>
      </w:pPr>
      <w:bookmarkStart w:id="113" w:name="_Toc228358111"/>
      <w:bookmarkStart w:id="114" w:name="_Toc230463257"/>
      <w:bookmarkStart w:id="115" w:name="_Toc228277787"/>
      <w:r>
        <w:rPr>
          <w:rFonts w:hint="eastAsia" w:ascii="方正小标宋_GBK" w:hAnsi="方正小标宋_GBK" w:eastAsia="方正小标宋_GBK" w:cs="方正小标宋_GBK"/>
          <w:color w:val="000000" w:themeColor="text1"/>
          <w:sz w:val="44"/>
          <w:szCs w:val="44"/>
          <w:lang w:val="en" w:bidi="ar"/>
          <w14:textFill>
            <w14:solidFill>
              <w14:schemeClr w14:val="tx1"/>
            </w14:solidFill>
          </w14:textFill>
        </w:rPr>
        <w:t>“十五五”规划</w:t>
      </w:r>
      <w:bookmarkEnd w:id="112"/>
      <w:bookmarkStart w:id="116" w:name="_Toc227597144"/>
      <w:r>
        <w:rPr>
          <w:rFonts w:hint="eastAsia" w:ascii="方正小标宋_GBK" w:hAnsi="方正小标宋_GBK" w:eastAsia="方正小标宋_GBK" w:cs="方正小标宋_GBK"/>
          <w:color w:val="000000" w:themeColor="text1"/>
          <w:sz w:val="44"/>
          <w:szCs w:val="44"/>
          <w:lang w:val="en" w:bidi="ar"/>
          <w14:textFill>
            <w14:solidFill>
              <w14:schemeClr w14:val="tx1"/>
            </w14:solidFill>
          </w14:textFill>
        </w:rPr>
        <w:t>重大项目</w:t>
      </w:r>
      <w:bookmarkEnd w:id="108"/>
      <w:bookmarkEnd w:id="113"/>
      <w:bookmarkEnd w:id="114"/>
      <w:bookmarkEnd w:id="115"/>
      <w:bookmarkEnd w:id="116"/>
      <w:bookmarkStart w:id="117" w:name="OLE_LINK54"/>
    </w:p>
    <w:bookmarkEnd w:id="117"/>
    <w:p>
      <w:pPr>
        <w:snapToGrid w:val="0"/>
        <w:spacing w:after="0" w:line="240" w:lineRule="auto"/>
        <w:ind w:firstLine="0" w:firstLineChars="0"/>
        <w:jc w:val="left"/>
        <w:rPr>
          <w:rFonts w:hint="eastAsia" w:asciiTheme="minorHAnsi" w:hAnsiTheme="minorHAnsi" w:eastAsiaTheme="minorEastAsia" w:cstheme="minorBidi"/>
          <w:sz w:val="18"/>
          <w:szCs w:val="18"/>
        </w:rPr>
      </w:pPr>
    </w:p>
    <w:tbl>
      <w:tblPr>
        <w:tblStyle w:val="153"/>
        <w:tblW w:w="56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660"/>
        <w:gridCol w:w="1800"/>
        <w:gridCol w:w="898"/>
        <w:gridCol w:w="1452"/>
        <w:gridCol w:w="3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55" w:type="pct"/>
            <w:vAlign w:val="center"/>
          </w:tcPr>
          <w:p>
            <w:pPr>
              <w:spacing w:after="0" w:line="240" w:lineRule="auto"/>
              <w:ind w:firstLine="0" w:firstLineChars="0"/>
              <w:jc w:val="center"/>
              <w:rPr>
                <w:rFonts w:hint="eastAsia" w:hAnsi="宋体" w:cs="宋体"/>
                <w:b/>
                <w:bCs/>
                <w:color w:val="000000"/>
                <w:kern w:val="0"/>
                <w:sz w:val="24"/>
              </w:rPr>
            </w:pPr>
            <w:r>
              <w:rPr>
                <w:rFonts w:hint="eastAsia" w:hAnsi="宋体" w:cs="宋体"/>
                <w:b/>
                <w:bCs/>
                <w:color w:val="000000"/>
                <w:kern w:val="0"/>
                <w:sz w:val="24"/>
              </w:rPr>
              <w:t>序号</w:t>
            </w:r>
          </w:p>
        </w:tc>
        <w:tc>
          <w:tcPr>
            <w:tcW w:w="812" w:type="pct"/>
            <w:vAlign w:val="center"/>
          </w:tcPr>
          <w:p>
            <w:pPr>
              <w:spacing w:after="0" w:line="240" w:lineRule="auto"/>
              <w:ind w:firstLine="0" w:firstLineChars="0"/>
              <w:jc w:val="center"/>
              <w:rPr>
                <w:rFonts w:hint="eastAsia" w:hAnsi="宋体" w:cs="宋体"/>
                <w:b/>
                <w:bCs/>
                <w:color w:val="000000"/>
                <w:kern w:val="0"/>
                <w:sz w:val="24"/>
              </w:rPr>
            </w:pPr>
            <w:r>
              <w:rPr>
                <w:rFonts w:hint="eastAsia" w:hAnsi="宋体" w:cs="宋体"/>
                <w:b/>
                <w:bCs/>
                <w:color w:val="000000"/>
                <w:kern w:val="0"/>
                <w:sz w:val="24"/>
              </w:rPr>
              <w:t>项目名称</w:t>
            </w:r>
          </w:p>
        </w:tc>
        <w:tc>
          <w:tcPr>
            <w:tcW w:w="880" w:type="pct"/>
            <w:vAlign w:val="center"/>
          </w:tcPr>
          <w:p>
            <w:pPr>
              <w:spacing w:after="0" w:line="240" w:lineRule="auto"/>
              <w:ind w:firstLine="0" w:firstLineChars="0"/>
              <w:jc w:val="center"/>
              <w:rPr>
                <w:rFonts w:hint="eastAsia" w:hAnsi="宋体" w:cs="宋体"/>
                <w:b/>
                <w:bCs/>
                <w:color w:val="000000"/>
                <w:kern w:val="0"/>
                <w:sz w:val="24"/>
              </w:rPr>
            </w:pPr>
            <w:r>
              <w:rPr>
                <w:rFonts w:hint="eastAsia" w:hAnsi="宋体" w:cs="宋体"/>
                <w:b/>
                <w:bCs/>
                <w:color w:val="000000"/>
                <w:kern w:val="0"/>
                <w:sz w:val="24"/>
              </w:rPr>
              <w:t>建设规模</w:t>
            </w:r>
          </w:p>
        </w:tc>
        <w:tc>
          <w:tcPr>
            <w:tcW w:w="440" w:type="pct"/>
            <w:vAlign w:val="center"/>
          </w:tcPr>
          <w:p>
            <w:pPr>
              <w:spacing w:after="0" w:line="240" w:lineRule="auto"/>
              <w:ind w:firstLine="0" w:firstLineChars="0"/>
              <w:jc w:val="center"/>
              <w:rPr>
                <w:rFonts w:hint="eastAsia" w:hAnsi="宋体" w:cs="宋体"/>
                <w:b/>
                <w:bCs/>
                <w:color w:val="000000"/>
                <w:kern w:val="0"/>
                <w:sz w:val="24"/>
              </w:rPr>
            </w:pPr>
            <w:r>
              <w:rPr>
                <w:rFonts w:hint="eastAsia" w:hAnsi="宋体" w:cs="宋体"/>
                <w:b/>
                <w:bCs/>
                <w:color w:val="000000"/>
                <w:kern w:val="0"/>
                <w:sz w:val="24"/>
              </w:rPr>
              <w:t>资金来源</w:t>
            </w:r>
          </w:p>
        </w:tc>
        <w:tc>
          <w:tcPr>
            <w:tcW w:w="710" w:type="pct"/>
            <w:vAlign w:val="center"/>
          </w:tcPr>
          <w:p>
            <w:pPr>
              <w:spacing w:after="0" w:line="240" w:lineRule="auto"/>
              <w:ind w:firstLine="0" w:firstLineChars="0"/>
              <w:jc w:val="center"/>
              <w:rPr>
                <w:rFonts w:hint="eastAsia" w:hAnsi="宋体" w:cs="宋体"/>
                <w:b/>
                <w:bCs/>
                <w:color w:val="000000"/>
                <w:kern w:val="0"/>
                <w:sz w:val="24"/>
              </w:rPr>
            </w:pPr>
            <w:r>
              <w:rPr>
                <w:rFonts w:hint="eastAsia" w:hAnsi="宋体" w:cs="宋体"/>
                <w:b/>
                <w:bCs/>
                <w:color w:val="000000"/>
                <w:kern w:val="0"/>
                <w:sz w:val="24"/>
              </w:rPr>
              <w:t>进度安排</w:t>
            </w:r>
          </w:p>
        </w:tc>
        <w:tc>
          <w:tcPr>
            <w:tcW w:w="1799" w:type="pct"/>
            <w:vAlign w:val="center"/>
          </w:tcPr>
          <w:p>
            <w:pPr>
              <w:spacing w:after="0" w:line="240" w:lineRule="auto"/>
              <w:ind w:firstLine="0" w:firstLineChars="0"/>
              <w:jc w:val="center"/>
              <w:rPr>
                <w:rFonts w:hint="eastAsia" w:hAnsi="宋体" w:cs="宋体"/>
                <w:b/>
                <w:bCs/>
                <w:color w:val="000000"/>
                <w:kern w:val="0"/>
                <w:sz w:val="24"/>
              </w:rPr>
            </w:pPr>
            <w:r>
              <w:rPr>
                <w:rFonts w:hint="eastAsia" w:hAnsi="宋体" w:cs="宋体"/>
                <w:b/>
                <w:bCs/>
                <w:color w:val="000000"/>
                <w:kern w:val="0"/>
                <w:sz w:val="24"/>
              </w:rPr>
              <w:t>提出依据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355" w:type="pct"/>
            <w:vAlign w:val="center"/>
          </w:tcPr>
          <w:p>
            <w:pPr>
              <w:spacing w:after="0" w:line="240" w:lineRule="auto"/>
              <w:ind w:firstLine="0" w:firstLineChars="0"/>
              <w:jc w:val="left"/>
              <w:rPr>
                <w:rFonts w:hint="eastAsia" w:hAnsi="宋体" w:cs="宋体"/>
                <w:color w:val="000000"/>
                <w:kern w:val="0"/>
                <w:sz w:val="24"/>
              </w:rPr>
            </w:pPr>
            <w:bookmarkStart w:id="118" w:name="_Hlk224896286"/>
            <w:r>
              <w:rPr>
                <w:rFonts w:hint="eastAsia" w:hAnsi="宋体" w:cs="宋体"/>
                <w:color w:val="000000"/>
                <w:kern w:val="0"/>
                <w:sz w:val="24"/>
              </w:rPr>
              <w:t>1</w:t>
            </w:r>
          </w:p>
        </w:tc>
        <w:tc>
          <w:tcPr>
            <w:tcW w:w="812" w:type="pct"/>
            <w:vAlign w:val="center"/>
          </w:tcPr>
          <w:p>
            <w:pPr>
              <w:spacing w:after="0" w:line="240" w:lineRule="auto"/>
              <w:ind w:firstLine="0" w:firstLineChars="0"/>
              <w:jc w:val="left"/>
              <w:rPr>
                <w:rFonts w:hint="eastAsia" w:ascii="黑体" w:hAnsi="黑体" w:eastAsia="黑体" w:cs="黑体"/>
                <w:szCs w:val="32"/>
              </w:rPr>
            </w:pPr>
            <w:r>
              <w:rPr>
                <w:rFonts w:hint="eastAsia" w:hAnsi="宋体" w:cs="宋体"/>
                <w:color w:val="000000"/>
                <w:kern w:val="0"/>
                <w:sz w:val="24"/>
              </w:rPr>
              <w:t>龙华区中医院（区疾控中心大楼）</w:t>
            </w:r>
          </w:p>
          <w:p>
            <w:pPr>
              <w:spacing w:after="0" w:line="240" w:lineRule="auto"/>
              <w:ind w:firstLine="0" w:firstLineChars="0"/>
              <w:jc w:val="left"/>
              <w:rPr>
                <w:rFonts w:hint="eastAsia" w:hAnsi="宋体" w:cs="宋体"/>
                <w:sz w:val="24"/>
              </w:rPr>
            </w:pPr>
          </w:p>
        </w:tc>
        <w:tc>
          <w:tcPr>
            <w:tcW w:w="880" w:type="pct"/>
            <w:vAlign w:val="center"/>
          </w:tcPr>
          <w:p>
            <w:pPr>
              <w:spacing w:after="0" w:line="240" w:lineRule="auto"/>
              <w:ind w:firstLine="0" w:firstLineChars="0"/>
              <w:jc w:val="left"/>
              <w:rPr>
                <w:rFonts w:hint="eastAsia" w:hAnsi="宋体" w:cs="宋体"/>
                <w:color w:val="000000"/>
                <w:kern w:val="0"/>
                <w:sz w:val="24"/>
              </w:rPr>
            </w:pPr>
            <w:r>
              <w:rPr>
                <w:rFonts w:hint="eastAsia" w:hAnsi="宋体" w:cs="宋体"/>
                <w:color w:val="000000"/>
                <w:kern w:val="0"/>
                <w:sz w:val="24"/>
              </w:rPr>
              <w:t>用地面积32260.26平方米，总建筑面积207860平方米，规划床位800张。</w:t>
            </w:r>
          </w:p>
        </w:tc>
        <w:tc>
          <w:tcPr>
            <w:tcW w:w="440" w:type="pct"/>
            <w:vAlign w:val="center"/>
          </w:tcPr>
          <w:p>
            <w:pPr>
              <w:spacing w:after="0" w:line="240" w:lineRule="auto"/>
              <w:ind w:firstLine="0" w:firstLineChars="0"/>
              <w:jc w:val="center"/>
              <w:rPr>
                <w:rFonts w:hint="eastAsia" w:hAnsi="宋体" w:cs="宋体"/>
                <w:color w:val="000000"/>
                <w:kern w:val="0"/>
                <w:sz w:val="24"/>
              </w:rPr>
            </w:pPr>
            <w:r>
              <w:rPr>
                <w:rFonts w:hint="eastAsia" w:hAnsi="宋体" w:cs="宋体"/>
                <w:color w:val="000000"/>
                <w:kern w:val="0"/>
                <w:sz w:val="24"/>
              </w:rPr>
              <w:t>政府投资</w:t>
            </w:r>
          </w:p>
        </w:tc>
        <w:tc>
          <w:tcPr>
            <w:tcW w:w="710" w:type="pct"/>
            <w:vAlign w:val="center"/>
          </w:tcPr>
          <w:p>
            <w:pPr>
              <w:spacing w:after="0" w:line="240" w:lineRule="auto"/>
              <w:ind w:firstLine="0" w:firstLineChars="0"/>
              <w:jc w:val="center"/>
              <w:rPr>
                <w:rFonts w:hint="eastAsia" w:hAnsi="宋体" w:cs="宋体"/>
                <w:color w:val="000000"/>
                <w:kern w:val="0"/>
                <w:sz w:val="24"/>
              </w:rPr>
            </w:pPr>
            <w:r>
              <w:rPr>
                <w:rFonts w:hint="eastAsia" w:hAnsi="宋体" w:cs="宋体"/>
                <w:color w:val="000000"/>
                <w:kern w:val="0"/>
                <w:sz w:val="24"/>
              </w:rPr>
              <w:t>预计2026年四季度建成并移交，2027年3月投入使用。</w:t>
            </w:r>
          </w:p>
        </w:tc>
        <w:tc>
          <w:tcPr>
            <w:tcW w:w="1799" w:type="pct"/>
            <w:vAlign w:val="center"/>
          </w:tcPr>
          <w:p>
            <w:pPr>
              <w:spacing w:after="0" w:line="240" w:lineRule="auto"/>
              <w:ind w:firstLine="0" w:firstLineChars="0"/>
              <w:jc w:val="left"/>
              <w:rPr>
                <w:rFonts w:hint="eastAsia" w:hAnsi="宋体" w:cs="宋体"/>
                <w:color w:val="000000"/>
                <w:kern w:val="0"/>
                <w:sz w:val="24"/>
              </w:rPr>
            </w:pPr>
            <w:r>
              <w:rPr>
                <w:rFonts w:hint="eastAsia" w:hAnsi="宋体" w:cs="宋体"/>
                <w:color w:val="000000"/>
                <w:kern w:val="0"/>
                <w:sz w:val="24"/>
              </w:rPr>
              <w:t>观澜东片区医疗资源严重不足，尚无综合性医院，为解决周边居民的就医需求及全区居民对中医和康复理疗资源的需求，配合观澜东片区的开发建设，规划在观澜街道建设区中医院，拟建成以中医医疗、保健养生为一体的综合性服务体系的区级中医院，该项目的建设将优化龙华区医疗资源配置，缓解医疗卫生资源分布不均、中医等专科医院匮乏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2" w:hRule="atLeast"/>
          <w:jc w:val="center"/>
        </w:trPr>
        <w:tc>
          <w:tcPr>
            <w:tcW w:w="355" w:type="pct"/>
            <w:vAlign w:val="center"/>
          </w:tcPr>
          <w:p>
            <w:pPr>
              <w:spacing w:after="0" w:line="240" w:lineRule="auto"/>
              <w:ind w:firstLine="0" w:firstLineChars="0"/>
              <w:jc w:val="left"/>
              <w:rPr>
                <w:rFonts w:hint="eastAsia" w:hAnsi="宋体" w:cs="宋体"/>
                <w:color w:val="000000"/>
                <w:kern w:val="0"/>
                <w:sz w:val="24"/>
              </w:rPr>
            </w:pPr>
            <w:r>
              <w:rPr>
                <w:rFonts w:hAnsi="宋体" w:cs="宋体"/>
                <w:color w:val="000000"/>
                <w:kern w:val="0"/>
                <w:sz w:val="24"/>
              </w:rPr>
              <w:t>2</w:t>
            </w:r>
          </w:p>
        </w:tc>
        <w:tc>
          <w:tcPr>
            <w:tcW w:w="812" w:type="pct"/>
            <w:vAlign w:val="center"/>
          </w:tcPr>
          <w:p>
            <w:pPr>
              <w:spacing w:after="0" w:line="240" w:lineRule="auto"/>
              <w:ind w:firstLine="0" w:firstLineChars="0"/>
              <w:jc w:val="left"/>
              <w:rPr>
                <w:rFonts w:hint="eastAsia" w:hAnsi="宋体" w:cs="宋体"/>
                <w:color w:val="000000"/>
                <w:kern w:val="0"/>
                <w:sz w:val="24"/>
              </w:rPr>
            </w:pPr>
            <w:r>
              <w:rPr>
                <w:rFonts w:hint="eastAsia" w:hAnsi="宋体" w:cs="宋体"/>
                <w:color w:val="000000"/>
                <w:kern w:val="0"/>
                <w:sz w:val="24"/>
              </w:rPr>
              <w:t>龙华区妇幼保健院(区公共卫生临床中心)</w:t>
            </w:r>
          </w:p>
        </w:tc>
        <w:tc>
          <w:tcPr>
            <w:tcW w:w="880" w:type="pct"/>
            <w:vAlign w:val="center"/>
          </w:tcPr>
          <w:p>
            <w:pPr>
              <w:spacing w:after="0" w:line="240" w:lineRule="auto"/>
              <w:ind w:firstLine="0" w:firstLineChars="0"/>
              <w:jc w:val="left"/>
              <w:rPr>
                <w:rFonts w:hint="eastAsia" w:hAnsi="宋体" w:cs="宋体"/>
                <w:color w:val="000000"/>
                <w:kern w:val="0"/>
                <w:sz w:val="24"/>
              </w:rPr>
            </w:pPr>
            <w:r>
              <w:rPr>
                <w:rFonts w:hint="eastAsia" w:hAnsi="宋体" w:cs="宋体"/>
                <w:color w:val="000000"/>
                <w:kern w:val="0"/>
                <w:sz w:val="24"/>
              </w:rPr>
              <w:t>用地面积44390.93平方米，建筑面积262130平方米，规划800床妇幼保健院+200床区公共卫生临床中心。</w:t>
            </w:r>
          </w:p>
        </w:tc>
        <w:tc>
          <w:tcPr>
            <w:tcW w:w="440" w:type="pct"/>
            <w:vAlign w:val="center"/>
          </w:tcPr>
          <w:p>
            <w:pPr>
              <w:spacing w:after="0" w:line="240" w:lineRule="auto"/>
              <w:ind w:firstLine="0" w:firstLineChars="0"/>
              <w:jc w:val="center"/>
              <w:rPr>
                <w:rFonts w:hint="eastAsia" w:hAnsi="宋体" w:cs="宋体"/>
                <w:color w:val="000000"/>
                <w:kern w:val="0"/>
                <w:sz w:val="24"/>
              </w:rPr>
            </w:pPr>
            <w:r>
              <w:rPr>
                <w:rFonts w:hint="eastAsia" w:hAnsi="宋体" w:cs="宋体"/>
                <w:color w:val="000000"/>
                <w:kern w:val="0"/>
                <w:sz w:val="24"/>
              </w:rPr>
              <w:t>政府投资</w:t>
            </w:r>
          </w:p>
        </w:tc>
        <w:tc>
          <w:tcPr>
            <w:tcW w:w="710" w:type="pct"/>
            <w:vAlign w:val="center"/>
          </w:tcPr>
          <w:p>
            <w:pPr>
              <w:spacing w:after="0" w:line="240" w:lineRule="auto"/>
              <w:ind w:firstLine="0" w:firstLineChars="0"/>
              <w:jc w:val="center"/>
              <w:rPr>
                <w:rFonts w:hint="eastAsia" w:hAnsi="宋体" w:cs="宋体"/>
                <w:color w:val="000000"/>
                <w:kern w:val="0"/>
                <w:sz w:val="24"/>
              </w:rPr>
            </w:pPr>
            <w:r>
              <w:rPr>
                <w:rFonts w:hint="eastAsia" w:hAnsi="宋体" w:cs="宋体"/>
                <w:color w:val="000000"/>
                <w:kern w:val="0"/>
                <w:sz w:val="24"/>
              </w:rPr>
              <w:t>预计2028年建成并投入使用。</w:t>
            </w:r>
          </w:p>
        </w:tc>
        <w:tc>
          <w:tcPr>
            <w:tcW w:w="1799" w:type="pct"/>
            <w:vAlign w:val="center"/>
          </w:tcPr>
          <w:p>
            <w:pPr>
              <w:spacing w:after="0" w:line="240" w:lineRule="auto"/>
              <w:ind w:firstLine="0" w:firstLineChars="0"/>
              <w:jc w:val="left"/>
              <w:rPr>
                <w:rFonts w:hint="eastAsia" w:hAnsi="宋体" w:cs="宋体"/>
                <w:color w:val="000000"/>
                <w:kern w:val="0"/>
                <w:sz w:val="24"/>
              </w:rPr>
            </w:pPr>
            <w:r>
              <w:rPr>
                <w:rFonts w:hint="eastAsia" w:hAnsi="宋体" w:cs="宋体"/>
                <w:color w:val="000000"/>
                <w:kern w:val="0"/>
                <w:sz w:val="24"/>
              </w:rPr>
              <w:t>妇幼保健院建设是落实国家、广东省、深圳市、龙华区相关规划的要求，增加优质医疗资源的关键举措。该院作为全区唯一妇幼保健专科医院，目前面临基础不足、超负荷运转等问题。项目通过新建院区，将大幅增加床位，改善医疗条件，提升服务水平，缓解资源短缺和群众看病难，促进医院创“三甲”及专科发展，优化卫生资源配置，为居民提供坚实健康保障，并推动卫生事业与区域社会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6" w:hRule="atLeast"/>
          <w:jc w:val="center"/>
        </w:trPr>
        <w:tc>
          <w:tcPr>
            <w:tcW w:w="355" w:type="pct"/>
            <w:vAlign w:val="center"/>
          </w:tcPr>
          <w:p>
            <w:pPr>
              <w:spacing w:after="0" w:line="240" w:lineRule="auto"/>
              <w:ind w:firstLine="0" w:firstLineChars="0"/>
              <w:jc w:val="left"/>
              <w:rPr>
                <w:rFonts w:hint="eastAsia" w:hAnsi="宋体" w:cs="宋体"/>
                <w:color w:val="000000"/>
                <w:kern w:val="0"/>
                <w:sz w:val="24"/>
              </w:rPr>
            </w:pPr>
            <w:bookmarkStart w:id="119" w:name="_Hlk224895740"/>
            <w:r>
              <w:rPr>
                <w:rFonts w:hAnsi="宋体" w:cs="宋体"/>
                <w:color w:val="000000"/>
                <w:kern w:val="0"/>
                <w:sz w:val="24"/>
              </w:rPr>
              <w:t>3</w:t>
            </w:r>
          </w:p>
        </w:tc>
        <w:tc>
          <w:tcPr>
            <w:tcW w:w="812" w:type="pct"/>
            <w:vAlign w:val="center"/>
          </w:tcPr>
          <w:p>
            <w:pPr>
              <w:spacing w:after="0" w:line="240" w:lineRule="auto"/>
              <w:ind w:firstLine="0" w:firstLineChars="0"/>
              <w:jc w:val="left"/>
              <w:rPr>
                <w:rFonts w:hint="eastAsia" w:hAnsi="宋体" w:cs="宋体"/>
                <w:color w:val="000000"/>
                <w:kern w:val="0"/>
                <w:sz w:val="24"/>
              </w:rPr>
            </w:pPr>
            <w:r>
              <w:rPr>
                <w:rFonts w:hint="eastAsia" w:hAnsi="宋体" w:cs="宋体"/>
                <w:color w:val="000000"/>
                <w:kern w:val="0"/>
                <w:sz w:val="24"/>
              </w:rPr>
              <w:t>龙华区口腔</w:t>
            </w:r>
          </w:p>
          <w:p>
            <w:pPr>
              <w:spacing w:after="0" w:line="240" w:lineRule="auto"/>
              <w:ind w:firstLine="0" w:firstLineChars="0"/>
              <w:jc w:val="left"/>
              <w:rPr>
                <w:rFonts w:hint="eastAsia" w:hAnsi="宋体" w:cs="宋体"/>
                <w:color w:val="000000"/>
                <w:kern w:val="0"/>
                <w:sz w:val="24"/>
              </w:rPr>
            </w:pPr>
            <w:r>
              <w:rPr>
                <w:rFonts w:hint="eastAsia" w:hAnsi="宋体" w:cs="宋体"/>
                <w:color w:val="000000"/>
                <w:kern w:val="0"/>
                <w:sz w:val="24"/>
              </w:rPr>
              <w:t>医院</w:t>
            </w:r>
          </w:p>
        </w:tc>
        <w:tc>
          <w:tcPr>
            <w:tcW w:w="880" w:type="pct"/>
            <w:vAlign w:val="center"/>
          </w:tcPr>
          <w:p>
            <w:pPr>
              <w:spacing w:after="0" w:line="240" w:lineRule="auto"/>
              <w:ind w:firstLine="0" w:firstLineChars="0"/>
              <w:jc w:val="left"/>
              <w:rPr>
                <w:rFonts w:hint="eastAsia" w:hAnsi="宋体" w:cs="宋体"/>
                <w:color w:val="000000"/>
                <w:kern w:val="0"/>
                <w:sz w:val="24"/>
              </w:rPr>
            </w:pPr>
            <w:r>
              <w:rPr>
                <w:rFonts w:hint="eastAsia" w:hAnsi="宋体" w:cs="宋体"/>
                <w:color w:val="000000"/>
                <w:kern w:val="0"/>
                <w:sz w:val="24"/>
              </w:rPr>
              <w:t>用地面积约8877.89平方米，总建筑面积49571.00平方米，规划床位50张，牙椅150台。</w:t>
            </w:r>
          </w:p>
        </w:tc>
        <w:tc>
          <w:tcPr>
            <w:tcW w:w="440" w:type="pct"/>
            <w:vAlign w:val="center"/>
          </w:tcPr>
          <w:p>
            <w:pPr>
              <w:spacing w:after="0" w:line="240" w:lineRule="auto"/>
              <w:ind w:firstLine="0" w:firstLineChars="0"/>
              <w:jc w:val="center"/>
              <w:rPr>
                <w:rFonts w:hint="eastAsia" w:hAnsi="宋体" w:cs="宋体"/>
                <w:color w:val="000000"/>
                <w:kern w:val="0"/>
                <w:sz w:val="24"/>
              </w:rPr>
            </w:pPr>
            <w:r>
              <w:rPr>
                <w:rFonts w:hint="eastAsia" w:hAnsi="宋体" w:cs="宋体"/>
                <w:color w:val="000000"/>
                <w:kern w:val="0"/>
                <w:sz w:val="24"/>
              </w:rPr>
              <w:t>政府投资</w:t>
            </w:r>
          </w:p>
        </w:tc>
        <w:tc>
          <w:tcPr>
            <w:tcW w:w="710" w:type="pct"/>
            <w:vAlign w:val="center"/>
          </w:tcPr>
          <w:p>
            <w:pPr>
              <w:spacing w:after="0" w:line="240" w:lineRule="auto"/>
              <w:ind w:firstLine="0" w:firstLineChars="0"/>
              <w:jc w:val="center"/>
              <w:rPr>
                <w:rFonts w:hint="eastAsia" w:hAnsi="宋体" w:cs="宋体"/>
                <w:color w:val="000000"/>
                <w:kern w:val="0"/>
                <w:sz w:val="24"/>
              </w:rPr>
            </w:pPr>
            <w:r>
              <w:rPr>
                <w:rFonts w:hint="eastAsia" w:hAnsi="宋体" w:cs="宋体"/>
                <w:color w:val="000000"/>
                <w:kern w:val="0"/>
                <w:sz w:val="24"/>
              </w:rPr>
              <w:t>目前正在可研批复，预计2028年建成并投入使用。</w:t>
            </w:r>
          </w:p>
        </w:tc>
        <w:tc>
          <w:tcPr>
            <w:tcW w:w="1799" w:type="pct"/>
            <w:vAlign w:val="center"/>
          </w:tcPr>
          <w:p>
            <w:pPr>
              <w:spacing w:after="0" w:line="240" w:lineRule="auto"/>
              <w:ind w:firstLine="0" w:firstLineChars="0"/>
              <w:jc w:val="left"/>
              <w:rPr>
                <w:rFonts w:hint="eastAsia" w:hAnsi="宋体" w:cs="宋体"/>
                <w:color w:val="000000"/>
                <w:kern w:val="0"/>
                <w:sz w:val="24"/>
              </w:rPr>
            </w:pPr>
            <w:r>
              <w:rPr>
                <w:rFonts w:hint="eastAsia" w:hAnsi="宋体" w:cs="宋体"/>
                <w:color w:val="000000"/>
                <w:kern w:val="0"/>
                <w:sz w:val="24"/>
              </w:rPr>
              <w:t>龙华区口腔医疗资源供需矛盾突出，优质资源短缺、群众挂号难问题较为普遍。为缓解这一现状，我区规划建设区级口腔医院，该项目可有效提升区域口腔健康服务供给能力，完善预防、治疗、康复一体化服务体系，加强人才培养与健康宣教，提高医疗技术设备现代化水平。项目契合《“健康中国2030”规划纲要》要求，既是重要民生工程，也能优化区域医疗资源配置，提升服务可及性与连续性，切实满足群众口腔健康需求，增强群众获得感，助力完善公共卫生体系，推动区域口腔健康事业高质量发展。</w:t>
            </w:r>
          </w:p>
        </w:tc>
      </w:tr>
      <w:bookmarkEnd w:id="118"/>
      <w:bookmarkEnd w:id="119"/>
    </w:tbl>
    <w:p>
      <w:pPr>
        <w:spacing w:after="0" w:line="240" w:lineRule="auto"/>
        <w:ind w:firstLine="0" w:firstLineChars="0"/>
        <w:jc w:val="left"/>
        <w:rPr>
          <w:rFonts w:hint="eastAsia" w:hAnsiTheme="minorHAnsi" w:cstheme="minorBidi"/>
          <w:sz w:val="28"/>
          <w:szCs w:val="32"/>
        </w:rPr>
      </w:pPr>
    </w:p>
    <w:p>
      <w:pPr>
        <w:pStyle w:val="36"/>
        <w:widowControl w:val="0"/>
        <w:pBdr>
          <w:top w:val="none" w:color="auto" w:sz="0" w:space="1"/>
          <w:left w:val="none" w:color="auto" w:sz="0" w:space="4"/>
          <w:bottom w:val="none" w:color="auto" w:sz="0" w:space="1"/>
          <w:right w:val="none" w:color="auto" w:sz="0" w:space="4"/>
        </w:pBdr>
        <w:topLinePunct/>
        <w:spacing w:after="0"/>
        <w:ind w:firstLine="0" w:firstLineChars="0"/>
        <w:jc w:val="left"/>
        <w:rPr>
          <w:rFonts w:hint="eastAsia" w:ascii="仿宋_GB2312" w:hAnsi="仿宋_GB2312" w:cs="仿宋_GB2312"/>
          <w:color w:val="000000" w:themeColor="text1"/>
          <w:lang w:bidi="ar"/>
          <w14:textFill>
            <w14:solidFill>
              <w14:schemeClr w14:val="tx1"/>
            </w14:solidFill>
          </w14:textFill>
        </w:rPr>
      </w:pPr>
    </w:p>
    <w:sectPr>
      <w:footerReference r:id="rId13" w:type="default"/>
      <w:pgSz w:w="11906" w:h="16838"/>
      <w:pgMar w:top="2098" w:right="1474" w:bottom="1474" w:left="1587" w:header="851" w:footer="992" w:gutter="0"/>
      <w:pgNumType w:fmt="decimal" w:start="1"/>
      <w:cols w:space="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等线">
    <w:altName w:val="华文中宋"/>
    <w:panose1 w:val="02010600030101010101"/>
    <w:charset w:val="86"/>
    <w:family w:val="auto"/>
    <w:pitch w:val="default"/>
    <w:sig w:usb0="00000000" w:usb1="00000000" w:usb2="00000016" w:usb3="00000000" w:csb0="0004000F" w:csb1="00000000"/>
  </w:font>
  <w:font w:name="FSA">
    <w:altName w:val="华文中宋"/>
    <w:panose1 w:val="00000000000000000000"/>
    <w:charset w:val="00"/>
    <w:family w:val="auto"/>
    <w:pitch w:val="default"/>
    <w:sig w:usb0="00000000" w:usb1="00000000" w:usb2="00000000" w:usb3="00000000" w:csb0="00040001" w:csb1="00000000"/>
  </w:font>
  <w:font w:name="方正小标宋_GBK”">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仿宋简体">
    <w:altName w:val="方正仿宋_GBK"/>
    <w:panose1 w:val="00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114300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ind w:firstLine="36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9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CmxDI71AAAAAcBAAAPAAAAAAAAAAEAIAAAADgAAABkcnMv&#10;ZG93bnJldi54bWxQSwECFAAUAAAACACHTuJAJtVacyoCAABVBAAADgAAAAAAAAABACAAAAA5AQAA&#10;ZHJzL2Uyb0RvYy54bWxQSwUGAAAAAAYABgBZAQAA1QUAAAAA&#10;">
              <v:fill on="f" focussize="0,0"/>
              <v:stroke on="f" weight="0.5pt"/>
              <v:imagedata o:title=""/>
              <o:lock v:ext="edit" aspectratio="f"/>
              <v:textbox inset="0mm,0mm,0mm,0mm" style="mso-fit-shape-to-text:t;">
                <w:txbxContent>
                  <w:p>
                    <w:pPr>
                      <w:pStyle w:val="57"/>
                      <w:ind w:firstLine="36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left="454" w:leftChars="142" w:right="432" w:rightChars="135" w:firstLine="560"/>
      <w:jc w:val="right"/>
      <w:rPr>
        <w:rFonts w:hint="eastAsia" w:ascii="宋体" w:hAnsi="宋体" w:eastAsia="宋体" w:cs="宋体"/>
        <w:sz w:val="28"/>
        <w:szCs w:val="28"/>
      </w:rPr>
    </w:pPr>
    <w:r>
      <w:rPr>
        <w:rFonts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114300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spacing w:after="0" w:line="240" w:lineRule="auto"/>
                            <w:ind w:left="454" w:leftChars="142" w:right="432" w:rightChars="135" w:firstLine="0" w:firstLineChars="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9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PUa+4jWAAAACgEAAA8AAAAAAAAAAQAgAAAAOAAAAGRy&#10;cy9kb3ducmV2LnhtbFBLAQIUABQAAAAIAIdO4kCM1w58KgIAAFUEAAAOAAAAAAAAAAEAIAAAADsB&#10;AABkcnMvZTJvRG9jLnhtbFBLBQYAAAAABgAGAFkBAADXBQAAAAA=&#10;">
              <v:fill on="f" focussize="0,0"/>
              <v:stroke on="f" weight="0.5pt"/>
              <v:imagedata o:title=""/>
              <o:lock v:ext="edit" aspectratio="f"/>
              <v:textbox inset="0mm,0mm,0mm,0mm" style="mso-fit-shape-to-text:t;">
                <w:txbxContent>
                  <w:p>
                    <w:pPr>
                      <w:pStyle w:val="57"/>
                      <w:spacing w:after="0" w:line="240" w:lineRule="auto"/>
                      <w:ind w:left="454" w:leftChars="142" w:right="432" w:rightChars="135" w:firstLine="0" w:firstLineChars="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36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114300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ind w:firstLine="560"/>
                            <w:rPr>
                              <w:b w:val="0"/>
                              <w:bCs w:val="0"/>
                              <w:sz w:val="28"/>
                              <w:szCs w:val="28"/>
                            </w:rPr>
                          </w:pPr>
                          <w:r>
                            <w:rPr>
                              <w:b w:val="0"/>
                              <w:bCs w:val="0"/>
                              <w:sz w:val="28"/>
                              <w:szCs w:val="28"/>
                            </w:rPr>
                            <w:t xml:space="preserve">— </w:t>
                          </w:r>
                          <w:r>
                            <w:rPr>
                              <w:b w:val="0"/>
                              <w:bCs w:val="0"/>
                              <w:sz w:val="28"/>
                              <w:szCs w:val="28"/>
                            </w:rPr>
                            <w:fldChar w:fldCharType="begin"/>
                          </w:r>
                          <w:r>
                            <w:rPr>
                              <w:b w:val="0"/>
                              <w:bCs w:val="0"/>
                              <w:sz w:val="28"/>
                              <w:szCs w:val="28"/>
                            </w:rPr>
                            <w:instrText xml:space="preserve"> PAGE  \* MERGEFORMAT </w:instrText>
                          </w:r>
                          <w:r>
                            <w:rPr>
                              <w:b w:val="0"/>
                              <w:bCs w:val="0"/>
                              <w:sz w:val="28"/>
                              <w:szCs w:val="28"/>
                            </w:rPr>
                            <w:fldChar w:fldCharType="separate"/>
                          </w:r>
                          <w:r>
                            <w:rPr>
                              <w:b w:val="0"/>
                              <w:bCs w:val="0"/>
                              <w:sz w:val="28"/>
                              <w:szCs w:val="28"/>
                            </w:rPr>
                            <w:t>1</w:t>
                          </w:r>
                          <w:r>
                            <w:rPr>
                              <w:b w:val="0"/>
                              <w:bCs w:val="0"/>
                              <w:sz w:val="28"/>
                              <w:szCs w:val="28"/>
                            </w:rPr>
                            <w:fldChar w:fldCharType="end"/>
                          </w:r>
                          <w:r>
                            <w:rPr>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9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psQyO9QAAAAHAQAADwAAAAAAAAABACAAAAA4AAAAZHJz&#10;L2Rvd25yZXYueG1sUEsBAhQAFAAAAAgAh07iQAVhjD8rAgAAVQQAAA4AAAAAAAAAAQAgAAAAOQEA&#10;AGRycy9lMm9Eb2MueG1sUEsFBgAAAAAGAAYAWQEAANYFAAAAAA==&#10;">
              <v:fill on="f" focussize="0,0"/>
              <v:stroke on="f" weight="0.5pt"/>
              <v:imagedata o:title=""/>
              <o:lock v:ext="edit" aspectratio="f"/>
              <v:textbox inset="0mm,0mm,0mm,0mm" style="mso-fit-shape-to-text:t;">
                <w:txbxContent>
                  <w:p>
                    <w:pPr>
                      <w:pStyle w:val="57"/>
                      <w:ind w:firstLine="560"/>
                      <w:rPr>
                        <w:b w:val="0"/>
                        <w:bCs w:val="0"/>
                        <w:sz w:val="28"/>
                        <w:szCs w:val="28"/>
                      </w:rPr>
                    </w:pPr>
                    <w:r>
                      <w:rPr>
                        <w:b w:val="0"/>
                        <w:bCs w:val="0"/>
                        <w:sz w:val="28"/>
                        <w:szCs w:val="28"/>
                      </w:rPr>
                      <w:t xml:space="preserve">— </w:t>
                    </w:r>
                    <w:r>
                      <w:rPr>
                        <w:b w:val="0"/>
                        <w:bCs w:val="0"/>
                        <w:sz w:val="28"/>
                        <w:szCs w:val="28"/>
                      </w:rPr>
                      <w:fldChar w:fldCharType="begin"/>
                    </w:r>
                    <w:r>
                      <w:rPr>
                        <w:b w:val="0"/>
                        <w:bCs w:val="0"/>
                        <w:sz w:val="28"/>
                        <w:szCs w:val="28"/>
                      </w:rPr>
                      <w:instrText xml:space="preserve"> PAGE  \* MERGEFORMAT </w:instrText>
                    </w:r>
                    <w:r>
                      <w:rPr>
                        <w:b w:val="0"/>
                        <w:bCs w:val="0"/>
                        <w:sz w:val="28"/>
                        <w:szCs w:val="28"/>
                      </w:rPr>
                      <w:fldChar w:fldCharType="separate"/>
                    </w:r>
                    <w:r>
                      <w:rPr>
                        <w:b w:val="0"/>
                        <w:bCs w:val="0"/>
                        <w:sz w:val="28"/>
                        <w:szCs w:val="28"/>
                      </w:rPr>
                      <w:t>1</w:t>
                    </w:r>
                    <w:r>
                      <w:rPr>
                        <w:b w:val="0"/>
                        <w:bCs w:val="0"/>
                        <w:sz w:val="28"/>
                        <w:szCs w:val="28"/>
                      </w:rPr>
                      <w:fldChar w:fldCharType="end"/>
                    </w:r>
                    <w:r>
                      <w:rPr>
                        <w:b w:val="0"/>
                        <w:bCs w:val="0"/>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360"/>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114300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ind w:firstLine="56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9pt;height:144pt;width:144pt;mso-position-horizontal:right;mso-position-horizontal-relative:margin;mso-wrap-style:none;z-index:251662336;mso-width-relative:page;mso-height-relative:page;" filled="f" stroked="f" coordsize="21600,21600" o:gfxdata="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KbEMjvUAAAABwEAAA8AAAAAAAAAAQAgAAAAOAAAAGRy&#10;cy9kb3ducmV2LnhtbFBLAQIUABQAAAAIAIdO4kC9Dt23LAIAAFUEAAAOAAAAAAAAAAEAIAAAADkB&#10;AABkcnMvZTJvRG9jLnhtbFBLBQYAAAAABgAGAFkBAADXBQAAAAA=&#10;">
              <v:fill on="f" focussize="0,0"/>
              <v:stroke on="f" weight="0.5pt"/>
              <v:imagedata o:title=""/>
              <o:lock v:ext="edit" aspectratio="f"/>
              <v:textbox inset="0mm,0mm,0mm,0mm" style="mso-fit-shape-to-text:t;">
                <w:txbxContent>
                  <w:p>
                    <w:pPr>
                      <w:pStyle w:val="57"/>
                      <w:ind w:firstLine="56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9"/>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8"/>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5"/>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8"/>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4"/>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2"/>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1"/>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5"/>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mYzY4ZjI4YjAzNzhmMmVmZDJmMjRjMzQ4NzBmMGEifQ=="/>
  </w:docVars>
  <w:rsids>
    <w:rsidRoot w:val="00E81AAD"/>
    <w:rsid w:val="00000176"/>
    <w:rsid w:val="00000402"/>
    <w:rsid w:val="0000071D"/>
    <w:rsid w:val="00000799"/>
    <w:rsid w:val="00000A22"/>
    <w:rsid w:val="00000BB6"/>
    <w:rsid w:val="000015CD"/>
    <w:rsid w:val="000017E8"/>
    <w:rsid w:val="000017F3"/>
    <w:rsid w:val="00001BD7"/>
    <w:rsid w:val="000022FC"/>
    <w:rsid w:val="00002952"/>
    <w:rsid w:val="00002A88"/>
    <w:rsid w:val="00002F32"/>
    <w:rsid w:val="0000316C"/>
    <w:rsid w:val="00003301"/>
    <w:rsid w:val="00003ACC"/>
    <w:rsid w:val="00003C7F"/>
    <w:rsid w:val="00004075"/>
    <w:rsid w:val="0000422E"/>
    <w:rsid w:val="00004440"/>
    <w:rsid w:val="00004B24"/>
    <w:rsid w:val="00004BF2"/>
    <w:rsid w:val="00005126"/>
    <w:rsid w:val="000054B8"/>
    <w:rsid w:val="00005809"/>
    <w:rsid w:val="00005A55"/>
    <w:rsid w:val="00005C13"/>
    <w:rsid w:val="00005D33"/>
    <w:rsid w:val="00005EC1"/>
    <w:rsid w:val="00005FB8"/>
    <w:rsid w:val="000064FA"/>
    <w:rsid w:val="000065A2"/>
    <w:rsid w:val="0000695C"/>
    <w:rsid w:val="00006A62"/>
    <w:rsid w:val="00006C17"/>
    <w:rsid w:val="000079C1"/>
    <w:rsid w:val="00007D5D"/>
    <w:rsid w:val="00007E00"/>
    <w:rsid w:val="00007E90"/>
    <w:rsid w:val="00007F95"/>
    <w:rsid w:val="00010388"/>
    <w:rsid w:val="00011095"/>
    <w:rsid w:val="000114DD"/>
    <w:rsid w:val="000117C3"/>
    <w:rsid w:val="00011F0A"/>
    <w:rsid w:val="00012671"/>
    <w:rsid w:val="00012A75"/>
    <w:rsid w:val="00013304"/>
    <w:rsid w:val="000135D6"/>
    <w:rsid w:val="00013773"/>
    <w:rsid w:val="0001460E"/>
    <w:rsid w:val="00014881"/>
    <w:rsid w:val="00014BA7"/>
    <w:rsid w:val="00014BF3"/>
    <w:rsid w:val="00014D9A"/>
    <w:rsid w:val="0001523B"/>
    <w:rsid w:val="0001554B"/>
    <w:rsid w:val="00015689"/>
    <w:rsid w:val="000156E7"/>
    <w:rsid w:val="0001628F"/>
    <w:rsid w:val="000162FA"/>
    <w:rsid w:val="0001677F"/>
    <w:rsid w:val="00016D1D"/>
    <w:rsid w:val="00016F75"/>
    <w:rsid w:val="00016FB0"/>
    <w:rsid w:val="00017414"/>
    <w:rsid w:val="0001767D"/>
    <w:rsid w:val="000176C1"/>
    <w:rsid w:val="00017D5F"/>
    <w:rsid w:val="00017E11"/>
    <w:rsid w:val="00020094"/>
    <w:rsid w:val="00020179"/>
    <w:rsid w:val="00020229"/>
    <w:rsid w:val="00020266"/>
    <w:rsid w:val="00020306"/>
    <w:rsid w:val="000207BF"/>
    <w:rsid w:val="000209DC"/>
    <w:rsid w:val="00020C1E"/>
    <w:rsid w:val="000218CF"/>
    <w:rsid w:val="00021A64"/>
    <w:rsid w:val="00021C44"/>
    <w:rsid w:val="0002210B"/>
    <w:rsid w:val="0002221D"/>
    <w:rsid w:val="00022AB5"/>
    <w:rsid w:val="00022F14"/>
    <w:rsid w:val="00023177"/>
    <w:rsid w:val="0002336F"/>
    <w:rsid w:val="00023508"/>
    <w:rsid w:val="000237FD"/>
    <w:rsid w:val="00023837"/>
    <w:rsid w:val="00023CAE"/>
    <w:rsid w:val="00024149"/>
    <w:rsid w:val="0002469B"/>
    <w:rsid w:val="00024BE6"/>
    <w:rsid w:val="00024DBC"/>
    <w:rsid w:val="000250E1"/>
    <w:rsid w:val="000251D6"/>
    <w:rsid w:val="00025626"/>
    <w:rsid w:val="00025E99"/>
    <w:rsid w:val="00025F1C"/>
    <w:rsid w:val="0002625F"/>
    <w:rsid w:val="000262EE"/>
    <w:rsid w:val="000266C5"/>
    <w:rsid w:val="00026820"/>
    <w:rsid w:val="00026BA6"/>
    <w:rsid w:val="00026FDB"/>
    <w:rsid w:val="00027215"/>
    <w:rsid w:val="00027435"/>
    <w:rsid w:val="00027469"/>
    <w:rsid w:val="000279BE"/>
    <w:rsid w:val="00027A6E"/>
    <w:rsid w:val="00027C71"/>
    <w:rsid w:val="00027EB2"/>
    <w:rsid w:val="00030718"/>
    <w:rsid w:val="00030B20"/>
    <w:rsid w:val="000312AE"/>
    <w:rsid w:val="00031497"/>
    <w:rsid w:val="0003163A"/>
    <w:rsid w:val="0003270D"/>
    <w:rsid w:val="00032EC3"/>
    <w:rsid w:val="000334E4"/>
    <w:rsid w:val="0003364E"/>
    <w:rsid w:val="000336D4"/>
    <w:rsid w:val="000337BF"/>
    <w:rsid w:val="00033BC0"/>
    <w:rsid w:val="00033E86"/>
    <w:rsid w:val="000343CC"/>
    <w:rsid w:val="000346CC"/>
    <w:rsid w:val="00034746"/>
    <w:rsid w:val="000349D2"/>
    <w:rsid w:val="00034C86"/>
    <w:rsid w:val="00034CAD"/>
    <w:rsid w:val="00034E46"/>
    <w:rsid w:val="00034EC7"/>
    <w:rsid w:val="000350AE"/>
    <w:rsid w:val="000354CB"/>
    <w:rsid w:val="000357AF"/>
    <w:rsid w:val="00035DF4"/>
    <w:rsid w:val="0003602A"/>
    <w:rsid w:val="0003617E"/>
    <w:rsid w:val="000361E9"/>
    <w:rsid w:val="00036751"/>
    <w:rsid w:val="00036870"/>
    <w:rsid w:val="00036E68"/>
    <w:rsid w:val="00037103"/>
    <w:rsid w:val="0003725C"/>
    <w:rsid w:val="00037350"/>
    <w:rsid w:val="0003770C"/>
    <w:rsid w:val="0003782C"/>
    <w:rsid w:val="000378EE"/>
    <w:rsid w:val="00037C4A"/>
    <w:rsid w:val="00037D40"/>
    <w:rsid w:val="00037EFC"/>
    <w:rsid w:val="00040F22"/>
    <w:rsid w:val="00041470"/>
    <w:rsid w:val="00041513"/>
    <w:rsid w:val="00041529"/>
    <w:rsid w:val="00041924"/>
    <w:rsid w:val="000420C6"/>
    <w:rsid w:val="0004216C"/>
    <w:rsid w:val="00042332"/>
    <w:rsid w:val="0004235C"/>
    <w:rsid w:val="00042448"/>
    <w:rsid w:val="00042A3B"/>
    <w:rsid w:val="00042FBA"/>
    <w:rsid w:val="000431B5"/>
    <w:rsid w:val="00043460"/>
    <w:rsid w:val="00043716"/>
    <w:rsid w:val="00043C90"/>
    <w:rsid w:val="00043D6F"/>
    <w:rsid w:val="00043E69"/>
    <w:rsid w:val="00044326"/>
    <w:rsid w:val="00044373"/>
    <w:rsid w:val="00044782"/>
    <w:rsid w:val="000448F7"/>
    <w:rsid w:val="00044B27"/>
    <w:rsid w:val="00046127"/>
    <w:rsid w:val="000464A7"/>
    <w:rsid w:val="000467F4"/>
    <w:rsid w:val="00046E54"/>
    <w:rsid w:val="00046E93"/>
    <w:rsid w:val="00046EF9"/>
    <w:rsid w:val="00047277"/>
    <w:rsid w:val="000475A2"/>
    <w:rsid w:val="00047A6A"/>
    <w:rsid w:val="00047C36"/>
    <w:rsid w:val="00047DE3"/>
    <w:rsid w:val="00047E5E"/>
    <w:rsid w:val="00047EEC"/>
    <w:rsid w:val="00047F43"/>
    <w:rsid w:val="000500D1"/>
    <w:rsid w:val="00050234"/>
    <w:rsid w:val="000503A6"/>
    <w:rsid w:val="00050A42"/>
    <w:rsid w:val="00050D33"/>
    <w:rsid w:val="00050ECA"/>
    <w:rsid w:val="00051136"/>
    <w:rsid w:val="00051522"/>
    <w:rsid w:val="00051A19"/>
    <w:rsid w:val="00051FAF"/>
    <w:rsid w:val="00052036"/>
    <w:rsid w:val="00052138"/>
    <w:rsid w:val="0005214D"/>
    <w:rsid w:val="000521A3"/>
    <w:rsid w:val="00052398"/>
    <w:rsid w:val="0005239F"/>
    <w:rsid w:val="00052556"/>
    <w:rsid w:val="000529AB"/>
    <w:rsid w:val="00052EF7"/>
    <w:rsid w:val="00053030"/>
    <w:rsid w:val="0005334E"/>
    <w:rsid w:val="00053881"/>
    <w:rsid w:val="00053FC6"/>
    <w:rsid w:val="000542B5"/>
    <w:rsid w:val="000548FD"/>
    <w:rsid w:val="000552D2"/>
    <w:rsid w:val="0005555E"/>
    <w:rsid w:val="000556AE"/>
    <w:rsid w:val="0005596E"/>
    <w:rsid w:val="000559DA"/>
    <w:rsid w:val="00055A80"/>
    <w:rsid w:val="000562B3"/>
    <w:rsid w:val="000564C8"/>
    <w:rsid w:val="000567DB"/>
    <w:rsid w:val="00056B3F"/>
    <w:rsid w:val="00056CAC"/>
    <w:rsid w:val="00057099"/>
    <w:rsid w:val="0005710E"/>
    <w:rsid w:val="0005711F"/>
    <w:rsid w:val="000573CC"/>
    <w:rsid w:val="0005754B"/>
    <w:rsid w:val="000576AF"/>
    <w:rsid w:val="000576B7"/>
    <w:rsid w:val="0005782D"/>
    <w:rsid w:val="00057FD3"/>
    <w:rsid w:val="00060203"/>
    <w:rsid w:val="000604A6"/>
    <w:rsid w:val="0006052B"/>
    <w:rsid w:val="0006093B"/>
    <w:rsid w:val="00060BA1"/>
    <w:rsid w:val="00060C4E"/>
    <w:rsid w:val="00061103"/>
    <w:rsid w:val="0006117A"/>
    <w:rsid w:val="0006132E"/>
    <w:rsid w:val="000615A1"/>
    <w:rsid w:val="00061ACB"/>
    <w:rsid w:val="00061C86"/>
    <w:rsid w:val="00061C9C"/>
    <w:rsid w:val="00061DBF"/>
    <w:rsid w:val="00061E40"/>
    <w:rsid w:val="00061E65"/>
    <w:rsid w:val="00062040"/>
    <w:rsid w:val="000620E6"/>
    <w:rsid w:val="000625B1"/>
    <w:rsid w:val="000625E5"/>
    <w:rsid w:val="0006276A"/>
    <w:rsid w:val="00062B18"/>
    <w:rsid w:val="00062DEA"/>
    <w:rsid w:val="00063241"/>
    <w:rsid w:val="00063367"/>
    <w:rsid w:val="000636ED"/>
    <w:rsid w:val="00063BDB"/>
    <w:rsid w:val="00063C65"/>
    <w:rsid w:val="0006478C"/>
    <w:rsid w:val="00064AB2"/>
    <w:rsid w:val="00064BD0"/>
    <w:rsid w:val="00064D1C"/>
    <w:rsid w:val="00064E7E"/>
    <w:rsid w:val="0006517F"/>
    <w:rsid w:val="000656C1"/>
    <w:rsid w:val="00065A13"/>
    <w:rsid w:val="00065A56"/>
    <w:rsid w:val="00065B8A"/>
    <w:rsid w:val="00065BEE"/>
    <w:rsid w:val="00066152"/>
    <w:rsid w:val="000661CB"/>
    <w:rsid w:val="00066461"/>
    <w:rsid w:val="00066589"/>
    <w:rsid w:val="00066858"/>
    <w:rsid w:val="00066943"/>
    <w:rsid w:val="00066A91"/>
    <w:rsid w:val="000674AD"/>
    <w:rsid w:val="00067867"/>
    <w:rsid w:val="00067994"/>
    <w:rsid w:val="000701A9"/>
    <w:rsid w:val="0007029B"/>
    <w:rsid w:val="000706B1"/>
    <w:rsid w:val="0007099A"/>
    <w:rsid w:val="00070A63"/>
    <w:rsid w:val="00070E8B"/>
    <w:rsid w:val="00070ED4"/>
    <w:rsid w:val="00071054"/>
    <w:rsid w:val="000710DB"/>
    <w:rsid w:val="00071119"/>
    <w:rsid w:val="000715F8"/>
    <w:rsid w:val="00071920"/>
    <w:rsid w:val="00071BCE"/>
    <w:rsid w:val="00071CDC"/>
    <w:rsid w:val="00072497"/>
    <w:rsid w:val="00072817"/>
    <w:rsid w:val="00072835"/>
    <w:rsid w:val="00072957"/>
    <w:rsid w:val="00072E63"/>
    <w:rsid w:val="00073211"/>
    <w:rsid w:val="00073248"/>
    <w:rsid w:val="000734B3"/>
    <w:rsid w:val="00073798"/>
    <w:rsid w:val="000737F8"/>
    <w:rsid w:val="0007383D"/>
    <w:rsid w:val="00073E43"/>
    <w:rsid w:val="00074055"/>
    <w:rsid w:val="000741F1"/>
    <w:rsid w:val="0007477D"/>
    <w:rsid w:val="00074A49"/>
    <w:rsid w:val="00074B17"/>
    <w:rsid w:val="00074DFD"/>
    <w:rsid w:val="0007516F"/>
    <w:rsid w:val="000757E1"/>
    <w:rsid w:val="00075AF7"/>
    <w:rsid w:val="00075BA0"/>
    <w:rsid w:val="00075D23"/>
    <w:rsid w:val="00076261"/>
    <w:rsid w:val="00076271"/>
    <w:rsid w:val="000763FD"/>
    <w:rsid w:val="00076492"/>
    <w:rsid w:val="000764B8"/>
    <w:rsid w:val="00076874"/>
    <w:rsid w:val="000769EF"/>
    <w:rsid w:val="00076A62"/>
    <w:rsid w:val="00076B2B"/>
    <w:rsid w:val="00076F5F"/>
    <w:rsid w:val="00077747"/>
    <w:rsid w:val="00080E2D"/>
    <w:rsid w:val="0008125D"/>
    <w:rsid w:val="000813BB"/>
    <w:rsid w:val="00081540"/>
    <w:rsid w:val="000817C6"/>
    <w:rsid w:val="00081B36"/>
    <w:rsid w:val="00081F6E"/>
    <w:rsid w:val="00082593"/>
    <w:rsid w:val="0008273F"/>
    <w:rsid w:val="00082758"/>
    <w:rsid w:val="00082854"/>
    <w:rsid w:val="00082D54"/>
    <w:rsid w:val="00082E27"/>
    <w:rsid w:val="0008344E"/>
    <w:rsid w:val="00083618"/>
    <w:rsid w:val="00083EEA"/>
    <w:rsid w:val="00084267"/>
    <w:rsid w:val="00084AFE"/>
    <w:rsid w:val="00084CB2"/>
    <w:rsid w:val="00084CEB"/>
    <w:rsid w:val="00084D5B"/>
    <w:rsid w:val="000857E5"/>
    <w:rsid w:val="000858CB"/>
    <w:rsid w:val="000858DE"/>
    <w:rsid w:val="00085D01"/>
    <w:rsid w:val="00086224"/>
    <w:rsid w:val="00086313"/>
    <w:rsid w:val="0008658A"/>
    <w:rsid w:val="0008685C"/>
    <w:rsid w:val="0008730F"/>
    <w:rsid w:val="000873E1"/>
    <w:rsid w:val="00087D96"/>
    <w:rsid w:val="00087F36"/>
    <w:rsid w:val="0009096C"/>
    <w:rsid w:val="00090F98"/>
    <w:rsid w:val="000911F2"/>
    <w:rsid w:val="00091475"/>
    <w:rsid w:val="000915E2"/>
    <w:rsid w:val="00091A8B"/>
    <w:rsid w:val="00091BA9"/>
    <w:rsid w:val="00091EE9"/>
    <w:rsid w:val="000921FD"/>
    <w:rsid w:val="0009257A"/>
    <w:rsid w:val="00092660"/>
    <w:rsid w:val="00093378"/>
    <w:rsid w:val="0009352C"/>
    <w:rsid w:val="000937D0"/>
    <w:rsid w:val="00093A85"/>
    <w:rsid w:val="00093DD1"/>
    <w:rsid w:val="00094014"/>
    <w:rsid w:val="0009474B"/>
    <w:rsid w:val="000947CF"/>
    <w:rsid w:val="000949CF"/>
    <w:rsid w:val="00094AE4"/>
    <w:rsid w:val="000950DC"/>
    <w:rsid w:val="0009520C"/>
    <w:rsid w:val="000952AA"/>
    <w:rsid w:val="0009599C"/>
    <w:rsid w:val="00095A3C"/>
    <w:rsid w:val="00095AD6"/>
    <w:rsid w:val="00095CD5"/>
    <w:rsid w:val="00096361"/>
    <w:rsid w:val="000964BD"/>
    <w:rsid w:val="0009663C"/>
    <w:rsid w:val="0009714F"/>
    <w:rsid w:val="000973BF"/>
    <w:rsid w:val="0009763F"/>
    <w:rsid w:val="00097E29"/>
    <w:rsid w:val="00097E59"/>
    <w:rsid w:val="000A0155"/>
    <w:rsid w:val="000A0210"/>
    <w:rsid w:val="000A022B"/>
    <w:rsid w:val="000A0F19"/>
    <w:rsid w:val="000A1165"/>
    <w:rsid w:val="000A136C"/>
    <w:rsid w:val="000A209A"/>
    <w:rsid w:val="000A228D"/>
    <w:rsid w:val="000A36CB"/>
    <w:rsid w:val="000A378E"/>
    <w:rsid w:val="000A38E2"/>
    <w:rsid w:val="000A3A5B"/>
    <w:rsid w:val="000A3BD4"/>
    <w:rsid w:val="000A3D7E"/>
    <w:rsid w:val="000A3EB3"/>
    <w:rsid w:val="000A3ED2"/>
    <w:rsid w:val="000A3F77"/>
    <w:rsid w:val="000A3FAC"/>
    <w:rsid w:val="000A3FF7"/>
    <w:rsid w:val="000A408F"/>
    <w:rsid w:val="000A4454"/>
    <w:rsid w:val="000A459A"/>
    <w:rsid w:val="000A57CB"/>
    <w:rsid w:val="000A58CA"/>
    <w:rsid w:val="000A6356"/>
    <w:rsid w:val="000A6883"/>
    <w:rsid w:val="000A6D82"/>
    <w:rsid w:val="000A72A4"/>
    <w:rsid w:val="000A7499"/>
    <w:rsid w:val="000B0136"/>
    <w:rsid w:val="000B04EC"/>
    <w:rsid w:val="000B11B5"/>
    <w:rsid w:val="000B12D2"/>
    <w:rsid w:val="000B1732"/>
    <w:rsid w:val="000B18CC"/>
    <w:rsid w:val="000B1A4E"/>
    <w:rsid w:val="000B1D76"/>
    <w:rsid w:val="000B1E9B"/>
    <w:rsid w:val="000B1EAA"/>
    <w:rsid w:val="000B2276"/>
    <w:rsid w:val="000B2461"/>
    <w:rsid w:val="000B294E"/>
    <w:rsid w:val="000B2C17"/>
    <w:rsid w:val="000B395A"/>
    <w:rsid w:val="000B3D48"/>
    <w:rsid w:val="000B3E6D"/>
    <w:rsid w:val="000B590E"/>
    <w:rsid w:val="000B5B30"/>
    <w:rsid w:val="000B5C82"/>
    <w:rsid w:val="000B66EC"/>
    <w:rsid w:val="000B67FE"/>
    <w:rsid w:val="000B6BFE"/>
    <w:rsid w:val="000B6D49"/>
    <w:rsid w:val="000B6D5C"/>
    <w:rsid w:val="000B72AC"/>
    <w:rsid w:val="000B733D"/>
    <w:rsid w:val="000B74AC"/>
    <w:rsid w:val="000B7AE8"/>
    <w:rsid w:val="000B7F53"/>
    <w:rsid w:val="000C011E"/>
    <w:rsid w:val="000C0328"/>
    <w:rsid w:val="000C0332"/>
    <w:rsid w:val="000C0387"/>
    <w:rsid w:val="000C0C01"/>
    <w:rsid w:val="000C0DAE"/>
    <w:rsid w:val="000C11CC"/>
    <w:rsid w:val="000C130D"/>
    <w:rsid w:val="000C18EE"/>
    <w:rsid w:val="000C1B49"/>
    <w:rsid w:val="000C2320"/>
    <w:rsid w:val="000C2542"/>
    <w:rsid w:val="000C2859"/>
    <w:rsid w:val="000C34B5"/>
    <w:rsid w:val="000C36E0"/>
    <w:rsid w:val="000C3F82"/>
    <w:rsid w:val="000C4289"/>
    <w:rsid w:val="000C434F"/>
    <w:rsid w:val="000C4421"/>
    <w:rsid w:val="000C4576"/>
    <w:rsid w:val="000C4711"/>
    <w:rsid w:val="000C5332"/>
    <w:rsid w:val="000C54A0"/>
    <w:rsid w:val="000C556A"/>
    <w:rsid w:val="000C55DE"/>
    <w:rsid w:val="000C5734"/>
    <w:rsid w:val="000C5999"/>
    <w:rsid w:val="000C5E00"/>
    <w:rsid w:val="000C5F7F"/>
    <w:rsid w:val="000C642A"/>
    <w:rsid w:val="000C6D21"/>
    <w:rsid w:val="000C6E76"/>
    <w:rsid w:val="000C717A"/>
    <w:rsid w:val="000C7403"/>
    <w:rsid w:val="000C7673"/>
    <w:rsid w:val="000D038A"/>
    <w:rsid w:val="000D0551"/>
    <w:rsid w:val="000D0755"/>
    <w:rsid w:val="000D0AD5"/>
    <w:rsid w:val="000D0DC6"/>
    <w:rsid w:val="000D0E8F"/>
    <w:rsid w:val="000D12CD"/>
    <w:rsid w:val="000D1396"/>
    <w:rsid w:val="000D1B0B"/>
    <w:rsid w:val="000D2493"/>
    <w:rsid w:val="000D2B74"/>
    <w:rsid w:val="000D3215"/>
    <w:rsid w:val="000D343F"/>
    <w:rsid w:val="000D37B2"/>
    <w:rsid w:val="000D3873"/>
    <w:rsid w:val="000D3CBC"/>
    <w:rsid w:val="000D3DED"/>
    <w:rsid w:val="000D4486"/>
    <w:rsid w:val="000D4520"/>
    <w:rsid w:val="000D49AF"/>
    <w:rsid w:val="000D49F8"/>
    <w:rsid w:val="000D4EA6"/>
    <w:rsid w:val="000D53F3"/>
    <w:rsid w:val="000D5666"/>
    <w:rsid w:val="000D599E"/>
    <w:rsid w:val="000D6273"/>
    <w:rsid w:val="000D66FE"/>
    <w:rsid w:val="000D67F2"/>
    <w:rsid w:val="000D6BC7"/>
    <w:rsid w:val="000D6FD9"/>
    <w:rsid w:val="000D718C"/>
    <w:rsid w:val="000D731D"/>
    <w:rsid w:val="000D75CF"/>
    <w:rsid w:val="000D7846"/>
    <w:rsid w:val="000D7A93"/>
    <w:rsid w:val="000D7E01"/>
    <w:rsid w:val="000E0020"/>
    <w:rsid w:val="000E042E"/>
    <w:rsid w:val="000E0925"/>
    <w:rsid w:val="000E0D2C"/>
    <w:rsid w:val="000E0D7C"/>
    <w:rsid w:val="000E0EF2"/>
    <w:rsid w:val="000E0EFA"/>
    <w:rsid w:val="000E1079"/>
    <w:rsid w:val="000E124A"/>
    <w:rsid w:val="000E13F7"/>
    <w:rsid w:val="000E16A4"/>
    <w:rsid w:val="000E1808"/>
    <w:rsid w:val="000E1C57"/>
    <w:rsid w:val="000E1C87"/>
    <w:rsid w:val="000E1CC0"/>
    <w:rsid w:val="000E2107"/>
    <w:rsid w:val="000E2806"/>
    <w:rsid w:val="000E2816"/>
    <w:rsid w:val="000E2913"/>
    <w:rsid w:val="000E2AD9"/>
    <w:rsid w:val="000E2C26"/>
    <w:rsid w:val="000E3371"/>
    <w:rsid w:val="000E3AB5"/>
    <w:rsid w:val="000E3AFE"/>
    <w:rsid w:val="000E4078"/>
    <w:rsid w:val="000E4249"/>
    <w:rsid w:val="000E4299"/>
    <w:rsid w:val="000E440B"/>
    <w:rsid w:val="000E44CE"/>
    <w:rsid w:val="000E45A3"/>
    <w:rsid w:val="000E4D44"/>
    <w:rsid w:val="000E4DB5"/>
    <w:rsid w:val="000E520E"/>
    <w:rsid w:val="000E53FA"/>
    <w:rsid w:val="000E5B1B"/>
    <w:rsid w:val="000E5D84"/>
    <w:rsid w:val="000E6002"/>
    <w:rsid w:val="000E61B6"/>
    <w:rsid w:val="000E61F4"/>
    <w:rsid w:val="000E6728"/>
    <w:rsid w:val="000E691A"/>
    <w:rsid w:val="000E6937"/>
    <w:rsid w:val="000E6BE1"/>
    <w:rsid w:val="000E7334"/>
    <w:rsid w:val="000E7391"/>
    <w:rsid w:val="000F01E2"/>
    <w:rsid w:val="000F0518"/>
    <w:rsid w:val="000F0532"/>
    <w:rsid w:val="000F0B08"/>
    <w:rsid w:val="000F0BAA"/>
    <w:rsid w:val="000F0DD1"/>
    <w:rsid w:val="000F0F94"/>
    <w:rsid w:val="000F11C7"/>
    <w:rsid w:val="000F1253"/>
    <w:rsid w:val="000F1505"/>
    <w:rsid w:val="000F199A"/>
    <w:rsid w:val="000F1D4A"/>
    <w:rsid w:val="000F1E91"/>
    <w:rsid w:val="000F263B"/>
    <w:rsid w:val="000F2BEB"/>
    <w:rsid w:val="000F2ED3"/>
    <w:rsid w:val="000F3096"/>
    <w:rsid w:val="000F3222"/>
    <w:rsid w:val="000F36BB"/>
    <w:rsid w:val="000F3863"/>
    <w:rsid w:val="000F397C"/>
    <w:rsid w:val="000F3D3F"/>
    <w:rsid w:val="000F437F"/>
    <w:rsid w:val="000F47F8"/>
    <w:rsid w:val="000F48E3"/>
    <w:rsid w:val="000F4ADE"/>
    <w:rsid w:val="000F4B0E"/>
    <w:rsid w:val="000F4C58"/>
    <w:rsid w:val="000F4CF8"/>
    <w:rsid w:val="000F5113"/>
    <w:rsid w:val="000F53DC"/>
    <w:rsid w:val="000F5735"/>
    <w:rsid w:val="000F5BEE"/>
    <w:rsid w:val="000F5F35"/>
    <w:rsid w:val="000F5F49"/>
    <w:rsid w:val="000F5FD5"/>
    <w:rsid w:val="000F643F"/>
    <w:rsid w:val="000F687F"/>
    <w:rsid w:val="000F6C70"/>
    <w:rsid w:val="000F6D86"/>
    <w:rsid w:val="000F6E9F"/>
    <w:rsid w:val="000F6F70"/>
    <w:rsid w:val="000F7154"/>
    <w:rsid w:val="000F7695"/>
    <w:rsid w:val="000F7AB3"/>
    <w:rsid w:val="000F7CA3"/>
    <w:rsid w:val="000F7F0C"/>
    <w:rsid w:val="0010005A"/>
    <w:rsid w:val="0010033C"/>
    <w:rsid w:val="001004D0"/>
    <w:rsid w:val="00100E18"/>
    <w:rsid w:val="00101793"/>
    <w:rsid w:val="0010254C"/>
    <w:rsid w:val="00102559"/>
    <w:rsid w:val="0010270B"/>
    <w:rsid w:val="0010273E"/>
    <w:rsid w:val="0010277A"/>
    <w:rsid w:val="00102B96"/>
    <w:rsid w:val="00103449"/>
    <w:rsid w:val="00103674"/>
    <w:rsid w:val="00103D1B"/>
    <w:rsid w:val="00103ED1"/>
    <w:rsid w:val="00104B11"/>
    <w:rsid w:val="00104CCA"/>
    <w:rsid w:val="00105514"/>
    <w:rsid w:val="0010567B"/>
    <w:rsid w:val="00105737"/>
    <w:rsid w:val="00105871"/>
    <w:rsid w:val="001059F1"/>
    <w:rsid w:val="001064E3"/>
    <w:rsid w:val="001065EE"/>
    <w:rsid w:val="00106A48"/>
    <w:rsid w:val="00106DB2"/>
    <w:rsid w:val="00106FE8"/>
    <w:rsid w:val="001075B3"/>
    <w:rsid w:val="001076A9"/>
    <w:rsid w:val="001077AB"/>
    <w:rsid w:val="001079D3"/>
    <w:rsid w:val="00107A42"/>
    <w:rsid w:val="00107E89"/>
    <w:rsid w:val="00110439"/>
    <w:rsid w:val="00110621"/>
    <w:rsid w:val="00110667"/>
    <w:rsid w:val="00110682"/>
    <w:rsid w:val="001111FE"/>
    <w:rsid w:val="00111210"/>
    <w:rsid w:val="0011131F"/>
    <w:rsid w:val="00111724"/>
    <w:rsid w:val="001126BD"/>
    <w:rsid w:val="001127A6"/>
    <w:rsid w:val="00112AB9"/>
    <w:rsid w:val="00112CCC"/>
    <w:rsid w:val="00112DB0"/>
    <w:rsid w:val="0011304F"/>
    <w:rsid w:val="00113F29"/>
    <w:rsid w:val="001143F5"/>
    <w:rsid w:val="0011446F"/>
    <w:rsid w:val="0011448F"/>
    <w:rsid w:val="00114673"/>
    <w:rsid w:val="00114ED7"/>
    <w:rsid w:val="0011512E"/>
    <w:rsid w:val="0011561F"/>
    <w:rsid w:val="001156D7"/>
    <w:rsid w:val="0011580A"/>
    <w:rsid w:val="00115906"/>
    <w:rsid w:val="00116E71"/>
    <w:rsid w:val="00117144"/>
    <w:rsid w:val="00117986"/>
    <w:rsid w:val="00117AC8"/>
    <w:rsid w:val="00117D1C"/>
    <w:rsid w:val="00117D40"/>
    <w:rsid w:val="00120190"/>
    <w:rsid w:val="001205F0"/>
    <w:rsid w:val="0012093C"/>
    <w:rsid w:val="00120A05"/>
    <w:rsid w:val="00120A57"/>
    <w:rsid w:val="00120ADF"/>
    <w:rsid w:val="00120AF2"/>
    <w:rsid w:val="001213FB"/>
    <w:rsid w:val="0012142B"/>
    <w:rsid w:val="00121E57"/>
    <w:rsid w:val="00122022"/>
    <w:rsid w:val="00122089"/>
    <w:rsid w:val="00122AAD"/>
    <w:rsid w:val="00122AC9"/>
    <w:rsid w:val="00122F37"/>
    <w:rsid w:val="0012390F"/>
    <w:rsid w:val="00123CD7"/>
    <w:rsid w:val="00123D40"/>
    <w:rsid w:val="0012404B"/>
    <w:rsid w:val="00124348"/>
    <w:rsid w:val="00124528"/>
    <w:rsid w:val="0012466D"/>
    <w:rsid w:val="00124880"/>
    <w:rsid w:val="00124CB5"/>
    <w:rsid w:val="00124E1A"/>
    <w:rsid w:val="00125386"/>
    <w:rsid w:val="0012581B"/>
    <w:rsid w:val="00125D8C"/>
    <w:rsid w:val="00125F9A"/>
    <w:rsid w:val="00126BBF"/>
    <w:rsid w:val="00127159"/>
    <w:rsid w:val="0012736A"/>
    <w:rsid w:val="00127A1B"/>
    <w:rsid w:val="00127FC8"/>
    <w:rsid w:val="0013002C"/>
    <w:rsid w:val="00130769"/>
    <w:rsid w:val="0013083E"/>
    <w:rsid w:val="00130BF3"/>
    <w:rsid w:val="00130CA2"/>
    <w:rsid w:val="00130DA0"/>
    <w:rsid w:val="00131376"/>
    <w:rsid w:val="001317D2"/>
    <w:rsid w:val="0013197D"/>
    <w:rsid w:val="00131A3C"/>
    <w:rsid w:val="00132222"/>
    <w:rsid w:val="00132430"/>
    <w:rsid w:val="0013315D"/>
    <w:rsid w:val="00133B62"/>
    <w:rsid w:val="00133DF0"/>
    <w:rsid w:val="0013411D"/>
    <w:rsid w:val="00134A8E"/>
    <w:rsid w:val="00134D39"/>
    <w:rsid w:val="00134D60"/>
    <w:rsid w:val="00134F8F"/>
    <w:rsid w:val="00135062"/>
    <w:rsid w:val="00135559"/>
    <w:rsid w:val="00135680"/>
    <w:rsid w:val="001361CC"/>
    <w:rsid w:val="00136333"/>
    <w:rsid w:val="001366B4"/>
    <w:rsid w:val="00136B2B"/>
    <w:rsid w:val="00136D9C"/>
    <w:rsid w:val="00136F52"/>
    <w:rsid w:val="00136FFD"/>
    <w:rsid w:val="00137787"/>
    <w:rsid w:val="00137DB0"/>
    <w:rsid w:val="001402EF"/>
    <w:rsid w:val="0014090B"/>
    <w:rsid w:val="00140D0D"/>
    <w:rsid w:val="00140FF0"/>
    <w:rsid w:val="0014131B"/>
    <w:rsid w:val="00141645"/>
    <w:rsid w:val="001417B2"/>
    <w:rsid w:val="00141EE2"/>
    <w:rsid w:val="00142003"/>
    <w:rsid w:val="00142319"/>
    <w:rsid w:val="001425C8"/>
    <w:rsid w:val="00142B9F"/>
    <w:rsid w:val="00142F75"/>
    <w:rsid w:val="001431AD"/>
    <w:rsid w:val="00143B83"/>
    <w:rsid w:val="001442FF"/>
    <w:rsid w:val="001449EA"/>
    <w:rsid w:val="00144D21"/>
    <w:rsid w:val="00144E35"/>
    <w:rsid w:val="001453FD"/>
    <w:rsid w:val="00145752"/>
    <w:rsid w:val="00145CFF"/>
    <w:rsid w:val="00146476"/>
    <w:rsid w:val="001468E0"/>
    <w:rsid w:val="00146C80"/>
    <w:rsid w:val="00146E26"/>
    <w:rsid w:val="00147473"/>
    <w:rsid w:val="00147722"/>
    <w:rsid w:val="00150278"/>
    <w:rsid w:val="00150736"/>
    <w:rsid w:val="00150BA6"/>
    <w:rsid w:val="001511F2"/>
    <w:rsid w:val="001515A2"/>
    <w:rsid w:val="00151783"/>
    <w:rsid w:val="001517BB"/>
    <w:rsid w:val="001519A6"/>
    <w:rsid w:val="00151A3F"/>
    <w:rsid w:val="00151B70"/>
    <w:rsid w:val="00152056"/>
    <w:rsid w:val="0015227A"/>
    <w:rsid w:val="0015229D"/>
    <w:rsid w:val="0015261D"/>
    <w:rsid w:val="00152918"/>
    <w:rsid w:val="00152F4D"/>
    <w:rsid w:val="00153494"/>
    <w:rsid w:val="00153634"/>
    <w:rsid w:val="0015376C"/>
    <w:rsid w:val="001538BC"/>
    <w:rsid w:val="00153CF1"/>
    <w:rsid w:val="00153E3B"/>
    <w:rsid w:val="00153F5F"/>
    <w:rsid w:val="0015422A"/>
    <w:rsid w:val="001544D9"/>
    <w:rsid w:val="00154898"/>
    <w:rsid w:val="00154BB6"/>
    <w:rsid w:val="00154CE1"/>
    <w:rsid w:val="00154D78"/>
    <w:rsid w:val="00155165"/>
    <w:rsid w:val="00155356"/>
    <w:rsid w:val="001554F8"/>
    <w:rsid w:val="001555B7"/>
    <w:rsid w:val="001556B8"/>
    <w:rsid w:val="00155C28"/>
    <w:rsid w:val="00155F90"/>
    <w:rsid w:val="001560F4"/>
    <w:rsid w:val="0015621E"/>
    <w:rsid w:val="001564E3"/>
    <w:rsid w:val="0015679A"/>
    <w:rsid w:val="00156C09"/>
    <w:rsid w:val="00156E8B"/>
    <w:rsid w:val="0015730A"/>
    <w:rsid w:val="00157783"/>
    <w:rsid w:val="00160195"/>
    <w:rsid w:val="001602E2"/>
    <w:rsid w:val="0016030D"/>
    <w:rsid w:val="0016033C"/>
    <w:rsid w:val="00160698"/>
    <w:rsid w:val="00160882"/>
    <w:rsid w:val="00160DC4"/>
    <w:rsid w:val="001611ED"/>
    <w:rsid w:val="0016163A"/>
    <w:rsid w:val="0016173B"/>
    <w:rsid w:val="0016187E"/>
    <w:rsid w:val="001618B7"/>
    <w:rsid w:val="001618F0"/>
    <w:rsid w:val="00161B17"/>
    <w:rsid w:val="00161B7C"/>
    <w:rsid w:val="00161E61"/>
    <w:rsid w:val="00161EB1"/>
    <w:rsid w:val="001621B1"/>
    <w:rsid w:val="00162323"/>
    <w:rsid w:val="00162767"/>
    <w:rsid w:val="00162881"/>
    <w:rsid w:val="00162A3E"/>
    <w:rsid w:val="00162C5C"/>
    <w:rsid w:val="00162FCB"/>
    <w:rsid w:val="00163311"/>
    <w:rsid w:val="0016376A"/>
    <w:rsid w:val="00163CB1"/>
    <w:rsid w:val="00163F42"/>
    <w:rsid w:val="00164036"/>
    <w:rsid w:val="0016410B"/>
    <w:rsid w:val="0016448D"/>
    <w:rsid w:val="00164637"/>
    <w:rsid w:val="001646FC"/>
    <w:rsid w:val="00164785"/>
    <w:rsid w:val="00164EAC"/>
    <w:rsid w:val="00164FCB"/>
    <w:rsid w:val="001650DA"/>
    <w:rsid w:val="00165105"/>
    <w:rsid w:val="001654D1"/>
    <w:rsid w:val="0016551E"/>
    <w:rsid w:val="0016582D"/>
    <w:rsid w:val="0016587B"/>
    <w:rsid w:val="00165910"/>
    <w:rsid w:val="001659B3"/>
    <w:rsid w:val="00165A33"/>
    <w:rsid w:val="00165CFF"/>
    <w:rsid w:val="00165EF7"/>
    <w:rsid w:val="001660BD"/>
    <w:rsid w:val="001666DF"/>
    <w:rsid w:val="00166955"/>
    <w:rsid w:val="00167078"/>
    <w:rsid w:val="001671D8"/>
    <w:rsid w:val="00167608"/>
    <w:rsid w:val="00167BA4"/>
    <w:rsid w:val="00167DDF"/>
    <w:rsid w:val="00167E93"/>
    <w:rsid w:val="0017005C"/>
    <w:rsid w:val="0017006F"/>
    <w:rsid w:val="0017008E"/>
    <w:rsid w:val="0017067F"/>
    <w:rsid w:val="00171019"/>
    <w:rsid w:val="00171062"/>
    <w:rsid w:val="00171249"/>
    <w:rsid w:val="00171352"/>
    <w:rsid w:val="00171387"/>
    <w:rsid w:val="00171741"/>
    <w:rsid w:val="0017191E"/>
    <w:rsid w:val="00171AE1"/>
    <w:rsid w:val="00171D0A"/>
    <w:rsid w:val="00171FE0"/>
    <w:rsid w:val="001722E1"/>
    <w:rsid w:val="001723AA"/>
    <w:rsid w:val="001727FA"/>
    <w:rsid w:val="00172C97"/>
    <w:rsid w:val="00172D98"/>
    <w:rsid w:val="00172EC6"/>
    <w:rsid w:val="00173043"/>
    <w:rsid w:val="001730EB"/>
    <w:rsid w:val="001732B8"/>
    <w:rsid w:val="00173A1E"/>
    <w:rsid w:val="00173B10"/>
    <w:rsid w:val="00173C3B"/>
    <w:rsid w:val="00173DF8"/>
    <w:rsid w:val="00173F21"/>
    <w:rsid w:val="00174017"/>
    <w:rsid w:val="001743F4"/>
    <w:rsid w:val="00174451"/>
    <w:rsid w:val="00174AFF"/>
    <w:rsid w:val="00174D35"/>
    <w:rsid w:val="00174DFF"/>
    <w:rsid w:val="001751FC"/>
    <w:rsid w:val="00175239"/>
    <w:rsid w:val="001756C0"/>
    <w:rsid w:val="00175DA7"/>
    <w:rsid w:val="00175EEA"/>
    <w:rsid w:val="00176508"/>
    <w:rsid w:val="00176C61"/>
    <w:rsid w:val="00176F57"/>
    <w:rsid w:val="001773DB"/>
    <w:rsid w:val="00177435"/>
    <w:rsid w:val="00177580"/>
    <w:rsid w:val="00177A7D"/>
    <w:rsid w:val="00177C81"/>
    <w:rsid w:val="001800EC"/>
    <w:rsid w:val="00180941"/>
    <w:rsid w:val="00180CBA"/>
    <w:rsid w:val="00180F8A"/>
    <w:rsid w:val="0018108D"/>
    <w:rsid w:val="00181334"/>
    <w:rsid w:val="001815B3"/>
    <w:rsid w:val="001816ED"/>
    <w:rsid w:val="0018171C"/>
    <w:rsid w:val="00181996"/>
    <w:rsid w:val="00181CD8"/>
    <w:rsid w:val="00182471"/>
    <w:rsid w:val="0018253A"/>
    <w:rsid w:val="00182806"/>
    <w:rsid w:val="00182899"/>
    <w:rsid w:val="001829DC"/>
    <w:rsid w:val="00182C39"/>
    <w:rsid w:val="00182D3A"/>
    <w:rsid w:val="00182E96"/>
    <w:rsid w:val="00182F62"/>
    <w:rsid w:val="00183284"/>
    <w:rsid w:val="001837D1"/>
    <w:rsid w:val="00183C6B"/>
    <w:rsid w:val="00184BBC"/>
    <w:rsid w:val="00185071"/>
    <w:rsid w:val="0018536A"/>
    <w:rsid w:val="001855D2"/>
    <w:rsid w:val="00185BFB"/>
    <w:rsid w:val="0018620A"/>
    <w:rsid w:val="0018658B"/>
    <w:rsid w:val="001865A7"/>
    <w:rsid w:val="001865E8"/>
    <w:rsid w:val="001867C0"/>
    <w:rsid w:val="00186DA4"/>
    <w:rsid w:val="00187168"/>
    <w:rsid w:val="0018730D"/>
    <w:rsid w:val="001874C5"/>
    <w:rsid w:val="001874DA"/>
    <w:rsid w:val="00187972"/>
    <w:rsid w:val="00187B9D"/>
    <w:rsid w:val="00187BFF"/>
    <w:rsid w:val="00187C51"/>
    <w:rsid w:val="00187FE7"/>
    <w:rsid w:val="0019022D"/>
    <w:rsid w:val="0019043C"/>
    <w:rsid w:val="001905CB"/>
    <w:rsid w:val="001906A9"/>
    <w:rsid w:val="0019070B"/>
    <w:rsid w:val="00190928"/>
    <w:rsid w:val="0019111D"/>
    <w:rsid w:val="0019140A"/>
    <w:rsid w:val="001914C9"/>
    <w:rsid w:val="0019163E"/>
    <w:rsid w:val="0019217D"/>
    <w:rsid w:val="00192403"/>
    <w:rsid w:val="001924C5"/>
    <w:rsid w:val="00192516"/>
    <w:rsid w:val="001925EE"/>
    <w:rsid w:val="001930A5"/>
    <w:rsid w:val="00193103"/>
    <w:rsid w:val="001931C5"/>
    <w:rsid w:val="001932FF"/>
    <w:rsid w:val="00193323"/>
    <w:rsid w:val="001936B9"/>
    <w:rsid w:val="00193974"/>
    <w:rsid w:val="00193FD3"/>
    <w:rsid w:val="00193FDA"/>
    <w:rsid w:val="0019408D"/>
    <w:rsid w:val="0019484F"/>
    <w:rsid w:val="0019488E"/>
    <w:rsid w:val="001949A8"/>
    <w:rsid w:val="00194E21"/>
    <w:rsid w:val="0019518E"/>
    <w:rsid w:val="001956B8"/>
    <w:rsid w:val="00195A27"/>
    <w:rsid w:val="00195C71"/>
    <w:rsid w:val="00196D0A"/>
    <w:rsid w:val="00196D0B"/>
    <w:rsid w:val="00196D3B"/>
    <w:rsid w:val="00196D8E"/>
    <w:rsid w:val="00196E08"/>
    <w:rsid w:val="00197329"/>
    <w:rsid w:val="001974F0"/>
    <w:rsid w:val="00197932"/>
    <w:rsid w:val="001A0631"/>
    <w:rsid w:val="001A0668"/>
    <w:rsid w:val="001A07F9"/>
    <w:rsid w:val="001A0BE2"/>
    <w:rsid w:val="001A0C0E"/>
    <w:rsid w:val="001A105B"/>
    <w:rsid w:val="001A1104"/>
    <w:rsid w:val="001A133C"/>
    <w:rsid w:val="001A13B7"/>
    <w:rsid w:val="001A17E4"/>
    <w:rsid w:val="001A18D0"/>
    <w:rsid w:val="001A1B35"/>
    <w:rsid w:val="001A22B2"/>
    <w:rsid w:val="001A2382"/>
    <w:rsid w:val="001A23CC"/>
    <w:rsid w:val="001A24FB"/>
    <w:rsid w:val="001A25F0"/>
    <w:rsid w:val="001A2977"/>
    <w:rsid w:val="001A2E79"/>
    <w:rsid w:val="001A2FA1"/>
    <w:rsid w:val="001A33DC"/>
    <w:rsid w:val="001A34B0"/>
    <w:rsid w:val="001A3F2B"/>
    <w:rsid w:val="001A426E"/>
    <w:rsid w:val="001A4697"/>
    <w:rsid w:val="001A4910"/>
    <w:rsid w:val="001A494B"/>
    <w:rsid w:val="001A4ED5"/>
    <w:rsid w:val="001A5158"/>
    <w:rsid w:val="001A53B3"/>
    <w:rsid w:val="001A5A06"/>
    <w:rsid w:val="001A5BB3"/>
    <w:rsid w:val="001A5CF5"/>
    <w:rsid w:val="001A5E51"/>
    <w:rsid w:val="001A6156"/>
    <w:rsid w:val="001A6584"/>
    <w:rsid w:val="001A67D7"/>
    <w:rsid w:val="001A6BF1"/>
    <w:rsid w:val="001A6C56"/>
    <w:rsid w:val="001A6E7D"/>
    <w:rsid w:val="001A70AF"/>
    <w:rsid w:val="001A74BE"/>
    <w:rsid w:val="001A79C7"/>
    <w:rsid w:val="001A7B4E"/>
    <w:rsid w:val="001B0577"/>
    <w:rsid w:val="001B05E5"/>
    <w:rsid w:val="001B065A"/>
    <w:rsid w:val="001B0703"/>
    <w:rsid w:val="001B09C5"/>
    <w:rsid w:val="001B0F8E"/>
    <w:rsid w:val="001B1C4B"/>
    <w:rsid w:val="001B1F4E"/>
    <w:rsid w:val="001B203A"/>
    <w:rsid w:val="001B21A7"/>
    <w:rsid w:val="001B23F6"/>
    <w:rsid w:val="001B245A"/>
    <w:rsid w:val="001B26EE"/>
    <w:rsid w:val="001B2F0A"/>
    <w:rsid w:val="001B3074"/>
    <w:rsid w:val="001B314F"/>
    <w:rsid w:val="001B3485"/>
    <w:rsid w:val="001B38C6"/>
    <w:rsid w:val="001B3A58"/>
    <w:rsid w:val="001B3AEC"/>
    <w:rsid w:val="001B3C22"/>
    <w:rsid w:val="001B3D1D"/>
    <w:rsid w:val="001B3DC8"/>
    <w:rsid w:val="001B4333"/>
    <w:rsid w:val="001B4570"/>
    <w:rsid w:val="001B53CD"/>
    <w:rsid w:val="001B5415"/>
    <w:rsid w:val="001B561F"/>
    <w:rsid w:val="001B58B2"/>
    <w:rsid w:val="001B5D8D"/>
    <w:rsid w:val="001B5EC7"/>
    <w:rsid w:val="001B6077"/>
    <w:rsid w:val="001B61A0"/>
    <w:rsid w:val="001B62F6"/>
    <w:rsid w:val="001B643A"/>
    <w:rsid w:val="001B6627"/>
    <w:rsid w:val="001B6B44"/>
    <w:rsid w:val="001B6BA0"/>
    <w:rsid w:val="001B705C"/>
    <w:rsid w:val="001B72B0"/>
    <w:rsid w:val="001B75BD"/>
    <w:rsid w:val="001B76BB"/>
    <w:rsid w:val="001B78F9"/>
    <w:rsid w:val="001B7D7F"/>
    <w:rsid w:val="001C03EC"/>
    <w:rsid w:val="001C07F7"/>
    <w:rsid w:val="001C0929"/>
    <w:rsid w:val="001C0D1C"/>
    <w:rsid w:val="001C1696"/>
    <w:rsid w:val="001C16E0"/>
    <w:rsid w:val="001C1AE7"/>
    <w:rsid w:val="001C24E8"/>
    <w:rsid w:val="001C2C0E"/>
    <w:rsid w:val="001C2DFD"/>
    <w:rsid w:val="001C2E3D"/>
    <w:rsid w:val="001C312F"/>
    <w:rsid w:val="001C3767"/>
    <w:rsid w:val="001C3D3C"/>
    <w:rsid w:val="001C3E57"/>
    <w:rsid w:val="001C4247"/>
    <w:rsid w:val="001C44F5"/>
    <w:rsid w:val="001C4847"/>
    <w:rsid w:val="001C4985"/>
    <w:rsid w:val="001C526B"/>
    <w:rsid w:val="001C570E"/>
    <w:rsid w:val="001C5D2E"/>
    <w:rsid w:val="001C60A6"/>
    <w:rsid w:val="001C6126"/>
    <w:rsid w:val="001C629C"/>
    <w:rsid w:val="001C66B7"/>
    <w:rsid w:val="001C683E"/>
    <w:rsid w:val="001C7273"/>
    <w:rsid w:val="001C72F1"/>
    <w:rsid w:val="001D09F7"/>
    <w:rsid w:val="001D0BD1"/>
    <w:rsid w:val="001D0ED4"/>
    <w:rsid w:val="001D13EB"/>
    <w:rsid w:val="001D15BB"/>
    <w:rsid w:val="001D1E4E"/>
    <w:rsid w:val="001D20A4"/>
    <w:rsid w:val="001D21E3"/>
    <w:rsid w:val="001D2848"/>
    <w:rsid w:val="001D2A3C"/>
    <w:rsid w:val="001D33C9"/>
    <w:rsid w:val="001D37DE"/>
    <w:rsid w:val="001D37E9"/>
    <w:rsid w:val="001D3C56"/>
    <w:rsid w:val="001D3F75"/>
    <w:rsid w:val="001D4843"/>
    <w:rsid w:val="001D4954"/>
    <w:rsid w:val="001D4BB9"/>
    <w:rsid w:val="001D4D70"/>
    <w:rsid w:val="001D4E3F"/>
    <w:rsid w:val="001D4FD0"/>
    <w:rsid w:val="001D4FD1"/>
    <w:rsid w:val="001D505E"/>
    <w:rsid w:val="001D51F9"/>
    <w:rsid w:val="001D52BB"/>
    <w:rsid w:val="001D6028"/>
    <w:rsid w:val="001D61F9"/>
    <w:rsid w:val="001D627A"/>
    <w:rsid w:val="001D691A"/>
    <w:rsid w:val="001D6E2B"/>
    <w:rsid w:val="001D71A0"/>
    <w:rsid w:val="001D7205"/>
    <w:rsid w:val="001D77A1"/>
    <w:rsid w:val="001E0083"/>
    <w:rsid w:val="001E0AC9"/>
    <w:rsid w:val="001E0E3D"/>
    <w:rsid w:val="001E2142"/>
    <w:rsid w:val="001E2712"/>
    <w:rsid w:val="001E2A22"/>
    <w:rsid w:val="001E34E6"/>
    <w:rsid w:val="001E3B3C"/>
    <w:rsid w:val="001E3C0B"/>
    <w:rsid w:val="001E3FF1"/>
    <w:rsid w:val="001E546F"/>
    <w:rsid w:val="001E5523"/>
    <w:rsid w:val="001E5AA3"/>
    <w:rsid w:val="001E5ADC"/>
    <w:rsid w:val="001E5B06"/>
    <w:rsid w:val="001E5CA0"/>
    <w:rsid w:val="001E5FFB"/>
    <w:rsid w:val="001E6073"/>
    <w:rsid w:val="001E6826"/>
    <w:rsid w:val="001E6982"/>
    <w:rsid w:val="001E6BBA"/>
    <w:rsid w:val="001E6D9E"/>
    <w:rsid w:val="001E70DA"/>
    <w:rsid w:val="001E72E9"/>
    <w:rsid w:val="001E74BA"/>
    <w:rsid w:val="001E75DF"/>
    <w:rsid w:val="001E763A"/>
    <w:rsid w:val="001E767E"/>
    <w:rsid w:val="001E7C7F"/>
    <w:rsid w:val="001F0349"/>
    <w:rsid w:val="001F03F5"/>
    <w:rsid w:val="001F0B72"/>
    <w:rsid w:val="001F0D77"/>
    <w:rsid w:val="001F100C"/>
    <w:rsid w:val="001F17A3"/>
    <w:rsid w:val="001F1A51"/>
    <w:rsid w:val="001F1B6B"/>
    <w:rsid w:val="001F1C15"/>
    <w:rsid w:val="001F1EBA"/>
    <w:rsid w:val="001F21D2"/>
    <w:rsid w:val="001F22F0"/>
    <w:rsid w:val="001F26FA"/>
    <w:rsid w:val="001F28E5"/>
    <w:rsid w:val="001F29CB"/>
    <w:rsid w:val="001F29F6"/>
    <w:rsid w:val="001F2CFA"/>
    <w:rsid w:val="001F2FC3"/>
    <w:rsid w:val="001F351B"/>
    <w:rsid w:val="001F404C"/>
    <w:rsid w:val="001F41FD"/>
    <w:rsid w:val="001F44F6"/>
    <w:rsid w:val="001F46AE"/>
    <w:rsid w:val="001F4B88"/>
    <w:rsid w:val="001F50A5"/>
    <w:rsid w:val="001F548A"/>
    <w:rsid w:val="001F5856"/>
    <w:rsid w:val="001F590D"/>
    <w:rsid w:val="001F5D8C"/>
    <w:rsid w:val="001F657F"/>
    <w:rsid w:val="001F66A2"/>
    <w:rsid w:val="001F6747"/>
    <w:rsid w:val="001F67AC"/>
    <w:rsid w:val="001F67D8"/>
    <w:rsid w:val="001F6FFE"/>
    <w:rsid w:val="001F7273"/>
    <w:rsid w:val="001F778C"/>
    <w:rsid w:val="001F78E6"/>
    <w:rsid w:val="001F7F3D"/>
    <w:rsid w:val="0020031C"/>
    <w:rsid w:val="002003A7"/>
    <w:rsid w:val="0020044D"/>
    <w:rsid w:val="002006F7"/>
    <w:rsid w:val="002008D3"/>
    <w:rsid w:val="00200BA6"/>
    <w:rsid w:val="00201087"/>
    <w:rsid w:val="00201235"/>
    <w:rsid w:val="00201A56"/>
    <w:rsid w:val="00202081"/>
    <w:rsid w:val="0020215E"/>
    <w:rsid w:val="0020216A"/>
    <w:rsid w:val="002023AC"/>
    <w:rsid w:val="0020244B"/>
    <w:rsid w:val="0020253E"/>
    <w:rsid w:val="00202FDD"/>
    <w:rsid w:val="00203062"/>
    <w:rsid w:val="0020345E"/>
    <w:rsid w:val="002036BC"/>
    <w:rsid w:val="002036EA"/>
    <w:rsid w:val="0020409F"/>
    <w:rsid w:val="002043FD"/>
    <w:rsid w:val="002047BE"/>
    <w:rsid w:val="0020489C"/>
    <w:rsid w:val="00204FF0"/>
    <w:rsid w:val="002050B8"/>
    <w:rsid w:val="00205219"/>
    <w:rsid w:val="00205351"/>
    <w:rsid w:val="0020538A"/>
    <w:rsid w:val="00205EB1"/>
    <w:rsid w:val="002063D8"/>
    <w:rsid w:val="002064E1"/>
    <w:rsid w:val="00206832"/>
    <w:rsid w:val="00206AB8"/>
    <w:rsid w:val="00206DA5"/>
    <w:rsid w:val="00206FC5"/>
    <w:rsid w:val="0020754B"/>
    <w:rsid w:val="0020756A"/>
    <w:rsid w:val="002078EA"/>
    <w:rsid w:val="00207A0B"/>
    <w:rsid w:val="00207C35"/>
    <w:rsid w:val="00210214"/>
    <w:rsid w:val="00210343"/>
    <w:rsid w:val="00210651"/>
    <w:rsid w:val="00210999"/>
    <w:rsid w:val="00210A01"/>
    <w:rsid w:val="00211721"/>
    <w:rsid w:val="00211979"/>
    <w:rsid w:val="00211F58"/>
    <w:rsid w:val="002121AB"/>
    <w:rsid w:val="002126F0"/>
    <w:rsid w:val="00212B8F"/>
    <w:rsid w:val="00212D7A"/>
    <w:rsid w:val="002136A3"/>
    <w:rsid w:val="002137D6"/>
    <w:rsid w:val="00213950"/>
    <w:rsid w:val="00213A9B"/>
    <w:rsid w:val="00213AEA"/>
    <w:rsid w:val="00214142"/>
    <w:rsid w:val="002144F9"/>
    <w:rsid w:val="002145A8"/>
    <w:rsid w:val="00214860"/>
    <w:rsid w:val="00214C9F"/>
    <w:rsid w:val="00214CAD"/>
    <w:rsid w:val="00214FCC"/>
    <w:rsid w:val="00215966"/>
    <w:rsid w:val="00215D15"/>
    <w:rsid w:val="00215D16"/>
    <w:rsid w:val="00215DBB"/>
    <w:rsid w:val="00215F1A"/>
    <w:rsid w:val="00216057"/>
    <w:rsid w:val="00216060"/>
    <w:rsid w:val="002164BB"/>
    <w:rsid w:val="002165C4"/>
    <w:rsid w:val="00216B4B"/>
    <w:rsid w:val="00216F88"/>
    <w:rsid w:val="002175EA"/>
    <w:rsid w:val="00217B50"/>
    <w:rsid w:val="00220234"/>
    <w:rsid w:val="0022080B"/>
    <w:rsid w:val="00220DAF"/>
    <w:rsid w:val="00221447"/>
    <w:rsid w:val="002216EA"/>
    <w:rsid w:val="002218E0"/>
    <w:rsid w:val="00221A29"/>
    <w:rsid w:val="00221CC6"/>
    <w:rsid w:val="00221CF7"/>
    <w:rsid w:val="00221D99"/>
    <w:rsid w:val="00222077"/>
    <w:rsid w:val="002223D0"/>
    <w:rsid w:val="00222638"/>
    <w:rsid w:val="00222691"/>
    <w:rsid w:val="00222E67"/>
    <w:rsid w:val="00222E88"/>
    <w:rsid w:val="00223103"/>
    <w:rsid w:val="00223165"/>
    <w:rsid w:val="00223557"/>
    <w:rsid w:val="002235E8"/>
    <w:rsid w:val="0022389C"/>
    <w:rsid w:val="00223A62"/>
    <w:rsid w:val="00223E3D"/>
    <w:rsid w:val="0022475B"/>
    <w:rsid w:val="002249A3"/>
    <w:rsid w:val="00224B38"/>
    <w:rsid w:val="00224BA0"/>
    <w:rsid w:val="00224C4A"/>
    <w:rsid w:val="00225162"/>
    <w:rsid w:val="0022580A"/>
    <w:rsid w:val="00225EE3"/>
    <w:rsid w:val="00226121"/>
    <w:rsid w:val="002263EE"/>
    <w:rsid w:val="00226475"/>
    <w:rsid w:val="002269FA"/>
    <w:rsid w:val="0022724E"/>
    <w:rsid w:val="00227C9F"/>
    <w:rsid w:val="0023041F"/>
    <w:rsid w:val="002307E5"/>
    <w:rsid w:val="00231350"/>
    <w:rsid w:val="00231C4D"/>
    <w:rsid w:val="00231E78"/>
    <w:rsid w:val="00232A7C"/>
    <w:rsid w:val="00233843"/>
    <w:rsid w:val="00233872"/>
    <w:rsid w:val="0023397C"/>
    <w:rsid w:val="00233987"/>
    <w:rsid w:val="00233D8C"/>
    <w:rsid w:val="00233E9A"/>
    <w:rsid w:val="002340AA"/>
    <w:rsid w:val="0023463D"/>
    <w:rsid w:val="00234650"/>
    <w:rsid w:val="0023483B"/>
    <w:rsid w:val="00234BF6"/>
    <w:rsid w:val="00234DE7"/>
    <w:rsid w:val="00234FCD"/>
    <w:rsid w:val="0023546B"/>
    <w:rsid w:val="00235511"/>
    <w:rsid w:val="00235ADD"/>
    <w:rsid w:val="00235C3F"/>
    <w:rsid w:val="00235DD3"/>
    <w:rsid w:val="00235E70"/>
    <w:rsid w:val="002366BA"/>
    <w:rsid w:val="00236926"/>
    <w:rsid w:val="00236ECB"/>
    <w:rsid w:val="002376F2"/>
    <w:rsid w:val="0024029F"/>
    <w:rsid w:val="00240C14"/>
    <w:rsid w:val="00240E7B"/>
    <w:rsid w:val="0024196A"/>
    <w:rsid w:val="00241B91"/>
    <w:rsid w:val="00242A65"/>
    <w:rsid w:val="002430C9"/>
    <w:rsid w:val="00243238"/>
    <w:rsid w:val="0024346D"/>
    <w:rsid w:val="00243905"/>
    <w:rsid w:val="00243BA7"/>
    <w:rsid w:val="00243C62"/>
    <w:rsid w:val="00244127"/>
    <w:rsid w:val="0024473D"/>
    <w:rsid w:val="00244D11"/>
    <w:rsid w:val="00245BB9"/>
    <w:rsid w:val="00245BD5"/>
    <w:rsid w:val="00245E01"/>
    <w:rsid w:val="00245FE7"/>
    <w:rsid w:val="00246026"/>
    <w:rsid w:val="0024615A"/>
    <w:rsid w:val="002461D0"/>
    <w:rsid w:val="002464AC"/>
    <w:rsid w:val="0024676E"/>
    <w:rsid w:val="00246B69"/>
    <w:rsid w:val="00246C69"/>
    <w:rsid w:val="00246EB1"/>
    <w:rsid w:val="002471BB"/>
    <w:rsid w:val="00247340"/>
    <w:rsid w:val="00247A40"/>
    <w:rsid w:val="00247CB3"/>
    <w:rsid w:val="00247DA3"/>
    <w:rsid w:val="00247DCB"/>
    <w:rsid w:val="002515D8"/>
    <w:rsid w:val="00251DEB"/>
    <w:rsid w:val="002524AE"/>
    <w:rsid w:val="0025259B"/>
    <w:rsid w:val="0025278D"/>
    <w:rsid w:val="00252810"/>
    <w:rsid w:val="002528F2"/>
    <w:rsid w:val="002529FD"/>
    <w:rsid w:val="00252EFA"/>
    <w:rsid w:val="002531A4"/>
    <w:rsid w:val="002536D6"/>
    <w:rsid w:val="00253908"/>
    <w:rsid w:val="00253DF9"/>
    <w:rsid w:val="00253F91"/>
    <w:rsid w:val="002545D9"/>
    <w:rsid w:val="00254746"/>
    <w:rsid w:val="00254D8A"/>
    <w:rsid w:val="00254E1B"/>
    <w:rsid w:val="0025511F"/>
    <w:rsid w:val="00255C74"/>
    <w:rsid w:val="00255CAE"/>
    <w:rsid w:val="00255E68"/>
    <w:rsid w:val="00256894"/>
    <w:rsid w:val="00256A54"/>
    <w:rsid w:val="00257600"/>
    <w:rsid w:val="002576F9"/>
    <w:rsid w:val="00257856"/>
    <w:rsid w:val="00260365"/>
    <w:rsid w:val="00260A1B"/>
    <w:rsid w:val="00260EE3"/>
    <w:rsid w:val="002618CB"/>
    <w:rsid w:val="0026222A"/>
    <w:rsid w:val="002629F8"/>
    <w:rsid w:val="00262ECC"/>
    <w:rsid w:val="00262FF3"/>
    <w:rsid w:val="002635D0"/>
    <w:rsid w:val="00263665"/>
    <w:rsid w:val="00263737"/>
    <w:rsid w:val="00263E38"/>
    <w:rsid w:val="00264013"/>
    <w:rsid w:val="002640DB"/>
    <w:rsid w:val="00264630"/>
    <w:rsid w:val="002647D0"/>
    <w:rsid w:val="002648DA"/>
    <w:rsid w:val="00264C7D"/>
    <w:rsid w:val="00264F62"/>
    <w:rsid w:val="002650FC"/>
    <w:rsid w:val="002653C5"/>
    <w:rsid w:val="002654C3"/>
    <w:rsid w:val="00265FBA"/>
    <w:rsid w:val="00266472"/>
    <w:rsid w:val="0026660C"/>
    <w:rsid w:val="00266C78"/>
    <w:rsid w:val="00266D2E"/>
    <w:rsid w:val="00266EE5"/>
    <w:rsid w:val="00267A3F"/>
    <w:rsid w:val="00267C91"/>
    <w:rsid w:val="00267F8D"/>
    <w:rsid w:val="002703F1"/>
    <w:rsid w:val="00270A65"/>
    <w:rsid w:val="00270A87"/>
    <w:rsid w:val="00270B67"/>
    <w:rsid w:val="00270EC8"/>
    <w:rsid w:val="002711C6"/>
    <w:rsid w:val="00271795"/>
    <w:rsid w:val="00272027"/>
    <w:rsid w:val="00272244"/>
    <w:rsid w:val="002723CE"/>
    <w:rsid w:val="00272418"/>
    <w:rsid w:val="00272572"/>
    <w:rsid w:val="00272667"/>
    <w:rsid w:val="00272C69"/>
    <w:rsid w:val="002734B0"/>
    <w:rsid w:val="00273553"/>
    <w:rsid w:val="00273D65"/>
    <w:rsid w:val="0027424A"/>
    <w:rsid w:val="00274332"/>
    <w:rsid w:val="0027433E"/>
    <w:rsid w:val="002749DF"/>
    <w:rsid w:val="00274B0A"/>
    <w:rsid w:val="00274C9F"/>
    <w:rsid w:val="00274F51"/>
    <w:rsid w:val="00274F9A"/>
    <w:rsid w:val="00274FFF"/>
    <w:rsid w:val="0027524F"/>
    <w:rsid w:val="00275747"/>
    <w:rsid w:val="002757AA"/>
    <w:rsid w:val="00275CE0"/>
    <w:rsid w:val="00275F6A"/>
    <w:rsid w:val="00275FB8"/>
    <w:rsid w:val="0027608F"/>
    <w:rsid w:val="0027622B"/>
    <w:rsid w:val="00276A6D"/>
    <w:rsid w:val="002772B5"/>
    <w:rsid w:val="002776E8"/>
    <w:rsid w:val="00277DE4"/>
    <w:rsid w:val="00280286"/>
    <w:rsid w:val="0028088B"/>
    <w:rsid w:val="00281310"/>
    <w:rsid w:val="002815BE"/>
    <w:rsid w:val="0028163C"/>
    <w:rsid w:val="00281C28"/>
    <w:rsid w:val="00282098"/>
    <w:rsid w:val="002822CC"/>
    <w:rsid w:val="00282443"/>
    <w:rsid w:val="002828C6"/>
    <w:rsid w:val="00282C17"/>
    <w:rsid w:val="00282D2A"/>
    <w:rsid w:val="0028308C"/>
    <w:rsid w:val="00283874"/>
    <w:rsid w:val="00283FEF"/>
    <w:rsid w:val="002842EF"/>
    <w:rsid w:val="002847B4"/>
    <w:rsid w:val="002849BC"/>
    <w:rsid w:val="00284CD6"/>
    <w:rsid w:val="00284EF9"/>
    <w:rsid w:val="002851C4"/>
    <w:rsid w:val="00285533"/>
    <w:rsid w:val="00285624"/>
    <w:rsid w:val="002856F5"/>
    <w:rsid w:val="00285A59"/>
    <w:rsid w:val="00285ADD"/>
    <w:rsid w:val="00285AE6"/>
    <w:rsid w:val="00285CB3"/>
    <w:rsid w:val="00285D9E"/>
    <w:rsid w:val="00285DF1"/>
    <w:rsid w:val="00286153"/>
    <w:rsid w:val="002866FD"/>
    <w:rsid w:val="00286861"/>
    <w:rsid w:val="00286AAF"/>
    <w:rsid w:val="00286CC9"/>
    <w:rsid w:val="00286FA5"/>
    <w:rsid w:val="00287020"/>
    <w:rsid w:val="00287371"/>
    <w:rsid w:val="0028760D"/>
    <w:rsid w:val="002876C3"/>
    <w:rsid w:val="0028792D"/>
    <w:rsid w:val="00287BFA"/>
    <w:rsid w:val="00287F95"/>
    <w:rsid w:val="00290E07"/>
    <w:rsid w:val="0029142F"/>
    <w:rsid w:val="002914B7"/>
    <w:rsid w:val="002917EE"/>
    <w:rsid w:val="002917EF"/>
    <w:rsid w:val="002921A9"/>
    <w:rsid w:val="002921F2"/>
    <w:rsid w:val="00292225"/>
    <w:rsid w:val="00292476"/>
    <w:rsid w:val="00292644"/>
    <w:rsid w:val="00292AF1"/>
    <w:rsid w:val="00292BE9"/>
    <w:rsid w:val="00292E9F"/>
    <w:rsid w:val="00293273"/>
    <w:rsid w:val="002933EA"/>
    <w:rsid w:val="002939D9"/>
    <w:rsid w:val="00293BD3"/>
    <w:rsid w:val="00293E02"/>
    <w:rsid w:val="00293FFA"/>
    <w:rsid w:val="002944A5"/>
    <w:rsid w:val="002945FF"/>
    <w:rsid w:val="002946DC"/>
    <w:rsid w:val="002948B7"/>
    <w:rsid w:val="00294969"/>
    <w:rsid w:val="00294EAC"/>
    <w:rsid w:val="00294EBE"/>
    <w:rsid w:val="0029595B"/>
    <w:rsid w:val="00295F80"/>
    <w:rsid w:val="00295FF7"/>
    <w:rsid w:val="0029603C"/>
    <w:rsid w:val="002960CA"/>
    <w:rsid w:val="002961C9"/>
    <w:rsid w:val="0029657F"/>
    <w:rsid w:val="00296C58"/>
    <w:rsid w:val="0029719B"/>
    <w:rsid w:val="00297B81"/>
    <w:rsid w:val="002A0148"/>
    <w:rsid w:val="002A020A"/>
    <w:rsid w:val="002A04D8"/>
    <w:rsid w:val="002A0A04"/>
    <w:rsid w:val="002A0D04"/>
    <w:rsid w:val="002A0E2A"/>
    <w:rsid w:val="002A0F95"/>
    <w:rsid w:val="002A1033"/>
    <w:rsid w:val="002A1F77"/>
    <w:rsid w:val="002A23B8"/>
    <w:rsid w:val="002A2498"/>
    <w:rsid w:val="002A24D8"/>
    <w:rsid w:val="002A285F"/>
    <w:rsid w:val="002A2CC1"/>
    <w:rsid w:val="002A2E79"/>
    <w:rsid w:val="002A33F4"/>
    <w:rsid w:val="002A3C36"/>
    <w:rsid w:val="002A4090"/>
    <w:rsid w:val="002A412D"/>
    <w:rsid w:val="002A4613"/>
    <w:rsid w:val="002A49C7"/>
    <w:rsid w:val="002A4C23"/>
    <w:rsid w:val="002A4C41"/>
    <w:rsid w:val="002A4D1D"/>
    <w:rsid w:val="002A5317"/>
    <w:rsid w:val="002A54D3"/>
    <w:rsid w:val="002A5857"/>
    <w:rsid w:val="002A58BB"/>
    <w:rsid w:val="002A59C5"/>
    <w:rsid w:val="002A5C60"/>
    <w:rsid w:val="002A60CB"/>
    <w:rsid w:val="002A6371"/>
    <w:rsid w:val="002A63D1"/>
    <w:rsid w:val="002A6410"/>
    <w:rsid w:val="002A64F1"/>
    <w:rsid w:val="002A6603"/>
    <w:rsid w:val="002A68A2"/>
    <w:rsid w:val="002A6BBA"/>
    <w:rsid w:val="002A6E38"/>
    <w:rsid w:val="002A6FE9"/>
    <w:rsid w:val="002A706E"/>
    <w:rsid w:val="002A71E7"/>
    <w:rsid w:val="002A71EA"/>
    <w:rsid w:val="002A7C8D"/>
    <w:rsid w:val="002B05F2"/>
    <w:rsid w:val="002B07EA"/>
    <w:rsid w:val="002B1195"/>
    <w:rsid w:val="002B172E"/>
    <w:rsid w:val="002B1A17"/>
    <w:rsid w:val="002B1AB3"/>
    <w:rsid w:val="002B1E95"/>
    <w:rsid w:val="002B20E8"/>
    <w:rsid w:val="002B2C02"/>
    <w:rsid w:val="002B3065"/>
    <w:rsid w:val="002B33FE"/>
    <w:rsid w:val="002B356B"/>
    <w:rsid w:val="002B3D97"/>
    <w:rsid w:val="002B41CB"/>
    <w:rsid w:val="002B461D"/>
    <w:rsid w:val="002B4786"/>
    <w:rsid w:val="002B4BCB"/>
    <w:rsid w:val="002B4BEC"/>
    <w:rsid w:val="002B4C01"/>
    <w:rsid w:val="002B51CB"/>
    <w:rsid w:val="002B5D38"/>
    <w:rsid w:val="002B5FF6"/>
    <w:rsid w:val="002B6027"/>
    <w:rsid w:val="002B634D"/>
    <w:rsid w:val="002B6445"/>
    <w:rsid w:val="002B6541"/>
    <w:rsid w:val="002B6A23"/>
    <w:rsid w:val="002B6C3B"/>
    <w:rsid w:val="002B713D"/>
    <w:rsid w:val="002B7CFD"/>
    <w:rsid w:val="002C01A4"/>
    <w:rsid w:val="002C04D0"/>
    <w:rsid w:val="002C0569"/>
    <w:rsid w:val="002C069B"/>
    <w:rsid w:val="002C0955"/>
    <w:rsid w:val="002C0AD7"/>
    <w:rsid w:val="002C0B97"/>
    <w:rsid w:val="002C0C72"/>
    <w:rsid w:val="002C1331"/>
    <w:rsid w:val="002C16E3"/>
    <w:rsid w:val="002C1944"/>
    <w:rsid w:val="002C1C5D"/>
    <w:rsid w:val="002C1E80"/>
    <w:rsid w:val="002C21D6"/>
    <w:rsid w:val="002C23D6"/>
    <w:rsid w:val="002C24B4"/>
    <w:rsid w:val="002C2750"/>
    <w:rsid w:val="002C2C6A"/>
    <w:rsid w:val="002C2EC0"/>
    <w:rsid w:val="002C2F73"/>
    <w:rsid w:val="002C33CD"/>
    <w:rsid w:val="002C3495"/>
    <w:rsid w:val="002C3608"/>
    <w:rsid w:val="002C3E51"/>
    <w:rsid w:val="002C4400"/>
    <w:rsid w:val="002C4411"/>
    <w:rsid w:val="002C47F6"/>
    <w:rsid w:val="002C4C3F"/>
    <w:rsid w:val="002C4C8F"/>
    <w:rsid w:val="002C4D3B"/>
    <w:rsid w:val="002C4F2F"/>
    <w:rsid w:val="002C7411"/>
    <w:rsid w:val="002C7596"/>
    <w:rsid w:val="002C75F8"/>
    <w:rsid w:val="002C7704"/>
    <w:rsid w:val="002C77C4"/>
    <w:rsid w:val="002C7C02"/>
    <w:rsid w:val="002C7C75"/>
    <w:rsid w:val="002C7C7F"/>
    <w:rsid w:val="002C7CE8"/>
    <w:rsid w:val="002C7D3F"/>
    <w:rsid w:val="002D048B"/>
    <w:rsid w:val="002D07D3"/>
    <w:rsid w:val="002D09F8"/>
    <w:rsid w:val="002D0A38"/>
    <w:rsid w:val="002D0C32"/>
    <w:rsid w:val="002D13CA"/>
    <w:rsid w:val="002D1744"/>
    <w:rsid w:val="002D1936"/>
    <w:rsid w:val="002D1C0D"/>
    <w:rsid w:val="002D1C1E"/>
    <w:rsid w:val="002D1D17"/>
    <w:rsid w:val="002D1E92"/>
    <w:rsid w:val="002D1FA2"/>
    <w:rsid w:val="002D21B1"/>
    <w:rsid w:val="002D23A8"/>
    <w:rsid w:val="002D28D9"/>
    <w:rsid w:val="002D2971"/>
    <w:rsid w:val="002D297F"/>
    <w:rsid w:val="002D2A3E"/>
    <w:rsid w:val="002D2DF0"/>
    <w:rsid w:val="002D2F0D"/>
    <w:rsid w:val="002D3103"/>
    <w:rsid w:val="002D39E6"/>
    <w:rsid w:val="002D3A05"/>
    <w:rsid w:val="002D3B80"/>
    <w:rsid w:val="002D3DF7"/>
    <w:rsid w:val="002D3EA4"/>
    <w:rsid w:val="002D3FD9"/>
    <w:rsid w:val="002D430D"/>
    <w:rsid w:val="002D45D7"/>
    <w:rsid w:val="002D4615"/>
    <w:rsid w:val="002D475C"/>
    <w:rsid w:val="002D4A38"/>
    <w:rsid w:val="002D4B32"/>
    <w:rsid w:val="002D4BFE"/>
    <w:rsid w:val="002D4E8D"/>
    <w:rsid w:val="002D599C"/>
    <w:rsid w:val="002D5F44"/>
    <w:rsid w:val="002D5FF7"/>
    <w:rsid w:val="002D6290"/>
    <w:rsid w:val="002D62F1"/>
    <w:rsid w:val="002D6310"/>
    <w:rsid w:val="002D68B2"/>
    <w:rsid w:val="002D68C7"/>
    <w:rsid w:val="002D6AFE"/>
    <w:rsid w:val="002D6B76"/>
    <w:rsid w:val="002D6FAD"/>
    <w:rsid w:val="002D7221"/>
    <w:rsid w:val="002D739D"/>
    <w:rsid w:val="002D7442"/>
    <w:rsid w:val="002D7721"/>
    <w:rsid w:val="002D7C6D"/>
    <w:rsid w:val="002D7E80"/>
    <w:rsid w:val="002E001C"/>
    <w:rsid w:val="002E0592"/>
    <w:rsid w:val="002E08DC"/>
    <w:rsid w:val="002E0DD2"/>
    <w:rsid w:val="002E106A"/>
    <w:rsid w:val="002E11A1"/>
    <w:rsid w:val="002E1310"/>
    <w:rsid w:val="002E1496"/>
    <w:rsid w:val="002E16FE"/>
    <w:rsid w:val="002E171F"/>
    <w:rsid w:val="002E178C"/>
    <w:rsid w:val="002E1AF8"/>
    <w:rsid w:val="002E1EF5"/>
    <w:rsid w:val="002E1FEA"/>
    <w:rsid w:val="002E2023"/>
    <w:rsid w:val="002E2414"/>
    <w:rsid w:val="002E25E3"/>
    <w:rsid w:val="002E335A"/>
    <w:rsid w:val="002E3559"/>
    <w:rsid w:val="002E355E"/>
    <w:rsid w:val="002E39A3"/>
    <w:rsid w:val="002E434E"/>
    <w:rsid w:val="002E45F7"/>
    <w:rsid w:val="002E4C0B"/>
    <w:rsid w:val="002E5056"/>
    <w:rsid w:val="002E5463"/>
    <w:rsid w:val="002E5623"/>
    <w:rsid w:val="002E574C"/>
    <w:rsid w:val="002E5A09"/>
    <w:rsid w:val="002E5A77"/>
    <w:rsid w:val="002E5AA1"/>
    <w:rsid w:val="002E5AAE"/>
    <w:rsid w:val="002E5BE5"/>
    <w:rsid w:val="002E5EB1"/>
    <w:rsid w:val="002E607E"/>
    <w:rsid w:val="002E60A7"/>
    <w:rsid w:val="002E667A"/>
    <w:rsid w:val="002E6756"/>
    <w:rsid w:val="002E72F7"/>
    <w:rsid w:val="002E7415"/>
    <w:rsid w:val="002E755B"/>
    <w:rsid w:val="002E7D7F"/>
    <w:rsid w:val="002E7E2F"/>
    <w:rsid w:val="002E7E53"/>
    <w:rsid w:val="002F00A4"/>
    <w:rsid w:val="002F05ED"/>
    <w:rsid w:val="002F0CDE"/>
    <w:rsid w:val="002F0E0B"/>
    <w:rsid w:val="002F0EB4"/>
    <w:rsid w:val="002F10D0"/>
    <w:rsid w:val="002F10EF"/>
    <w:rsid w:val="002F1240"/>
    <w:rsid w:val="002F1354"/>
    <w:rsid w:val="002F1493"/>
    <w:rsid w:val="002F176B"/>
    <w:rsid w:val="002F1B97"/>
    <w:rsid w:val="002F1DA1"/>
    <w:rsid w:val="002F1EA5"/>
    <w:rsid w:val="002F24B6"/>
    <w:rsid w:val="002F24E2"/>
    <w:rsid w:val="002F2582"/>
    <w:rsid w:val="002F2A7A"/>
    <w:rsid w:val="002F2B45"/>
    <w:rsid w:val="002F2C4F"/>
    <w:rsid w:val="002F2D07"/>
    <w:rsid w:val="002F2F75"/>
    <w:rsid w:val="002F3019"/>
    <w:rsid w:val="002F3051"/>
    <w:rsid w:val="002F3141"/>
    <w:rsid w:val="002F3250"/>
    <w:rsid w:val="002F3B01"/>
    <w:rsid w:val="002F3D2F"/>
    <w:rsid w:val="002F3D47"/>
    <w:rsid w:val="002F425B"/>
    <w:rsid w:val="002F4371"/>
    <w:rsid w:val="002F485E"/>
    <w:rsid w:val="002F48C3"/>
    <w:rsid w:val="002F4C5E"/>
    <w:rsid w:val="002F50F7"/>
    <w:rsid w:val="002F5204"/>
    <w:rsid w:val="002F53D2"/>
    <w:rsid w:val="002F5421"/>
    <w:rsid w:val="002F5F48"/>
    <w:rsid w:val="002F5FE6"/>
    <w:rsid w:val="002F65FE"/>
    <w:rsid w:val="002F6633"/>
    <w:rsid w:val="002F67C7"/>
    <w:rsid w:val="002F6909"/>
    <w:rsid w:val="002F6B2A"/>
    <w:rsid w:val="002F784E"/>
    <w:rsid w:val="002F7C4F"/>
    <w:rsid w:val="002F7D8D"/>
    <w:rsid w:val="002F7EB6"/>
    <w:rsid w:val="002F7EF9"/>
    <w:rsid w:val="002F7F83"/>
    <w:rsid w:val="00300696"/>
    <w:rsid w:val="003008BF"/>
    <w:rsid w:val="0030095B"/>
    <w:rsid w:val="00300B26"/>
    <w:rsid w:val="00300D25"/>
    <w:rsid w:val="00300F90"/>
    <w:rsid w:val="003014D4"/>
    <w:rsid w:val="00301653"/>
    <w:rsid w:val="003016D6"/>
    <w:rsid w:val="003018F1"/>
    <w:rsid w:val="00301DAA"/>
    <w:rsid w:val="00301E4A"/>
    <w:rsid w:val="003027FE"/>
    <w:rsid w:val="00302A5E"/>
    <w:rsid w:val="00302C56"/>
    <w:rsid w:val="00302FB4"/>
    <w:rsid w:val="00303063"/>
    <w:rsid w:val="003033D4"/>
    <w:rsid w:val="003033E3"/>
    <w:rsid w:val="00303ADA"/>
    <w:rsid w:val="00303F5B"/>
    <w:rsid w:val="00303FDC"/>
    <w:rsid w:val="00304771"/>
    <w:rsid w:val="003047BC"/>
    <w:rsid w:val="0030488D"/>
    <w:rsid w:val="003048DF"/>
    <w:rsid w:val="00304BD4"/>
    <w:rsid w:val="00304D7D"/>
    <w:rsid w:val="00304F3B"/>
    <w:rsid w:val="003058B8"/>
    <w:rsid w:val="0030594C"/>
    <w:rsid w:val="00305CF9"/>
    <w:rsid w:val="00305D45"/>
    <w:rsid w:val="00305E64"/>
    <w:rsid w:val="00305F8B"/>
    <w:rsid w:val="00306074"/>
    <w:rsid w:val="003064F9"/>
    <w:rsid w:val="00306BCD"/>
    <w:rsid w:val="00306EEA"/>
    <w:rsid w:val="003070F0"/>
    <w:rsid w:val="00307207"/>
    <w:rsid w:val="0030729A"/>
    <w:rsid w:val="003073C0"/>
    <w:rsid w:val="0030744A"/>
    <w:rsid w:val="00307466"/>
    <w:rsid w:val="00307A55"/>
    <w:rsid w:val="00307C5F"/>
    <w:rsid w:val="00307D8F"/>
    <w:rsid w:val="00307D98"/>
    <w:rsid w:val="00310924"/>
    <w:rsid w:val="0031096D"/>
    <w:rsid w:val="00310E23"/>
    <w:rsid w:val="00310F06"/>
    <w:rsid w:val="00311069"/>
    <w:rsid w:val="003114D0"/>
    <w:rsid w:val="00311616"/>
    <w:rsid w:val="003118B3"/>
    <w:rsid w:val="00311D6F"/>
    <w:rsid w:val="003127A4"/>
    <w:rsid w:val="0031301E"/>
    <w:rsid w:val="003135CB"/>
    <w:rsid w:val="00313A59"/>
    <w:rsid w:val="00313BE8"/>
    <w:rsid w:val="00313C9C"/>
    <w:rsid w:val="00313CFC"/>
    <w:rsid w:val="00313FD0"/>
    <w:rsid w:val="00314016"/>
    <w:rsid w:val="00314123"/>
    <w:rsid w:val="003141FC"/>
    <w:rsid w:val="003143E1"/>
    <w:rsid w:val="003144AC"/>
    <w:rsid w:val="003144ED"/>
    <w:rsid w:val="0031504D"/>
    <w:rsid w:val="003152DE"/>
    <w:rsid w:val="0031546B"/>
    <w:rsid w:val="003155DF"/>
    <w:rsid w:val="003156FA"/>
    <w:rsid w:val="003157AE"/>
    <w:rsid w:val="00315ACA"/>
    <w:rsid w:val="00315FFB"/>
    <w:rsid w:val="00316333"/>
    <w:rsid w:val="00316774"/>
    <w:rsid w:val="0031692F"/>
    <w:rsid w:val="00316AA9"/>
    <w:rsid w:val="00316AF8"/>
    <w:rsid w:val="0031704D"/>
    <w:rsid w:val="00317BCE"/>
    <w:rsid w:val="00317D26"/>
    <w:rsid w:val="00317DA7"/>
    <w:rsid w:val="00320035"/>
    <w:rsid w:val="00320171"/>
    <w:rsid w:val="003204C9"/>
    <w:rsid w:val="00320549"/>
    <w:rsid w:val="00320610"/>
    <w:rsid w:val="003207D8"/>
    <w:rsid w:val="0032080A"/>
    <w:rsid w:val="00320A56"/>
    <w:rsid w:val="00320BE7"/>
    <w:rsid w:val="00320D65"/>
    <w:rsid w:val="00320F1B"/>
    <w:rsid w:val="00321C58"/>
    <w:rsid w:val="00321CD0"/>
    <w:rsid w:val="00321DCD"/>
    <w:rsid w:val="00321E3A"/>
    <w:rsid w:val="00322764"/>
    <w:rsid w:val="00322819"/>
    <w:rsid w:val="00322E08"/>
    <w:rsid w:val="00323706"/>
    <w:rsid w:val="00323907"/>
    <w:rsid w:val="00323C1F"/>
    <w:rsid w:val="00323EF4"/>
    <w:rsid w:val="003241D9"/>
    <w:rsid w:val="0032441E"/>
    <w:rsid w:val="003244C9"/>
    <w:rsid w:val="00324944"/>
    <w:rsid w:val="00324F10"/>
    <w:rsid w:val="00324F85"/>
    <w:rsid w:val="00325523"/>
    <w:rsid w:val="003257DD"/>
    <w:rsid w:val="00326464"/>
    <w:rsid w:val="00326A0E"/>
    <w:rsid w:val="00326D68"/>
    <w:rsid w:val="00326DC1"/>
    <w:rsid w:val="00326E43"/>
    <w:rsid w:val="00327588"/>
    <w:rsid w:val="00327817"/>
    <w:rsid w:val="00327931"/>
    <w:rsid w:val="003300CB"/>
    <w:rsid w:val="003302E8"/>
    <w:rsid w:val="003304B1"/>
    <w:rsid w:val="00330629"/>
    <w:rsid w:val="003309E4"/>
    <w:rsid w:val="00330AF0"/>
    <w:rsid w:val="00330BDA"/>
    <w:rsid w:val="00330BDC"/>
    <w:rsid w:val="00330C36"/>
    <w:rsid w:val="00331031"/>
    <w:rsid w:val="00331223"/>
    <w:rsid w:val="0033128B"/>
    <w:rsid w:val="00331AA4"/>
    <w:rsid w:val="00331E2A"/>
    <w:rsid w:val="0033235E"/>
    <w:rsid w:val="00332443"/>
    <w:rsid w:val="00332995"/>
    <w:rsid w:val="00332C6E"/>
    <w:rsid w:val="0033301B"/>
    <w:rsid w:val="0033353E"/>
    <w:rsid w:val="003335B9"/>
    <w:rsid w:val="00333D3E"/>
    <w:rsid w:val="00333DC6"/>
    <w:rsid w:val="003342A0"/>
    <w:rsid w:val="00334611"/>
    <w:rsid w:val="0033468C"/>
    <w:rsid w:val="00335093"/>
    <w:rsid w:val="00335B34"/>
    <w:rsid w:val="003360E9"/>
    <w:rsid w:val="0033668F"/>
    <w:rsid w:val="00336EB6"/>
    <w:rsid w:val="003372F8"/>
    <w:rsid w:val="00337491"/>
    <w:rsid w:val="0033769F"/>
    <w:rsid w:val="00337C8D"/>
    <w:rsid w:val="00337E42"/>
    <w:rsid w:val="00337EA1"/>
    <w:rsid w:val="003400A1"/>
    <w:rsid w:val="003400A8"/>
    <w:rsid w:val="0034080D"/>
    <w:rsid w:val="0034129F"/>
    <w:rsid w:val="00341800"/>
    <w:rsid w:val="00341B2F"/>
    <w:rsid w:val="00341CBA"/>
    <w:rsid w:val="00341EDC"/>
    <w:rsid w:val="0034213F"/>
    <w:rsid w:val="003421DE"/>
    <w:rsid w:val="003426F2"/>
    <w:rsid w:val="003427B6"/>
    <w:rsid w:val="0034286E"/>
    <w:rsid w:val="00342BAF"/>
    <w:rsid w:val="00342BBD"/>
    <w:rsid w:val="00342DC4"/>
    <w:rsid w:val="00343695"/>
    <w:rsid w:val="00344281"/>
    <w:rsid w:val="003443B6"/>
    <w:rsid w:val="00344446"/>
    <w:rsid w:val="00344BA8"/>
    <w:rsid w:val="00344C58"/>
    <w:rsid w:val="003451BA"/>
    <w:rsid w:val="00345695"/>
    <w:rsid w:val="003456C3"/>
    <w:rsid w:val="00345A64"/>
    <w:rsid w:val="00345B6E"/>
    <w:rsid w:val="00345B81"/>
    <w:rsid w:val="00345E6C"/>
    <w:rsid w:val="003461BB"/>
    <w:rsid w:val="003461E6"/>
    <w:rsid w:val="003463DF"/>
    <w:rsid w:val="003466FA"/>
    <w:rsid w:val="00346701"/>
    <w:rsid w:val="00347142"/>
    <w:rsid w:val="0034729A"/>
    <w:rsid w:val="0034732B"/>
    <w:rsid w:val="003475A6"/>
    <w:rsid w:val="00347FB6"/>
    <w:rsid w:val="0035050D"/>
    <w:rsid w:val="003505F1"/>
    <w:rsid w:val="003506C0"/>
    <w:rsid w:val="0035071D"/>
    <w:rsid w:val="0035119E"/>
    <w:rsid w:val="00351234"/>
    <w:rsid w:val="0035165D"/>
    <w:rsid w:val="00351AA2"/>
    <w:rsid w:val="00351B88"/>
    <w:rsid w:val="00351D3C"/>
    <w:rsid w:val="00351DD6"/>
    <w:rsid w:val="00351E7D"/>
    <w:rsid w:val="00351EEC"/>
    <w:rsid w:val="0035256A"/>
    <w:rsid w:val="00352A60"/>
    <w:rsid w:val="00352B28"/>
    <w:rsid w:val="003532A6"/>
    <w:rsid w:val="003535EE"/>
    <w:rsid w:val="003536FE"/>
    <w:rsid w:val="003537AC"/>
    <w:rsid w:val="00353C55"/>
    <w:rsid w:val="003545DE"/>
    <w:rsid w:val="00354BB0"/>
    <w:rsid w:val="00354C4D"/>
    <w:rsid w:val="00354CBA"/>
    <w:rsid w:val="00354CCD"/>
    <w:rsid w:val="00354D78"/>
    <w:rsid w:val="003551D6"/>
    <w:rsid w:val="003552F6"/>
    <w:rsid w:val="0035592D"/>
    <w:rsid w:val="0035638F"/>
    <w:rsid w:val="00356E8C"/>
    <w:rsid w:val="00357191"/>
    <w:rsid w:val="003575C3"/>
    <w:rsid w:val="0035798F"/>
    <w:rsid w:val="00357B9B"/>
    <w:rsid w:val="00357D1C"/>
    <w:rsid w:val="00357E01"/>
    <w:rsid w:val="00357F7C"/>
    <w:rsid w:val="003603CB"/>
    <w:rsid w:val="00360537"/>
    <w:rsid w:val="003608E7"/>
    <w:rsid w:val="00360BE4"/>
    <w:rsid w:val="003615BD"/>
    <w:rsid w:val="00361682"/>
    <w:rsid w:val="003617AD"/>
    <w:rsid w:val="00361A3A"/>
    <w:rsid w:val="003622D2"/>
    <w:rsid w:val="003626AC"/>
    <w:rsid w:val="003627AB"/>
    <w:rsid w:val="00362905"/>
    <w:rsid w:val="00362A36"/>
    <w:rsid w:val="00362EB8"/>
    <w:rsid w:val="00363176"/>
    <w:rsid w:val="00363547"/>
    <w:rsid w:val="0036374F"/>
    <w:rsid w:val="0036390F"/>
    <w:rsid w:val="00363D24"/>
    <w:rsid w:val="00363FFE"/>
    <w:rsid w:val="003642CA"/>
    <w:rsid w:val="00364444"/>
    <w:rsid w:val="00364671"/>
    <w:rsid w:val="0036476D"/>
    <w:rsid w:val="00364911"/>
    <w:rsid w:val="0036546A"/>
    <w:rsid w:val="00365692"/>
    <w:rsid w:val="0036597F"/>
    <w:rsid w:val="00366509"/>
    <w:rsid w:val="00366795"/>
    <w:rsid w:val="00366FF5"/>
    <w:rsid w:val="00367382"/>
    <w:rsid w:val="003675B6"/>
    <w:rsid w:val="00367A10"/>
    <w:rsid w:val="00367F6C"/>
    <w:rsid w:val="00370077"/>
    <w:rsid w:val="00370494"/>
    <w:rsid w:val="00370F33"/>
    <w:rsid w:val="00370F45"/>
    <w:rsid w:val="00370F9A"/>
    <w:rsid w:val="003717DB"/>
    <w:rsid w:val="00371948"/>
    <w:rsid w:val="00371E1E"/>
    <w:rsid w:val="00371E37"/>
    <w:rsid w:val="00372056"/>
    <w:rsid w:val="003722B9"/>
    <w:rsid w:val="003723C2"/>
    <w:rsid w:val="00372755"/>
    <w:rsid w:val="003727EF"/>
    <w:rsid w:val="00372A51"/>
    <w:rsid w:val="00372B9E"/>
    <w:rsid w:val="00372D5C"/>
    <w:rsid w:val="0037303C"/>
    <w:rsid w:val="003734E1"/>
    <w:rsid w:val="00373A86"/>
    <w:rsid w:val="00373BF8"/>
    <w:rsid w:val="00373D3B"/>
    <w:rsid w:val="00373D63"/>
    <w:rsid w:val="003746AE"/>
    <w:rsid w:val="003747A6"/>
    <w:rsid w:val="00374A1F"/>
    <w:rsid w:val="00374AC5"/>
    <w:rsid w:val="0037512F"/>
    <w:rsid w:val="00375622"/>
    <w:rsid w:val="003757FF"/>
    <w:rsid w:val="00375834"/>
    <w:rsid w:val="00375F20"/>
    <w:rsid w:val="003765B9"/>
    <w:rsid w:val="003767BC"/>
    <w:rsid w:val="0037703E"/>
    <w:rsid w:val="0037740A"/>
    <w:rsid w:val="003774EA"/>
    <w:rsid w:val="00377F55"/>
    <w:rsid w:val="00377FC7"/>
    <w:rsid w:val="00377FD7"/>
    <w:rsid w:val="00380130"/>
    <w:rsid w:val="003809A9"/>
    <w:rsid w:val="00380D05"/>
    <w:rsid w:val="003817F3"/>
    <w:rsid w:val="00381893"/>
    <w:rsid w:val="003819C7"/>
    <w:rsid w:val="00381A01"/>
    <w:rsid w:val="00381E65"/>
    <w:rsid w:val="00381F05"/>
    <w:rsid w:val="00382519"/>
    <w:rsid w:val="00382A58"/>
    <w:rsid w:val="0038327F"/>
    <w:rsid w:val="0038332A"/>
    <w:rsid w:val="00383429"/>
    <w:rsid w:val="003838F0"/>
    <w:rsid w:val="00383A27"/>
    <w:rsid w:val="003842A3"/>
    <w:rsid w:val="00384774"/>
    <w:rsid w:val="00384912"/>
    <w:rsid w:val="00384A16"/>
    <w:rsid w:val="00384BD2"/>
    <w:rsid w:val="00384C26"/>
    <w:rsid w:val="00384CA5"/>
    <w:rsid w:val="00384CA9"/>
    <w:rsid w:val="003851DB"/>
    <w:rsid w:val="0038522B"/>
    <w:rsid w:val="00385450"/>
    <w:rsid w:val="0038557D"/>
    <w:rsid w:val="00385E4B"/>
    <w:rsid w:val="003860CA"/>
    <w:rsid w:val="0038681A"/>
    <w:rsid w:val="003868C1"/>
    <w:rsid w:val="003868F9"/>
    <w:rsid w:val="00386B03"/>
    <w:rsid w:val="00386B81"/>
    <w:rsid w:val="00386D96"/>
    <w:rsid w:val="00386F23"/>
    <w:rsid w:val="00386F37"/>
    <w:rsid w:val="0038754F"/>
    <w:rsid w:val="003876C8"/>
    <w:rsid w:val="00387AAF"/>
    <w:rsid w:val="00390702"/>
    <w:rsid w:val="00390C32"/>
    <w:rsid w:val="00391082"/>
    <w:rsid w:val="003916F5"/>
    <w:rsid w:val="00391869"/>
    <w:rsid w:val="00391873"/>
    <w:rsid w:val="00391B97"/>
    <w:rsid w:val="00391BC6"/>
    <w:rsid w:val="00391DE0"/>
    <w:rsid w:val="00391F49"/>
    <w:rsid w:val="00391F92"/>
    <w:rsid w:val="00392050"/>
    <w:rsid w:val="00392070"/>
    <w:rsid w:val="00392559"/>
    <w:rsid w:val="003927B7"/>
    <w:rsid w:val="00392A77"/>
    <w:rsid w:val="003934F3"/>
    <w:rsid w:val="003943BF"/>
    <w:rsid w:val="003944AC"/>
    <w:rsid w:val="003947EC"/>
    <w:rsid w:val="00394E5E"/>
    <w:rsid w:val="00395058"/>
    <w:rsid w:val="00395332"/>
    <w:rsid w:val="003956CB"/>
    <w:rsid w:val="00395843"/>
    <w:rsid w:val="00395D71"/>
    <w:rsid w:val="00396223"/>
    <w:rsid w:val="003962F5"/>
    <w:rsid w:val="00396942"/>
    <w:rsid w:val="00396A06"/>
    <w:rsid w:val="00396B09"/>
    <w:rsid w:val="003976FA"/>
    <w:rsid w:val="00397B6D"/>
    <w:rsid w:val="00397F07"/>
    <w:rsid w:val="00397FDF"/>
    <w:rsid w:val="003A040F"/>
    <w:rsid w:val="003A04C6"/>
    <w:rsid w:val="003A0553"/>
    <w:rsid w:val="003A059B"/>
    <w:rsid w:val="003A05D9"/>
    <w:rsid w:val="003A093C"/>
    <w:rsid w:val="003A0C34"/>
    <w:rsid w:val="003A0D93"/>
    <w:rsid w:val="003A0FB7"/>
    <w:rsid w:val="003A105F"/>
    <w:rsid w:val="003A1134"/>
    <w:rsid w:val="003A1A1E"/>
    <w:rsid w:val="003A1FB2"/>
    <w:rsid w:val="003A2187"/>
    <w:rsid w:val="003A295F"/>
    <w:rsid w:val="003A29F6"/>
    <w:rsid w:val="003A3007"/>
    <w:rsid w:val="003A312F"/>
    <w:rsid w:val="003A319A"/>
    <w:rsid w:val="003A323C"/>
    <w:rsid w:val="003A3390"/>
    <w:rsid w:val="003A3659"/>
    <w:rsid w:val="003A3A01"/>
    <w:rsid w:val="003A3FC1"/>
    <w:rsid w:val="003A41B8"/>
    <w:rsid w:val="003A4EC7"/>
    <w:rsid w:val="003A4EDE"/>
    <w:rsid w:val="003A5071"/>
    <w:rsid w:val="003A53E0"/>
    <w:rsid w:val="003A5523"/>
    <w:rsid w:val="003A55AB"/>
    <w:rsid w:val="003A5669"/>
    <w:rsid w:val="003A58CD"/>
    <w:rsid w:val="003A5D89"/>
    <w:rsid w:val="003A5E6B"/>
    <w:rsid w:val="003A624E"/>
    <w:rsid w:val="003A62CE"/>
    <w:rsid w:val="003A6580"/>
    <w:rsid w:val="003A6A01"/>
    <w:rsid w:val="003A6CDD"/>
    <w:rsid w:val="003A6E15"/>
    <w:rsid w:val="003A7452"/>
    <w:rsid w:val="003A79E8"/>
    <w:rsid w:val="003A7BE4"/>
    <w:rsid w:val="003B040F"/>
    <w:rsid w:val="003B05B4"/>
    <w:rsid w:val="003B0B23"/>
    <w:rsid w:val="003B0CB5"/>
    <w:rsid w:val="003B0CBE"/>
    <w:rsid w:val="003B0F55"/>
    <w:rsid w:val="003B1077"/>
    <w:rsid w:val="003B1272"/>
    <w:rsid w:val="003B12BD"/>
    <w:rsid w:val="003B1602"/>
    <w:rsid w:val="003B1641"/>
    <w:rsid w:val="003B2821"/>
    <w:rsid w:val="003B2BCA"/>
    <w:rsid w:val="003B2F2C"/>
    <w:rsid w:val="003B304C"/>
    <w:rsid w:val="003B35C3"/>
    <w:rsid w:val="003B366C"/>
    <w:rsid w:val="003B42F2"/>
    <w:rsid w:val="003B45EE"/>
    <w:rsid w:val="003B49B5"/>
    <w:rsid w:val="003B4A53"/>
    <w:rsid w:val="003B4F28"/>
    <w:rsid w:val="003B53D4"/>
    <w:rsid w:val="003B54E4"/>
    <w:rsid w:val="003B5754"/>
    <w:rsid w:val="003B5C0B"/>
    <w:rsid w:val="003B5CCE"/>
    <w:rsid w:val="003B5CD7"/>
    <w:rsid w:val="003B5D3E"/>
    <w:rsid w:val="003B600E"/>
    <w:rsid w:val="003B60B2"/>
    <w:rsid w:val="003B6799"/>
    <w:rsid w:val="003B68B9"/>
    <w:rsid w:val="003B7560"/>
    <w:rsid w:val="003B79B6"/>
    <w:rsid w:val="003B7ADE"/>
    <w:rsid w:val="003B7BDE"/>
    <w:rsid w:val="003B7D12"/>
    <w:rsid w:val="003B7D3E"/>
    <w:rsid w:val="003B7E92"/>
    <w:rsid w:val="003B7F21"/>
    <w:rsid w:val="003C02D3"/>
    <w:rsid w:val="003C04E3"/>
    <w:rsid w:val="003C05BC"/>
    <w:rsid w:val="003C0BE7"/>
    <w:rsid w:val="003C0EA7"/>
    <w:rsid w:val="003C11E5"/>
    <w:rsid w:val="003C1505"/>
    <w:rsid w:val="003C17F3"/>
    <w:rsid w:val="003C18A2"/>
    <w:rsid w:val="003C19D7"/>
    <w:rsid w:val="003C1E11"/>
    <w:rsid w:val="003C21E8"/>
    <w:rsid w:val="003C2248"/>
    <w:rsid w:val="003C24DF"/>
    <w:rsid w:val="003C25F9"/>
    <w:rsid w:val="003C26E1"/>
    <w:rsid w:val="003C27E9"/>
    <w:rsid w:val="003C2900"/>
    <w:rsid w:val="003C2AC6"/>
    <w:rsid w:val="003C2D24"/>
    <w:rsid w:val="003C326A"/>
    <w:rsid w:val="003C403E"/>
    <w:rsid w:val="003C4242"/>
    <w:rsid w:val="003C4733"/>
    <w:rsid w:val="003C4C1B"/>
    <w:rsid w:val="003C5306"/>
    <w:rsid w:val="003C5668"/>
    <w:rsid w:val="003C5A8F"/>
    <w:rsid w:val="003C6397"/>
    <w:rsid w:val="003C6524"/>
    <w:rsid w:val="003C65A8"/>
    <w:rsid w:val="003C6BB3"/>
    <w:rsid w:val="003C7357"/>
    <w:rsid w:val="003C776F"/>
    <w:rsid w:val="003C784C"/>
    <w:rsid w:val="003C7C0B"/>
    <w:rsid w:val="003C7C49"/>
    <w:rsid w:val="003C7CCF"/>
    <w:rsid w:val="003D071D"/>
    <w:rsid w:val="003D0E18"/>
    <w:rsid w:val="003D0F0C"/>
    <w:rsid w:val="003D120B"/>
    <w:rsid w:val="003D12DF"/>
    <w:rsid w:val="003D179B"/>
    <w:rsid w:val="003D1BF6"/>
    <w:rsid w:val="003D1D04"/>
    <w:rsid w:val="003D1E64"/>
    <w:rsid w:val="003D1EE8"/>
    <w:rsid w:val="003D21E5"/>
    <w:rsid w:val="003D2947"/>
    <w:rsid w:val="003D2998"/>
    <w:rsid w:val="003D2B11"/>
    <w:rsid w:val="003D2DD6"/>
    <w:rsid w:val="003D2DEE"/>
    <w:rsid w:val="003D300B"/>
    <w:rsid w:val="003D32C5"/>
    <w:rsid w:val="003D3413"/>
    <w:rsid w:val="003D34C8"/>
    <w:rsid w:val="003D38CA"/>
    <w:rsid w:val="003D3B56"/>
    <w:rsid w:val="003D3E6E"/>
    <w:rsid w:val="003D3EC8"/>
    <w:rsid w:val="003D3F81"/>
    <w:rsid w:val="003D405D"/>
    <w:rsid w:val="003D43FA"/>
    <w:rsid w:val="003D4651"/>
    <w:rsid w:val="003D53E1"/>
    <w:rsid w:val="003D571C"/>
    <w:rsid w:val="003D5727"/>
    <w:rsid w:val="003D5730"/>
    <w:rsid w:val="003D588C"/>
    <w:rsid w:val="003D5AF9"/>
    <w:rsid w:val="003D5D94"/>
    <w:rsid w:val="003D5F0B"/>
    <w:rsid w:val="003D6457"/>
    <w:rsid w:val="003D6653"/>
    <w:rsid w:val="003D6A81"/>
    <w:rsid w:val="003D72A6"/>
    <w:rsid w:val="003D7427"/>
    <w:rsid w:val="003D75CD"/>
    <w:rsid w:val="003D778D"/>
    <w:rsid w:val="003D77FB"/>
    <w:rsid w:val="003D789C"/>
    <w:rsid w:val="003D7A2A"/>
    <w:rsid w:val="003D7FC7"/>
    <w:rsid w:val="003E0406"/>
    <w:rsid w:val="003E05CF"/>
    <w:rsid w:val="003E0C4F"/>
    <w:rsid w:val="003E0F7E"/>
    <w:rsid w:val="003E1334"/>
    <w:rsid w:val="003E13C3"/>
    <w:rsid w:val="003E1788"/>
    <w:rsid w:val="003E1C15"/>
    <w:rsid w:val="003E1FB5"/>
    <w:rsid w:val="003E1FD9"/>
    <w:rsid w:val="003E2052"/>
    <w:rsid w:val="003E27BB"/>
    <w:rsid w:val="003E2942"/>
    <w:rsid w:val="003E303F"/>
    <w:rsid w:val="003E3141"/>
    <w:rsid w:val="003E36C7"/>
    <w:rsid w:val="003E3756"/>
    <w:rsid w:val="003E3A1B"/>
    <w:rsid w:val="003E3C69"/>
    <w:rsid w:val="003E45D3"/>
    <w:rsid w:val="003E49E2"/>
    <w:rsid w:val="003E4CC5"/>
    <w:rsid w:val="003E4DE0"/>
    <w:rsid w:val="003E532B"/>
    <w:rsid w:val="003E5619"/>
    <w:rsid w:val="003E5701"/>
    <w:rsid w:val="003E591C"/>
    <w:rsid w:val="003E69D1"/>
    <w:rsid w:val="003E6D3D"/>
    <w:rsid w:val="003E7335"/>
    <w:rsid w:val="003E7B0B"/>
    <w:rsid w:val="003E7D28"/>
    <w:rsid w:val="003E7EBB"/>
    <w:rsid w:val="003E7F80"/>
    <w:rsid w:val="003F02BE"/>
    <w:rsid w:val="003F07E2"/>
    <w:rsid w:val="003F0A62"/>
    <w:rsid w:val="003F0E20"/>
    <w:rsid w:val="003F0E8D"/>
    <w:rsid w:val="003F1128"/>
    <w:rsid w:val="003F12F9"/>
    <w:rsid w:val="003F170F"/>
    <w:rsid w:val="003F1D84"/>
    <w:rsid w:val="003F1EF9"/>
    <w:rsid w:val="003F25C4"/>
    <w:rsid w:val="003F26AB"/>
    <w:rsid w:val="003F282D"/>
    <w:rsid w:val="003F2944"/>
    <w:rsid w:val="003F2A7E"/>
    <w:rsid w:val="003F2B73"/>
    <w:rsid w:val="003F2C13"/>
    <w:rsid w:val="003F3C54"/>
    <w:rsid w:val="003F3EB2"/>
    <w:rsid w:val="003F445C"/>
    <w:rsid w:val="003F4573"/>
    <w:rsid w:val="003F5564"/>
    <w:rsid w:val="003F592C"/>
    <w:rsid w:val="003F5F22"/>
    <w:rsid w:val="003F6061"/>
    <w:rsid w:val="003F660C"/>
    <w:rsid w:val="003F6A1B"/>
    <w:rsid w:val="003F7985"/>
    <w:rsid w:val="003F7CF0"/>
    <w:rsid w:val="004002BC"/>
    <w:rsid w:val="00400651"/>
    <w:rsid w:val="004007D8"/>
    <w:rsid w:val="00400AA9"/>
    <w:rsid w:val="00400DEE"/>
    <w:rsid w:val="00400E7A"/>
    <w:rsid w:val="00400FF5"/>
    <w:rsid w:val="0040134E"/>
    <w:rsid w:val="0040135A"/>
    <w:rsid w:val="0040141A"/>
    <w:rsid w:val="0040144B"/>
    <w:rsid w:val="00401534"/>
    <w:rsid w:val="004017BD"/>
    <w:rsid w:val="00401B81"/>
    <w:rsid w:val="00401BBE"/>
    <w:rsid w:val="00401C81"/>
    <w:rsid w:val="00401D2E"/>
    <w:rsid w:val="004022ED"/>
    <w:rsid w:val="00402721"/>
    <w:rsid w:val="004027F2"/>
    <w:rsid w:val="00402878"/>
    <w:rsid w:val="004028B3"/>
    <w:rsid w:val="00402BAE"/>
    <w:rsid w:val="00402F72"/>
    <w:rsid w:val="00403202"/>
    <w:rsid w:val="00403289"/>
    <w:rsid w:val="004033B5"/>
    <w:rsid w:val="0040359F"/>
    <w:rsid w:val="00403AC0"/>
    <w:rsid w:val="00403DE9"/>
    <w:rsid w:val="004040F0"/>
    <w:rsid w:val="004042BD"/>
    <w:rsid w:val="00404767"/>
    <w:rsid w:val="00404941"/>
    <w:rsid w:val="00404A57"/>
    <w:rsid w:val="004058BF"/>
    <w:rsid w:val="00405994"/>
    <w:rsid w:val="00405C74"/>
    <w:rsid w:val="00405D49"/>
    <w:rsid w:val="00406417"/>
    <w:rsid w:val="0040661B"/>
    <w:rsid w:val="0040663B"/>
    <w:rsid w:val="00406A36"/>
    <w:rsid w:val="00406C25"/>
    <w:rsid w:val="00406C2A"/>
    <w:rsid w:val="00406DE8"/>
    <w:rsid w:val="0040731F"/>
    <w:rsid w:val="00407BD4"/>
    <w:rsid w:val="00407E16"/>
    <w:rsid w:val="00407F01"/>
    <w:rsid w:val="004100B4"/>
    <w:rsid w:val="004104FA"/>
    <w:rsid w:val="00410A6C"/>
    <w:rsid w:val="00410A93"/>
    <w:rsid w:val="00410C17"/>
    <w:rsid w:val="00411269"/>
    <w:rsid w:val="00411356"/>
    <w:rsid w:val="004113E2"/>
    <w:rsid w:val="00411490"/>
    <w:rsid w:val="00411621"/>
    <w:rsid w:val="004116CB"/>
    <w:rsid w:val="00411F5F"/>
    <w:rsid w:val="0041266B"/>
    <w:rsid w:val="00412847"/>
    <w:rsid w:val="00412937"/>
    <w:rsid w:val="00412DAB"/>
    <w:rsid w:val="00412E72"/>
    <w:rsid w:val="004130AA"/>
    <w:rsid w:val="0041344B"/>
    <w:rsid w:val="00413553"/>
    <w:rsid w:val="00413B66"/>
    <w:rsid w:val="00413E0E"/>
    <w:rsid w:val="00414071"/>
    <w:rsid w:val="004143C0"/>
    <w:rsid w:val="00414498"/>
    <w:rsid w:val="00414639"/>
    <w:rsid w:val="00414CBC"/>
    <w:rsid w:val="00414DE8"/>
    <w:rsid w:val="0041539D"/>
    <w:rsid w:val="00415F39"/>
    <w:rsid w:val="00416084"/>
    <w:rsid w:val="0041691C"/>
    <w:rsid w:val="00416D03"/>
    <w:rsid w:val="004170CD"/>
    <w:rsid w:val="00417946"/>
    <w:rsid w:val="004203E4"/>
    <w:rsid w:val="00420CE5"/>
    <w:rsid w:val="00420D2D"/>
    <w:rsid w:val="004214F2"/>
    <w:rsid w:val="0042225F"/>
    <w:rsid w:val="00422306"/>
    <w:rsid w:val="0042256A"/>
    <w:rsid w:val="0042277A"/>
    <w:rsid w:val="00422C1C"/>
    <w:rsid w:val="00422FD3"/>
    <w:rsid w:val="004233A7"/>
    <w:rsid w:val="004234B4"/>
    <w:rsid w:val="004236F2"/>
    <w:rsid w:val="00423EC7"/>
    <w:rsid w:val="0042422A"/>
    <w:rsid w:val="0042464C"/>
    <w:rsid w:val="00424AC9"/>
    <w:rsid w:val="00424FC8"/>
    <w:rsid w:val="004253FD"/>
    <w:rsid w:val="00425870"/>
    <w:rsid w:val="00425D03"/>
    <w:rsid w:val="00425EE1"/>
    <w:rsid w:val="00426501"/>
    <w:rsid w:val="0042689B"/>
    <w:rsid w:val="00426D69"/>
    <w:rsid w:val="00427222"/>
    <w:rsid w:val="00427B1C"/>
    <w:rsid w:val="00427E66"/>
    <w:rsid w:val="0043040C"/>
    <w:rsid w:val="00430EC6"/>
    <w:rsid w:val="00431131"/>
    <w:rsid w:val="00431509"/>
    <w:rsid w:val="00431B68"/>
    <w:rsid w:val="00431D09"/>
    <w:rsid w:val="004321F6"/>
    <w:rsid w:val="004327F3"/>
    <w:rsid w:val="00432B11"/>
    <w:rsid w:val="00432DBC"/>
    <w:rsid w:val="00433110"/>
    <w:rsid w:val="00433201"/>
    <w:rsid w:val="00433629"/>
    <w:rsid w:val="00433724"/>
    <w:rsid w:val="00433822"/>
    <w:rsid w:val="004338A0"/>
    <w:rsid w:val="00433E9E"/>
    <w:rsid w:val="00433F53"/>
    <w:rsid w:val="004342AD"/>
    <w:rsid w:val="0043457E"/>
    <w:rsid w:val="00434691"/>
    <w:rsid w:val="00434A93"/>
    <w:rsid w:val="00435357"/>
    <w:rsid w:val="0043570A"/>
    <w:rsid w:val="00435D3D"/>
    <w:rsid w:val="00436182"/>
    <w:rsid w:val="0043638F"/>
    <w:rsid w:val="0043652B"/>
    <w:rsid w:val="0043674D"/>
    <w:rsid w:val="00436AF0"/>
    <w:rsid w:val="00436C52"/>
    <w:rsid w:val="00436DA2"/>
    <w:rsid w:val="00437BC4"/>
    <w:rsid w:val="004401FE"/>
    <w:rsid w:val="00440237"/>
    <w:rsid w:val="0044040B"/>
    <w:rsid w:val="00440CB7"/>
    <w:rsid w:val="00441751"/>
    <w:rsid w:val="0044194B"/>
    <w:rsid w:val="00441989"/>
    <w:rsid w:val="00441C40"/>
    <w:rsid w:val="00441F93"/>
    <w:rsid w:val="0044296F"/>
    <w:rsid w:val="004429F9"/>
    <w:rsid w:val="00442F78"/>
    <w:rsid w:val="004439C8"/>
    <w:rsid w:val="00443E4B"/>
    <w:rsid w:val="004440A4"/>
    <w:rsid w:val="0044424E"/>
    <w:rsid w:val="0044478E"/>
    <w:rsid w:val="0044496B"/>
    <w:rsid w:val="00444EAF"/>
    <w:rsid w:val="00444FD8"/>
    <w:rsid w:val="00445302"/>
    <w:rsid w:val="00445D02"/>
    <w:rsid w:val="00445F78"/>
    <w:rsid w:val="00445FDB"/>
    <w:rsid w:val="00445FE8"/>
    <w:rsid w:val="00446365"/>
    <w:rsid w:val="004463E3"/>
    <w:rsid w:val="00446603"/>
    <w:rsid w:val="00446D8B"/>
    <w:rsid w:val="00446E2B"/>
    <w:rsid w:val="00450149"/>
    <w:rsid w:val="00450E5F"/>
    <w:rsid w:val="00450F68"/>
    <w:rsid w:val="00451344"/>
    <w:rsid w:val="0045142D"/>
    <w:rsid w:val="0045148C"/>
    <w:rsid w:val="00451867"/>
    <w:rsid w:val="00451996"/>
    <w:rsid w:val="00451E30"/>
    <w:rsid w:val="00451F7A"/>
    <w:rsid w:val="004522CF"/>
    <w:rsid w:val="00452666"/>
    <w:rsid w:val="004528E7"/>
    <w:rsid w:val="004529E2"/>
    <w:rsid w:val="00452AF8"/>
    <w:rsid w:val="00452B41"/>
    <w:rsid w:val="00452D50"/>
    <w:rsid w:val="00452D83"/>
    <w:rsid w:val="004530C4"/>
    <w:rsid w:val="00453578"/>
    <w:rsid w:val="00453739"/>
    <w:rsid w:val="0045418C"/>
    <w:rsid w:val="0045429F"/>
    <w:rsid w:val="00454377"/>
    <w:rsid w:val="00454483"/>
    <w:rsid w:val="004547FD"/>
    <w:rsid w:val="00454861"/>
    <w:rsid w:val="004552E7"/>
    <w:rsid w:val="0045586E"/>
    <w:rsid w:val="004559BE"/>
    <w:rsid w:val="00455B43"/>
    <w:rsid w:val="00455CEA"/>
    <w:rsid w:val="00455D6B"/>
    <w:rsid w:val="004561E7"/>
    <w:rsid w:val="004565D2"/>
    <w:rsid w:val="004570D2"/>
    <w:rsid w:val="00457546"/>
    <w:rsid w:val="00457585"/>
    <w:rsid w:val="00457CF9"/>
    <w:rsid w:val="00457F62"/>
    <w:rsid w:val="00457F79"/>
    <w:rsid w:val="0046016E"/>
    <w:rsid w:val="004601DD"/>
    <w:rsid w:val="00460D47"/>
    <w:rsid w:val="00460FF7"/>
    <w:rsid w:val="00461ACE"/>
    <w:rsid w:val="00461CD9"/>
    <w:rsid w:val="00461D5E"/>
    <w:rsid w:val="0046253B"/>
    <w:rsid w:val="0046257D"/>
    <w:rsid w:val="0046258D"/>
    <w:rsid w:val="0046282D"/>
    <w:rsid w:val="00462A09"/>
    <w:rsid w:val="00462E91"/>
    <w:rsid w:val="004630E1"/>
    <w:rsid w:val="00463584"/>
    <w:rsid w:val="0046361D"/>
    <w:rsid w:val="0046379C"/>
    <w:rsid w:val="0046380B"/>
    <w:rsid w:val="004638F5"/>
    <w:rsid w:val="004639D7"/>
    <w:rsid w:val="00463ADE"/>
    <w:rsid w:val="004640CD"/>
    <w:rsid w:val="004641B7"/>
    <w:rsid w:val="00464473"/>
    <w:rsid w:val="00464B12"/>
    <w:rsid w:val="00464B62"/>
    <w:rsid w:val="00465079"/>
    <w:rsid w:val="00465547"/>
    <w:rsid w:val="00465A42"/>
    <w:rsid w:val="00466195"/>
    <w:rsid w:val="004662F5"/>
    <w:rsid w:val="00466E2F"/>
    <w:rsid w:val="00467060"/>
    <w:rsid w:val="00467568"/>
    <w:rsid w:val="004678ED"/>
    <w:rsid w:val="00467A61"/>
    <w:rsid w:val="00467A70"/>
    <w:rsid w:val="00467BD3"/>
    <w:rsid w:val="00467C09"/>
    <w:rsid w:val="00467CE7"/>
    <w:rsid w:val="00470110"/>
    <w:rsid w:val="00470BBF"/>
    <w:rsid w:val="00470E25"/>
    <w:rsid w:val="00470F3B"/>
    <w:rsid w:val="0047100C"/>
    <w:rsid w:val="00471197"/>
    <w:rsid w:val="004715B4"/>
    <w:rsid w:val="0047188D"/>
    <w:rsid w:val="00471C60"/>
    <w:rsid w:val="00471F49"/>
    <w:rsid w:val="00472229"/>
    <w:rsid w:val="004724A0"/>
    <w:rsid w:val="004724FB"/>
    <w:rsid w:val="00472843"/>
    <w:rsid w:val="00472A67"/>
    <w:rsid w:val="00472BCB"/>
    <w:rsid w:val="00472D9E"/>
    <w:rsid w:val="00473216"/>
    <w:rsid w:val="00473FB9"/>
    <w:rsid w:val="00474A77"/>
    <w:rsid w:val="00474F7D"/>
    <w:rsid w:val="00474F87"/>
    <w:rsid w:val="0047519D"/>
    <w:rsid w:val="004755B5"/>
    <w:rsid w:val="004756C8"/>
    <w:rsid w:val="00475AB2"/>
    <w:rsid w:val="00475AE5"/>
    <w:rsid w:val="00475B09"/>
    <w:rsid w:val="00475E66"/>
    <w:rsid w:val="00476011"/>
    <w:rsid w:val="00476308"/>
    <w:rsid w:val="0047647C"/>
    <w:rsid w:val="004765D3"/>
    <w:rsid w:val="00476C8E"/>
    <w:rsid w:val="0047711F"/>
    <w:rsid w:val="00477742"/>
    <w:rsid w:val="0047777A"/>
    <w:rsid w:val="004777BD"/>
    <w:rsid w:val="00477CFC"/>
    <w:rsid w:val="00477D2B"/>
    <w:rsid w:val="00477F1C"/>
    <w:rsid w:val="00480107"/>
    <w:rsid w:val="004803A5"/>
    <w:rsid w:val="004806D0"/>
    <w:rsid w:val="004809B4"/>
    <w:rsid w:val="00480B2C"/>
    <w:rsid w:val="00480C26"/>
    <w:rsid w:val="00480E7D"/>
    <w:rsid w:val="00481139"/>
    <w:rsid w:val="00481356"/>
    <w:rsid w:val="004815D7"/>
    <w:rsid w:val="00481730"/>
    <w:rsid w:val="004818A2"/>
    <w:rsid w:val="004821E9"/>
    <w:rsid w:val="004825CE"/>
    <w:rsid w:val="00482682"/>
    <w:rsid w:val="004826D7"/>
    <w:rsid w:val="00482A72"/>
    <w:rsid w:val="00482F35"/>
    <w:rsid w:val="0048310C"/>
    <w:rsid w:val="0048360A"/>
    <w:rsid w:val="00483915"/>
    <w:rsid w:val="0048396B"/>
    <w:rsid w:val="00483C0C"/>
    <w:rsid w:val="00483DF5"/>
    <w:rsid w:val="00484238"/>
    <w:rsid w:val="0048480B"/>
    <w:rsid w:val="00484DEE"/>
    <w:rsid w:val="004852E8"/>
    <w:rsid w:val="00485C5B"/>
    <w:rsid w:val="00485EA9"/>
    <w:rsid w:val="00485FF9"/>
    <w:rsid w:val="00486496"/>
    <w:rsid w:val="00486610"/>
    <w:rsid w:val="004867E3"/>
    <w:rsid w:val="004869A3"/>
    <w:rsid w:val="00486F30"/>
    <w:rsid w:val="00486F76"/>
    <w:rsid w:val="0048734C"/>
    <w:rsid w:val="004879A1"/>
    <w:rsid w:val="00487C22"/>
    <w:rsid w:val="00487C9A"/>
    <w:rsid w:val="00487E2B"/>
    <w:rsid w:val="004904C0"/>
    <w:rsid w:val="00491513"/>
    <w:rsid w:val="00491524"/>
    <w:rsid w:val="004915BF"/>
    <w:rsid w:val="004916BB"/>
    <w:rsid w:val="004918C9"/>
    <w:rsid w:val="00491A89"/>
    <w:rsid w:val="00491DBE"/>
    <w:rsid w:val="00491E02"/>
    <w:rsid w:val="00492A0A"/>
    <w:rsid w:val="00492C34"/>
    <w:rsid w:val="00492FDD"/>
    <w:rsid w:val="00493044"/>
    <w:rsid w:val="004936F4"/>
    <w:rsid w:val="00493998"/>
    <w:rsid w:val="00493C0E"/>
    <w:rsid w:val="004940D5"/>
    <w:rsid w:val="004940D8"/>
    <w:rsid w:val="004941B1"/>
    <w:rsid w:val="004943C3"/>
    <w:rsid w:val="00494C9D"/>
    <w:rsid w:val="00494EEB"/>
    <w:rsid w:val="004950B1"/>
    <w:rsid w:val="0049534E"/>
    <w:rsid w:val="0049554E"/>
    <w:rsid w:val="0049562A"/>
    <w:rsid w:val="00495B64"/>
    <w:rsid w:val="00495EB9"/>
    <w:rsid w:val="00495FD5"/>
    <w:rsid w:val="00496094"/>
    <w:rsid w:val="004960CD"/>
    <w:rsid w:val="0049687F"/>
    <w:rsid w:val="00496C90"/>
    <w:rsid w:val="00497196"/>
    <w:rsid w:val="0049758C"/>
    <w:rsid w:val="004975FC"/>
    <w:rsid w:val="00497FA8"/>
    <w:rsid w:val="004A0141"/>
    <w:rsid w:val="004A03CB"/>
    <w:rsid w:val="004A0D3C"/>
    <w:rsid w:val="004A0F93"/>
    <w:rsid w:val="004A1359"/>
    <w:rsid w:val="004A154A"/>
    <w:rsid w:val="004A1663"/>
    <w:rsid w:val="004A1784"/>
    <w:rsid w:val="004A1AB1"/>
    <w:rsid w:val="004A1C4D"/>
    <w:rsid w:val="004A1E88"/>
    <w:rsid w:val="004A1EA7"/>
    <w:rsid w:val="004A21A7"/>
    <w:rsid w:val="004A2505"/>
    <w:rsid w:val="004A257E"/>
    <w:rsid w:val="004A2986"/>
    <w:rsid w:val="004A2D46"/>
    <w:rsid w:val="004A2E0F"/>
    <w:rsid w:val="004A33A5"/>
    <w:rsid w:val="004A33C8"/>
    <w:rsid w:val="004A34A1"/>
    <w:rsid w:val="004A39D4"/>
    <w:rsid w:val="004A3C06"/>
    <w:rsid w:val="004A3F10"/>
    <w:rsid w:val="004A3FA7"/>
    <w:rsid w:val="004A4348"/>
    <w:rsid w:val="004A4588"/>
    <w:rsid w:val="004A4697"/>
    <w:rsid w:val="004A4E32"/>
    <w:rsid w:val="004A4E61"/>
    <w:rsid w:val="004A4FC1"/>
    <w:rsid w:val="004A4FD0"/>
    <w:rsid w:val="004A69EF"/>
    <w:rsid w:val="004A764B"/>
    <w:rsid w:val="004A7DA8"/>
    <w:rsid w:val="004A7DD3"/>
    <w:rsid w:val="004B0041"/>
    <w:rsid w:val="004B0163"/>
    <w:rsid w:val="004B04EF"/>
    <w:rsid w:val="004B055F"/>
    <w:rsid w:val="004B0A41"/>
    <w:rsid w:val="004B0B07"/>
    <w:rsid w:val="004B0CE3"/>
    <w:rsid w:val="004B0E23"/>
    <w:rsid w:val="004B13DB"/>
    <w:rsid w:val="004B141F"/>
    <w:rsid w:val="004B1CF0"/>
    <w:rsid w:val="004B1D35"/>
    <w:rsid w:val="004B2218"/>
    <w:rsid w:val="004B281B"/>
    <w:rsid w:val="004B2A0D"/>
    <w:rsid w:val="004B32D7"/>
    <w:rsid w:val="004B353A"/>
    <w:rsid w:val="004B3E42"/>
    <w:rsid w:val="004B3ECD"/>
    <w:rsid w:val="004B3F8E"/>
    <w:rsid w:val="004B40C4"/>
    <w:rsid w:val="004B427D"/>
    <w:rsid w:val="004B5029"/>
    <w:rsid w:val="004B597C"/>
    <w:rsid w:val="004B5AA6"/>
    <w:rsid w:val="004B5B73"/>
    <w:rsid w:val="004B5D5D"/>
    <w:rsid w:val="004B637D"/>
    <w:rsid w:val="004B676B"/>
    <w:rsid w:val="004B699F"/>
    <w:rsid w:val="004B6A38"/>
    <w:rsid w:val="004B6B80"/>
    <w:rsid w:val="004B6F64"/>
    <w:rsid w:val="004B6FB7"/>
    <w:rsid w:val="004B74C1"/>
    <w:rsid w:val="004B7884"/>
    <w:rsid w:val="004C01E1"/>
    <w:rsid w:val="004C0391"/>
    <w:rsid w:val="004C06E4"/>
    <w:rsid w:val="004C0FD5"/>
    <w:rsid w:val="004C1CBA"/>
    <w:rsid w:val="004C1CC9"/>
    <w:rsid w:val="004C1F24"/>
    <w:rsid w:val="004C1F39"/>
    <w:rsid w:val="004C22E4"/>
    <w:rsid w:val="004C24A2"/>
    <w:rsid w:val="004C2B11"/>
    <w:rsid w:val="004C2C1B"/>
    <w:rsid w:val="004C2D83"/>
    <w:rsid w:val="004C2F28"/>
    <w:rsid w:val="004C2F9D"/>
    <w:rsid w:val="004C308C"/>
    <w:rsid w:val="004C309B"/>
    <w:rsid w:val="004C3893"/>
    <w:rsid w:val="004C3DF7"/>
    <w:rsid w:val="004C3EB7"/>
    <w:rsid w:val="004C456B"/>
    <w:rsid w:val="004C4668"/>
    <w:rsid w:val="004C4E6D"/>
    <w:rsid w:val="004C5618"/>
    <w:rsid w:val="004C584C"/>
    <w:rsid w:val="004C5A23"/>
    <w:rsid w:val="004C604B"/>
    <w:rsid w:val="004C61D8"/>
    <w:rsid w:val="004C66C8"/>
    <w:rsid w:val="004C6782"/>
    <w:rsid w:val="004C69E5"/>
    <w:rsid w:val="004C6A7A"/>
    <w:rsid w:val="004C6E1D"/>
    <w:rsid w:val="004C7740"/>
    <w:rsid w:val="004C7AF5"/>
    <w:rsid w:val="004C7BD2"/>
    <w:rsid w:val="004D050B"/>
    <w:rsid w:val="004D0667"/>
    <w:rsid w:val="004D147C"/>
    <w:rsid w:val="004D15DC"/>
    <w:rsid w:val="004D1630"/>
    <w:rsid w:val="004D1776"/>
    <w:rsid w:val="004D1831"/>
    <w:rsid w:val="004D21B6"/>
    <w:rsid w:val="004D25EA"/>
    <w:rsid w:val="004D3170"/>
    <w:rsid w:val="004D360A"/>
    <w:rsid w:val="004D38FD"/>
    <w:rsid w:val="004D39F4"/>
    <w:rsid w:val="004D3CB8"/>
    <w:rsid w:val="004D4820"/>
    <w:rsid w:val="004D48AE"/>
    <w:rsid w:val="004D5138"/>
    <w:rsid w:val="004D5262"/>
    <w:rsid w:val="004D5416"/>
    <w:rsid w:val="004D55C6"/>
    <w:rsid w:val="004D5610"/>
    <w:rsid w:val="004D5FF8"/>
    <w:rsid w:val="004D6636"/>
    <w:rsid w:val="004D6709"/>
    <w:rsid w:val="004D6A64"/>
    <w:rsid w:val="004D6AAE"/>
    <w:rsid w:val="004D6ABE"/>
    <w:rsid w:val="004D71E0"/>
    <w:rsid w:val="004D7423"/>
    <w:rsid w:val="004D7DE6"/>
    <w:rsid w:val="004E0043"/>
    <w:rsid w:val="004E01E5"/>
    <w:rsid w:val="004E026A"/>
    <w:rsid w:val="004E0594"/>
    <w:rsid w:val="004E0889"/>
    <w:rsid w:val="004E0B5D"/>
    <w:rsid w:val="004E0CF5"/>
    <w:rsid w:val="004E0EF4"/>
    <w:rsid w:val="004E145D"/>
    <w:rsid w:val="004E2085"/>
    <w:rsid w:val="004E25FB"/>
    <w:rsid w:val="004E260E"/>
    <w:rsid w:val="004E2775"/>
    <w:rsid w:val="004E27A4"/>
    <w:rsid w:val="004E2B60"/>
    <w:rsid w:val="004E2BE8"/>
    <w:rsid w:val="004E326E"/>
    <w:rsid w:val="004E327D"/>
    <w:rsid w:val="004E36D7"/>
    <w:rsid w:val="004E377F"/>
    <w:rsid w:val="004E3C2F"/>
    <w:rsid w:val="004E3FD6"/>
    <w:rsid w:val="004E5216"/>
    <w:rsid w:val="004E52AC"/>
    <w:rsid w:val="004E55F2"/>
    <w:rsid w:val="004E5ADD"/>
    <w:rsid w:val="004E5B58"/>
    <w:rsid w:val="004E6245"/>
    <w:rsid w:val="004E64FE"/>
    <w:rsid w:val="004E6725"/>
    <w:rsid w:val="004E6A6D"/>
    <w:rsid w:val="004E6BA4"/>
    <w:rsid w:val="004E70B3"/>
    <w:rsid w:val="004E714E"/>
    <w:rsid w:val="004E72C4"/>
    <w:rsid w:val="004E7776"/>
    <w:rsid w:val="004E7863"/>
    <w:rsid w:val="004E7964"/>
    <w:rsid w:val="004E79B6"/>
    <w:rsid w:val="004E7C02"/>
    <w:rsid w:val="004F01B3"/>
    <w:rsid w:val="004F0230"/>
    <w:rsid w:val="004F068B"/>
    <w:rsid w:val="004F09FB"/>
    <w:rsid w:val="004F0A67"/>
    <w:rsid w:val="004F0CAE"/>
    <w:rsid w:val="004F0EAE"/>
    <w:rsid w:val="004F147C"/>
    <w:rsid w:val="004F16C0"/>
    <w:rsid w:val="004F16CD"/>
    <w:rsid w:val="004F19B3"/>
    <w:rsid w:val="004F1A61"/>
    <w:rsid w:val="004F1D57"/>
    <w:rsid w:val="004F1DCD"/>
    <w:rsid w:val="004F231E"/>
    <w:rsid w:val="004F244C"/>
    <w:rsid w:val="004F3033"/>
    <w:rsid w:val="004F34E4"/>
    <w:rsid w:val="004F35C9"/>
    <w:rsid w:val="004F3726"/>
    <w:rsid w:val="004F405D"/>
    <w:rsid w:val="004F4217"/>
    <w:rsid w:val="004F4410"/>
    <w:rsid w:val="004F4598"/>
    <w:rsid w:val="004F4617"/>
    <w:rsid w:val="004F4997"/>
    <w:rsid w:val="004F5088"/>
    <w:rsid w:val="004F50D7"/>
    <w:rsid w:val="004F5359"/>
    <w:rsid w:val="004F5424"/>
    <w:rsid w:val="004F57D8"/>
    <w:rsid w:val="004F5960"/>
    <w:rsid w:val="004F5DE2"/>
    <w:rsid w:val="004F5F1C"/>
    <w:rsid w:val="004F60EB"/>
    <w:rsid w:val="004F6888"/>
    <w:rsid w:val="004F68FF"/>
    <w:rsid w:val="004F6B88"/>
    <w:rsid w:val="004F6BAD"/>
    <w:rsid w:val="004F6BCD"/>
    <w:rsid w:val="004F6CD8"/>
    <w:rsid w:val="004F6D03"/>
    <w:rsid w:val="004F718F"/>
    <w:rsid w:val="004F76F4"/>
    <w:rsid w:val="004F7942"/>
    <w:rsid w:val="004F7D0D"/>
    <w:rsid w:val="004F7E17"/>
    <w:rsid w:val="00500138"/>
    <w:rsid w:val="00500178"/>
    <w:rsid w:val="00500455"/>
    <w:rsid w:val="00500CAD"/>
    <w:rsid w:val="00500F72"/>
    <w:rsid w:val="0050110D"/>
    <w:rsid w:val="005012E5"/>
    <w:rsid w:val="005013BA"/>
    <w:rsid w:val="00501AEB"/>
    <w:rsid w:val="00501C52"/>
    <w:rsid w:val="0050224A"/>
    <w:rsid w:val="005024C2"/>
    <w:rsid w:val="0050285F"/>
    <w:rsid w:val="00502BA2"/>
    <w:rsid w:val="00503A91"/>
    <w:rsid w:val="00503F82"/>
    <w:rsid w:val="00504040"/>
    <w:rsid w:val="005043A0"/>
    <w:rsid w:val="005044B0"/>
    <w:rsid w:val="0050479C"/>
    <w:rsid w:val="00504A99"/>
    <w:rsid w:val="00505901"/>
    <w:rsid w:val="00505F30"/>
    <w:rsid w:val="0050644C"/>
    <w:rsid w:val="005068EB"/>
    <w:rsid w:val="00506B3C"/>
    <w:rsid w:val="00506B53"/>
    <w:rsid w:val="0050703B"/>
    <w:rsid w:val="005071E0"/>
    <w:rsid w:val="00507B59"/>
    <w:rsid w:val="00507CC3"/>
    <w:rsid w:val="00507E50"/>
    <w:rsid w:val="00507E9F"/>
    <w:rsid w:val="005102B1"/>
    <w:rsid w:val="005107AC"/>
    <w:rsid w:val="005107F0"/>
    <w:rsid w:val="0051102F"/>
    <w:rsid w:val="00511201"/>
    <w:rsid w:val="005117BD"/>
    <w:rsid w:val="00511840"/>
    <w:rsid w:val="00512690"/>
    <w:rsid w:val="005127FC"/>
    <w:rsid w:val="00512C9A"/>
    <w:rsid w:val="00513550"/>
    <w:rsid w:val="005136C3"/>
    <w:rsid w:val="00514711"/>
    <w:rsid w:val="00514B80"/>
    <w:rsid w:val="00515536"/>
    <w:rsid w:val="005156F7"/>
    <w:rsid w:val="00515A11"/>
    <w:rsid w:val="00515F3B"/>
    <w:rsid w:val="00516783"/>
    <w:rsid w:val="00516B5F"/>
    <w:rsid w:val="00516D7A"/>
    <w:rsid w:val="00517229"/>
    <w:rsid w:val="0051724A"/>
    <w:rsid w:val="00517440"/>
    <w:rsid w:val="0051763E"/>
    <w:rsid w:val="00517956"/>
    <w:rsid w:val="00517DD6"/>
    <w:rsid w:val="00517E86"/>
    <w:rsid w:val="00517FBF"/>
    <w:rsid w:val="0052019B"/>
    <w:rsid w:val="00520640"/>
    <w:rsid w:val="005206F4"/>
    <w:rsid w:val="0052074E"/>
    <w:rsid w:val="00520A10"/>
    <w:rsid w:val="00520D1E"/>
    <w:rsid w:val="00520DA4"/>
    <w:rsid w:val="005210FD"/>
    <w:rsid w:val="00521AC6"/>
    <w:rsid w:val="00521E19"/>
    <w:rsid w:val="00522457"/>
    <w:rsid w:val="005226D5"/>
    <w:rsid w:val="00522BEF"/>
    <w:rsid w:val="00522F32"/>
    <w:rsid w:val="00522F48"/>
    <w:rsid w:val="00522FA1"/>
    <w:rsid w:val="005233E8"/>
    <w:rsid w:val="00523591"/>
    <w:rsid w:val="00523710"/>
    <w:rsid w:val="0052380E"/>
    <w:rsid w:val="00523B31"/>
    <w:rsid w:val="0052429E"/>
    <w:rsid w:val="005246D9"/>
    <w:rsid w:val="0052481D"/>
    <w:rsid w:val="00524CEA"/>
    <w:rsid w:val="005250EA"/>
    <w:rsid w:val="0052543B"/>
    <w:rsid w:val="00525699"/>
    <w:rsid w:val="00525A85"/>
    <w:rsid w:val="00525BD5"/>
    <w:rsid w:val="00525C3C"/>
    <w:rsid w:val="00525FEE"/>
    <w:rsid w:val="00526511"/>
    <w:rsid w:val="0052680A"/>
    <w:rsid w:val="005269F6"/>
    <w:rsid w:val="00526D7C"/>
    <w:rsid w:val="005272BC"/>
    <w:rsid w:val="00527545"/>
    <w:rsid w:val="0052766F"/>
    <w:rsid w:val="00527771"/>
    <w:rsid w:val="005277CB"/>
    <w:rsid w:val="005278EF"/>
    <w:rsid w:val="00527D1B"/>
    <w:rsid w:val="00527D3F"/>
    <w:rsid w:val="00527D78"/>
    <w:rsid w:val="0053009C"/>
    <w:rsid w:val="005300F5"/>
    <w:rsid w:val="00530376"/>
    <w:rsid w:val="00530498"/>
    <w:rsid w:val="005307B9"/>
    <w:rsid w:val="00530ADE"/>
    <w:rsid w:val="00530ADF"/>
    <w:rsid w:val="005315BB"/>
    <w:rsid w:val="00531626"/>
    <w:rsid w:val="005317F7"/>
    <w:rsid w:val="0053187B"/>
    <w:rsid w:val="0053235D"/>
    <w:rsid w:val="00532734"/>
    <w:rsid w:val="005328C8"/>
    <w:rsid w:val="005329BC"/>
    <w:rsid w:val="00532E09"/>
    <w:rsid w:val="005334F4"/>
    <w:rsid w:val="00533539"/>
    <w:rsid w:val="00533695"/>
    <w:rsid w:val="00533973"/>
    <w:rsid w:val="00533D42"/>
    <w:rsid w:val="00533FD1"/>
    <w:rsid w:val="005340D7"/>
    <w:rsid w:val="005340E1"/>
    <w:rsid w:val="005340E5"/>
    <w:rsid w:val="00534812"/>
    <w:rsid w:val="00534A6F"/>
    <w:rsid w:val="00534E9C"/>
    <w:rsid w:val="005350BD"/>
    <w:rsid w:val="005353CB"/>
    <w:rsid w:val="00535F22"/>
    <w:rsid w:val="00536700"/>
    <w:rsid w:val="00536C9B"/>
    <w:rsid w:val="005373A6"/>
    <w:rsid w:val="005377A2"/>
    <w:rsid w:val="005377B0"/>
    <w:rsid w:val="00537954"/>
    <w:rsid w:val="00540339"/>
    <w:rsid w:val="00540ADC"/>
    <w:rsid w:val="005410D0"/>
    <w:rsid w:val="005410D9"/>
    <w:rsid w:val="00541191"/>
    <w:rsid w:val="005411ED"/>
    <w:rsid w:val="00541455"/>
    <w:rsid w:val="0054152B"/>
    <w:rsid w:val="00541AC0"/>
    <w:rsid w:val="00541B35"/>
    <w:rsid w:val="00541B83"/>
    <w:rsid w:val="0054225E"/>
    <w:rsid w:val="005423DB"/>
    <w:rsid w:val="00542523"/>
    <w:rsid w:val="005425AC"/>
    <w:rsid w:val="0054270D"/>
    <w:rsid w:val="00542A60"/>
    <w:rsid w:val="00542DBC"/>
    <w:rsid w:val="00543154"/>
    <w:rsid w:val="0054371C"/>
    <w:rsid w:val="005437DC"/>
    <w:rsid w:val="005438D6"/>
    <w:rsid w:val="00543B47"/>
    <w:rsid w:val="00543E46"/>
    <w:rsid w:val="00544A50"/>
    <w:rsid w:val="00544E1D"/>
    <w:rsid w:val="00544EAC"/>
    <w:rsid w:val="005454A1"/>
    <w:rsid w:val="00545EDB"/>
    <w:rsid w:val="005461B1"/>
    <w:rsid w:val="0054649C"/>
    <w:rsid w:val="005464A4"/>
    <w:rsid w:val="0054684A"/>
    <w:rsid w:val="00546B10"/>
    <w:rsid w:val="00546FF5"/>
    <w:rsid w:val="00547717"/>
    <w:rsid w:val="00547887"/>
    <w:rsid w:val="00547B61"/>
    <w:rsid w:val="005504CF"/>
    <w:rsid w:val="00550D92"/>
    <w:rsid w:val="00551072"/>
    <w:rsid w:val="005515A4"/>
    <w:rsid w:val="00551647"/>
    <w:rsid w:val="00551F85"/>
    <w:rsid w:val="005528DD"/>
    <w:rsid w:val="00552D27"/>
    <w:rsid w:val="00553936"/>
    <w:rsid w:val="00553AAA"/>
    <w:rsid w:val="00553AF0"/>
    <w:rsid w:val="00553D52"/>
    <w:rsid w:val="00553E65"/>
    <w:rsid w:val="00553ECE"/>
    <w:rsid w:val="0055410A"/>
    <w:rsid w:val="0055422A"/>
    <w:rsid w:val="00554618"/>
    <w:rsid w:val="005546FE"/>
    <w:rsid w:val="00554A98"/>
    <w:rsid w:val="00554AF0"/>
    <w:rsid w:val="00554BEF"/>
    <w:rsid w:val="00554D51"/>
    <w:rsid w:val="00554DD6"/>
    <w:rsid w:val="0055527F"/>
    <w:rsid w:val="00555B81"/>
    <w:rsid w:val="005563CF"/>
    <w:rsid w:val="00556BDB"/>
    <w:rsid w:val="00556FD4"/>
    <w:rsid w:val="00557161"/>
    <w:rsid w:val="0055720A"/>
    <w:rsid w:val="00557348"/>
    <w:rsid w:val="00557790"/>
    <w:rsid w:val="005578E9"/>
    <w:rsid w:val="00557A25"/>
    <w:rsid w:val="00557AF1"/>
    <w:rsid w:val="00557D45"/>
    <w:rsid w:val="00560654"/>
    <w:rsid w:val="005606E4"/>
    <w:rsid w:val="0056074C"/>
    <w:rsid w:val="00560ADF"/>
    <w:rsid w:val="00560B7F"/>
    <w:rsid w:val="00560DC8"/>
    <w:rsid w:val="00560EC5"/>
    <w:rsid w:val="0056130E"/>
    <w:rsid w:val="005613DC"/>
    <w:rsid w:val="0056145B"/>
    <w:rsid w:val="005617A1"/>
    <w:rsid w:val="00561A1F"/>
    <w:rsid w:val="00562107"/>
    <w:rsid w:val="00562185"/>
    <w:rsid w:val="005624C8"/>
    <w:rsid w:val="00562BFB"/>
    <w:rsid w:val="00562D37"/>
    <w:rsid w:val="00563059"/>
    <w:rsid w:val="005638DA"/>
    <w:rsid w:val="00563D5F"/>
    <w:rsid w:val="00563DD3"/>
    <w:rsid w:val="005640FA"/>
    <w:rsid w:val="005645C0"/>
    <w:rsid w:val="00564735"/>
    <w:rsid w:val="00564AE7"/>
    <w:rsid w:val="00565169"/>
    <w:rsid w:val="0056524E"/>
    <w:rsid w:val="0056532C"/>
    <w:rsid w:val="00565384"/>
    <w:rsid w:val="0056548E"/>
    <w:rsid w:val="00565558"/>
    <w:rsid w:val="005657E6"/>
    <w:rsid w:val="00565CFD"/>
    <w:rsid w:val="005661EB"/>
    <w:rsid w:val="0056628B"/>
    <w:rsid w:val="00566539"/>
    <w:rsid w:val="00566810"/>
    <w:rsid w:val="00566A12"/>
    <w:rsid w:val="00566B34"/>
    <w:rsid w:val="00566C87"/>
    <w:rsid w:val="00566DA4"/>
    <w:rsid w:val="005671F8"/>
    <w:rsid w:val="005675F2"/>
    <w:rsid w:val="00570081"/>
    <w:rsid w:val="00570183"/>
    <w:rsid w:val="00570259"/>
    <w:rsid w:val="0057037A"/>
    <w:rsid w:val="00570456"/>
    <w:rsid w:val="005706D4"/>
    <w:rsid w:val="00570A04"/>
    <w:rsid w:val="0057153E"/>
    <w:rsid w:val="005715CA"/>
    <w:rsid w:val="0057172E"/>
    <w:rsid w:val="00571998"/>
    <w:rsid w:val="00571A58"/>
    <w:rsid w:val="00571E05"/>
    <w:rsid w:val="00571FBD"/>
    <w:rsid w:val="00572A59"/>
    <w:rsid w:val="005731D4"/>
    <w:rsid w:val="005732A3"/>
    <w:rsid w:val="005732E0"/>
    <w:rsid w:val="00573835"/>
    <w:rsid w:val="00573A67"/>
    <w:rsid w:val="005749B9"/>
    <w:rsid w:val="005752C9"/>
    <w:rsid w:val="0057539D"/>
    <w:rsid w:val="005754E2"/>
    <w:rsid w:val="005758DB"/>
    <w:rsid w:val="005758FD"/>
    <w:rsid w:val="00575CDC"/>
    <w:rsid w:val="00575D5E"/>
    <w:rsid w:val="00575E16"/>
    <w:rsid w:val="00575FFD"/>
    <w:rsid w:val="005761F5"/>
    <w:rsid w:val="00576259"/>
    <w:rsid w:val="00576B9B"/>
    <w:rsid w:val="00576D91"/>
    <w:rsid w:val="00576ECF"/>
    <w:rsid w:val="00576EFE"/>
    <w:rsid w:val="00577661"/>
    <w:rsid w:val="00577754"/>
    <w:rsid w:val="005777BC"/>
    <w:rsid w:val="005778DF"/>
    <w:rsid w:val="00577EE4"/>
    <w:rsid w:val="00580162"/>
    <w:rsid w:val="0058026F"/>
    <w:rsid w:val="00580887"/>
    <w:rsid w:val="00580A87"/>
    <w:rsid w:val="00580F4A"/>
    <w:rsid w:val="005814A1"/>
    <w:rsid w:val="005815DC"/>
    <w:rsid w:val="005816DA"/>
    <w:rsid w:val="00581C50"/>
    <w:rsid w:val="00581D52"/>
    <w:rsid w:val="00581EA1"/>
    <w:rsid w:val="00582613"/>
    <w:rsid w:val="00582763"/>
    <w:rsid w:val="00582AF6"/>
    <w:rsid w:val="00582C9D"/>
    <w:rsid w:val="00582F6F"/>
    <w:rsid w:val="0058310E"/>
    <w:rsid w:val="005831C8"/>
    <w:rsid w:val="00583246"/>
    <w:rsid w:val="00583409"/>
    <w:rsid w:val="0058395D"/>
    <w:rsid w:val="00583A92"/>
    <w:rsid w:val="00584737"/>
    <w:rsid w:val="00584C4B"/>
    <w:rsid w:val="00585191"/>
    <w:rsid w:val="0058583F"/>
    <w:rsid w:val="00585965"/>
    <w:rsid w:val="00585BC6"/>
    <w:rsid w:val="0058669F"/>
    <w:rsid w:val="00586F72"/>
    <w:rsid w:val="00587147"/>
    <w:rsid w:val="005872D5"/>
    <w:rsid w:val="0058731E"/>
    <w:rsid w:val="00587476"/>
    <w:rsid w:val="00587885"/>
    <w:rsid w:val="00587AFC"/>
    <w:rsid w:val="00587D23"/>
    <w:rsid w:val="00587E06"/>
    <w:rsid w:val="00587F73"/>
    <w:rsid w:val="00587FD9"/>
    <w:rsid w:val="0059000C"/>
    <w:rsid w:val="0059012B"/>
    <w:rsid w:val="0059017A"/>
    <w:rsid w:val="00591363"/>
    <w:rsid w:val="0059155A"/>
    <w:rsid w:val="00591725"/>
    <w:rsid w:val="005918C2"/>
    <w:rsid w:val="00591C22"/>
    <w:rsid w:val="005922CE"/>
    <w:rsid w:val="00592827"/>
    <w:rsid w:val="00592835"/>
    <w:rsid w:val="00592A00"/>
    <w:rsid w:val="00592BCA"/>
    <w:rsid w:val="00592C61"/>
    <w:rsid w:val="00592D65"/>
    <w:rsid w:val="00593534"/>
    <w:rsid w:val="00593850"/>
    <w:rsid w:val="005943E2"/>
    <w:rsid w:val="0059474E"/>
    <w:rsid w:val="005947A4"/>
    <w:rsid w:val="0059495A"/>
    <w:rsid w:val="00595143"/>
    <w:rsid w:val="0059569A"/>
    <w:rsid w:val="0059570E"/>
    <w:rsid w:val="0059685A"/>
    <w:rsid w:val="00596CEC"/>
    <w:rsid w:val="00596D62"/>
    <w:rsid w:val="0059749F"/>
    <w:rsid w:val="0059754E"/>
    <w:rsid w:val="0059760C"/>
    <w:rsid w:val="005977F0"/>
    <w:rsid w:val="00597907"/>
    <w:rsid w:val="00597DC1"/>
    <w:rsid w:val="005A03E4"/>
    <w:rsid w:val="005A129F"/>
    <w:rsid w:val="005A1356"/>
    <w:rsid w:val="005A13A9"/>
    <w:rsid w:val="005A14EA"/>
    <w:rsid w:val="005A1E89"/>
    <w:rsid w:val="005A2391"/>
    <w:rsid w:val="005A29C8"/>
    <w:rsid w:val="005A2A71"/>
    <w:rsid w:val="005A2ADA"/>
    <w:rsid w:val="005A352C"/>
    <w:rsid w:val="005A3A01"/>
    <w:rsid w:val="005A3B51"/>
    <w:rsid w:val="005A3BA6"/>
    <w:rsid w:val="005A3EE9"/>
    <w:rsid w:val="005A3F3C"/>
    <w:rsid w:val="005A42F3"/>
    <w:rsid w:val="005A445D"/>
    <w:rsid w:val="005A46C5"/>
    <w:rsid w:val="005A470E"/>
    <w:rsid w:val="005A47E1"/>
    <w:rsid w:val="005A4880"/>
    <w:rsid w:val="005A48F4"/>
    <w:rsid w:val="005A49DA"/>
    <w:rsid w:val="005A4A2E"/>
    <w:rsid w:val="005A4AE3"/>
    <w:rsid w:val="005A4CBA"/>
    <w:rsid w:val="005A4CE0"/>
    <w:rsid w:val="005A4F11"/>
    <w:rsid w:val="005A5729"/>
    <w:rsid w:val="005A57F7"/>
    <w:rsid w:val="005A5BEA"/>
    <w:rsid w:val="005A66C5"/>
    <w:rsid w:val="005A674C"/>
    <w:rsid w:val="005A67C8"/>
    <w:rsid w:val="005A6C98"/>
    <w:rsid w:val="005A75C2"/>
    <w:rsid w:val="005A7983"/>
    <w:rsid w:val="005B0562"/>
    <w:rsid w:val="005B06C5"/>
    <w:rsid w:val="005B0C6F"/>
    <w:rsid w:val="005B0E24"/>
    <w:rsid w:val="005B1291"/>
    <w:rsid w:val="005B129B"/>
    <w:rsid w:val="005B185F"/>
    <w:rsid w:val="005B1D0E"/>
    <w:rsid w:val="005B1EE6"/>
    <w:rsid w:val="005B2103"/>
    <w:rsid w:val="005B2353"/>
    <w:rsid w:val="005B280C"/>
    <w:rsid w:val="005B318E"/>
    <w:rsid w:val="005B366C"/>
    <w:rsid w:val="005B3965"/>
    <w:rsid w:val="005B44CC"/>
    <w:rsid w:val="005B45FD"/>
    <w:rsid w:val="005B46CF"/>
    <w:rsid w:val="005B4F62"/>
    <w:rsid w:val="005B50F4"/>
    <w:rsid w:val="005B5815"/>
    <w:rsid w:val="005B5EA2"/>
    <w:rsid w:val="005B5FC3"/>
    <w:rsid w:val="005B6144"/>
    <w:rsid w:val="005B646D"/>
    <w:rsid w:val="005B6618"/>
    <w:rsid w:val="005B668B"/>
    <w:rsid w:val="005B7115"/>
    <w:rsid w:val="005B712E"/>
    <w:rsid w:val="005B7198"/>
    <w:rsid w:val="005B73A0"/>
    <w:rsid w:val="005B7A6B"/>
    <w:rsid w:val="005B7E1E"/>
    <w:rsid w:val="005B7FE5"/>
    <w:rsid w:val="005C008D"/>
    <w:rsid w:val="005C0348"/>
    <w:rsid w:val="005C0781"/>
    <w:rsid w:val="005C07EB"/>
    <w:rsid w:val="005C0C56"/>
    <w:rsid w:val="005C1051"/>
    <w:rsid w:val="005C12E8"/>
    <w:rsid w:val="005C18F1"/>
    <w:rsid w:val="005C1F0B"/>
    <w:rsid w:val="005C1F15"/>
    <w:rsid w:val="005C2037"/>
    <w:rsid w:val="005C24F9"/>
    <w:rsid w:val="005C253F"/>
    <w:rsid w:val="005C2D4B"/>
    <w:rsid w:val="005C2FBB"/>
    <w:rsid w:val="005C34C8"/>
    <w:rsid w:val="005C372E"/>
    <w:rsid w:val="005C3A74"/>
    <w:rsid w:val="005C3C7D"/>
    <w:rsid w:val="005C3D0F"/>
    <w:rsid w:val="005C3E44"/>
    <w:rsid w:val="005C43C0"/>
    <w:rsid w:val="005C4E43"/>
    <w:rsid w:val="005C57E1"/>
    <w:rsid w:val="005C58EC"/>
    <w:rsid w:val="005C5CCF"/>
    <w:rsid w:val="005C5F95"/>
    <w:rsid w:val="005C671B"/>
    <w:rsid w:val="005C6763"/>
    <w:rsid w:val="005C6E4E"/>
    <w:rsid w:val="005C6EA6"/>
    <w:rsid w:val="005C71D3"/>
    <w:rsid w:val="005D0561"/>
    <w:rsid w:val="005D05D1"/>
    <w:rsid w:val="005D103E"/>
    <w:rsid w:val="005D16BD"/>
    <w:rsid w:val="005D1846"/>
    <w:rsid w:val="005D1F26"/>
    <w:rsid w:val="005D25E4"/>
    <w:rsid w:val="005D2813"/>
    <w:rsid w:val="005D3653"/>
    <w:rsid w:val="005D383A"/>
    <w:rsid w:val="005D3CF2"/>
    <w:rsid w:val="005D3D12"/>
    <w:rsid w:val="005D453D"/>
    <w:rsid w:val="005D4D0F"/>
    <w:rsid w:val="005D5819"/>
    <w:rsid w:val="005D5846"/>
    <w:rsid w:val="005D5B13"/>
    <w:rsid w:val="005D6416"/>
    <w:rsid w:val="005D6C65"/>
    <w:rsid w:val="005D6D89"/>
    <w:rsid w:val="005D6E20"/>
    <w:rsid w:val="005D7411"/>
    <w:rsid w:val="005D7848"/>
    <w:rsid w:val="005D7CE3"/>
    <w:rsid w:val="005E0276"/>
    <w:rsid w:val="005E02BF"/>
    <w:rsid w:val="005E0310"/>
    <w:rsid w:val="005E072C"/>
    <w:rsid w:val="005E082E"/>
    <w:rsid w:val="005E09BB"/>
    <w:rsid w:val="005E0C78"/>
    <w:rsid w:val="005E0E03"/>
    <w:rsid w:val="005E119B"/>
    <w:rsid w:val="005E16B5"/>
    <w:rsid w:val="005E1B97"/>
    <w:rsid w:val="005E22D5"/>
    <w:rsid w:val="005E2CD0"/>
    <w:rsid w:val="005E312B"/>
    <w:rsid w:val="005E36BF"/>
    <w:rsid w:val="005E3722"/>
    <w:rsid w:val="005E3C9F"/>
    <w:rsid w:val="005E3CA7"/>
    <w:rsid w:val="005E410C"/>
    <w:rsid w:val="005E45D2"/>
    <w:rsid w:val="005E45D3"/>
    <w:rsid w:val="005E489F"/>
    <w:rsid w:val="005E4915"/>
    <w:rsid w:val="005E4CC9"/>
    <w:rsid w:val="005E587D"/>
    <w:rsid w:val="005E609B"/>
    <w:rsid w:val="005E6457"/>
    <w:rsid w:val="005E683C"/>
    <w:rsid w:val="005E6997"/>
    <w:rsid w:val="005E6D40"/>
    <w:rsid w:val="005E72F9"/>
    <w:rsid w:val="005E768E"/>
    <w:rsid w:val="005E7BAA"/>
    <w:rsid w:val="005E7D24"/>
    <w:rsid w:val="005F007D"/>
    <w:rsid w:val="005F02B6"/>
    <w:rsid w:val="005F08F1"/>
    <w:rsid w:val="005F0B97"/>
    <w:rsid w:val="005F0C57"/>
    <w:rsid w:val="005F114F"/>
    <w:rsid w:val="005F11A1"/>
    <w:rsid w:val="005F133C"/>
    <w:rsid w:val="005F138A"/>
    <w:rsid w:val="005F143C"/>
    <w:rsid w:val="005F1804"/>
    <w:rsid w:val="005F19BA"/>
    <w:rsid w:val="005F1B30"/>
    <w:rsid w:val="005F1B76"/>
    <w:rsid w:val="005F1C87"/>
    <w:rsid w:val="005F1F1E"/>
    <w:rsid w:val="005F24DD"/>
    <w:rsid w:val="005F29EB"/>
    <w:rsid w:val="005F322B"/>
    <w:rsid w:val="005F35B0"/>
    <w:rsid w:val="005F3B0E"/>
    <w:rsid w:val="005F3D51"/>
    <w:rsid w:val="005F3D5F"/>
    <w:rsid w:val="005F446B"/>
    <w:rsid w:val="005F477D"/>
    <w:rsid w:val="005F47A8"/>
    <w:rsid w:val="005F5017"/>
    <w:rsid w:val="005F5150"/>
    <w:rsid w:val="005F5928"/>
    <w:rsid w:val="005F5B43"/>
    <w:rsid w:val="005F6296"/>
    <w:rsid w:val="005F6421"/>
    <w:rsid w:val="005F6455"/>
    <w:rsid w:val="005F6C5F"/>
    <w:rsid w:val="005F6D40"/>
    <w:rsid w:val="005F6EB9"/>
    <w:rsid w:val="005F6FE5"/>
    <w:rsid w:val="005F70CE"/>
    <w:rsid w:val="005F74A9"/>
    <w:rsid w:val="005F7624"/>
    <w:rsid w:val="005F791A"/>
    <w:rsid w:val="005F7BA6"/>
    <w:rsid w:val="005F7BC4"/>
    <w:rsid w:val="005F7DC7"/>
    <w:rsid w:val="0060001E"/>
    <w:rsid w:val="00600503"/>
    <w:rsid w:val="0060053C"/>
    <w:rsid w:val="006006E4"/>
    <w:rsid w:val="00600A4A"/>
    <w:rsid w:val="00600C47"/>
    <w:rsid w:val="00600DDA"/>
    <w:rsid w:val="00601AD6"/>
    <w:rsid w:val="006020B3"/>
    <w:rsid w:val="00602729"/>
    <w:rsid w:val="00603060"/>
    <w:rsid w:val="0060318C"/>
    <w:rsid w:val="006033E9"/>
    <w:rsid w:val="006037B6"/>
    <w:rsid w:val="00603F25"/>
    <w:rsid w:val="00603F90"/>
    <w:rsid w:val="00604210"/>
    <w:rsid w:val="00604646"/>
    <w:rsid w:val="00604A19"/>
    <w:rsid w:val="00604ACB"/>
    <w:rsid w:val="00604BC8"/>
    <w:rsid w:val="00605081"/>
    <w:rsid w:val="00605118"/>
    <w:rsid w:val="006053F5"/>
    <w:rsid w:val="00605702"/>
    <w:rsid w:val="0060598D"/>
    <w:rsid w:val="00605B69"/>
    <w:rsid w:val="006062FC"/>
    <w:rsid w:val="006065A3"/>
    <w:rsid w:val="00606720"/>
    <w:rsid w:val="006067F2"/>
    <w:rsid w:val="00606C34"/>
    <w:rsid w:val="0060760C"/>
    <w:rsid w:val="0060771D"/>
    <w:rsid w:val="00610455"/>
    <w:rsid w:val="00610589"/>
    <w:rsid w:val="00611144"/>
    <w:rsid w:val="0061114B"/>
    <w:rsid w:val="006112EB"/>
    <w:rsid w:val="006118B4"/>
    <w:rsid w:val="00611DA2"/>
    <w:rsid w:val="00612D5A"/>
    <w:rsid w:val="00612E6A"/>
    <w:rsid w:val="006130F9"/>
    <w:rsid w:val="00613277"/>
    <w:rsid w:val="006134A6"/>
    <w:rsid w:val="00613A67"/>
    <w:rsid w:val="006140E5"/>
    <w:rsid w:val="00614131"/>
    <w:rsid w:val="0061419D"/>
    <w:rsid w:val="00614313"/>
    <w:rsid w:val="00614A57"/>
    <w:rsid w:val="00614F29"/>
    <w:rsid w:val="00615936"/>
    <w:rsid w:val="00615BBA"/>
    <w:rsid w:val="00615C25"/>
    <w:rsid w:val="00615DE6"/>
    <w:rsid w:val="006160E0"/>
    <w:rsid w:val="006162DE"/>
    <w:rsid w:val="006169E2"/>
    <w:rsid w:val="00617A1C"/>
    <w:rsid w:val="00620331"/>
    <w:rsid w:val="00620829"/>
    <w:rsid w:val="00620F3F"/>
    <w:rsid w:val="00620FA1"/>
    <w:rsid w:val="00620FAB"/>
    <w:rsid w:val="00621095"/>
    <w:rsid w:val="00621257"/>
    <w:rsid w:val="00621834"/>
    <w:rsid w:val="00621852"/>
    <w:rsid w:val="00621AB1"/>
    <w:rsid w:val="00621F9E"/>
    <w:rsid w:val="0062220A"/>
    <w:rsid w:val="00622415"/>
    <w:rsid w:val="006224BB"/>
    <w:rsid w:val="006225F3"/>
    <w:rsid w:val="00622E31"/>
    <w:rsid w:val="0062361E"/>
    <w:rsid w:val="00623894"/>
    <w:rsid w:val="00623A25"/>
    <w:rsid w:val="006242B3"/>
    <w:rsid w:val="0062464D"/>
    <w:rsid w:val="006249CE"/>
    <w:rsid w:val="00624B62"/>
    <w:rsid w:val="00625765"/>
    <w:rsid w:val="0062596A"/>
    <w:rsid w:val="00625A40"/>
    <w:rsid w:val="00625CF7"/>
    <w:rsid w:val="00625D2B"/>
    <w:rsid w:val="00625F75"/>
    <w:rsid w:val="00626086"/>
    <w:rsid w:val="006261E6"/>
    <w:rsid w:val="006262FC"/>
    <w:rsid w:val="0062676A"/>
    <w:rsid w:val="00627278"/>
    <w:rsid w:val="006273F4"/>
    <w:rsid w:val="00627766"/>
    <w:rsid w:val="006305F3"/>
    <w:rsid w:val="006313BC"/>
    <w:rsid w:val="00631493"/>
    <w:rsid w:val="00631566"/>
    <w:rsid w:val="00632302"/>
    <w:rsid w:val="006331A2"/>
    <w:rsid w:val="0063369B"/>
    <w:rsid w:val="00633737"/>
    <w:rsid w:val="006337A2"/>
    <w:rsid w:val="006338D4"/>
    <w:rsid w:val="00633E52"/>
    <w:rsid w:val="00634B25"/>
    <w:rsid w:val="006351E5"/>
    <w:rsid w:val="006354BC"/>
    <w:rsid w:val="00635AD0"/>
    <w:rsid w:val="006360D7"/>
    <w:rsid w:val="006366A9"/>
    <w:rsid w:val="0063730C"/>
    <w:rsid w:val="0063775E"/>
    <w:rsid w:val="00637873"/>
    <w:rsid w:val="00637A75"/>
    <w:rsid w:val="00637DD5"/>
    <w:rsid w:val="006402A1"/>
    <w:rsid w:val="00640D0E"/>
    <w:rsid w:val="006411B0"/>
    <w:rsid w:val="00641C1C"/>
    <w:rsid w:val="00641DD5"/>
    <w:rsid w:val="006427B4"/>
    <w:rsid w:val="00642810"/>
    <w:rsid w:val="0064294D"/>
    <w:rsid w:val="00642AA8"/>
    <w:rsid w:val="00642B46"/>
    <w:rsid w:val="00642EC6"/>
    <w:rsid w:val="0064311C"/>
    <w:rsid w:val="0064383C"/>
    <w:rsid w:val="00643AF9"/>
    <w:rsid w:val="00643B75"/>
    <w:rsid w:val="00643CBB"/>
    <w:rsid w:val="0064413A"/>
    <w:rsid w:val="006441BA"/>
    <w:rsid w:val="0064469C"/>
    <w:rsid w:val="00644D85"/>
    <w:rsid w:val="00644F3E"/>
    <w:rsid w:val="00645BDE"/>
    <w:rsid w:val="00645F45"/>
    <w:rsid w:val="006460C2"/>
    <w:rsid w:val="006465E8"/>
    <w:rsid w:val="00646673"/>
    <w:rsid w:val="0064678E"/>
    <w:rsid w:val="00646C1B"/>
    <w:rsid w:val="00646CC1"/>
    <w:rsid w:val="00646D76"/>
    <w:rsid w:val="0064723F"/>
    <w:rsid w:val="00647824"/>
    <w:rsid w:val="006503D0"/>
    <w:rsid w:val="006504AA"/>
    <w:rsid w:val="00650558"/>
    <w:rsid w:val="00650ACA"/>
    <w:rsid w:val="00650BF3"/>
    <w:rsid w:val="00651020"/>
    <w:rsid w:val="00651024"/>
    <w:rsid w:val="006512AE"/>
    <w:rsid w:val="006515FB"/>
    <w:rsid w:val="00651FAA"/>
    <w:rsid w:val="00651FC0"/>
    <w:rsid w:val="00652097"/>
    <w:rsid w:val="006523ED"/>
    <w:rsid w:val="006523EF"/>
    <w:rsid w:val="00652BE7"/>
    <w:rsid w:val="006533AC"/>
    <w:rsid w:val="0065377D"/>
    <w:rsid w:val="00653807"/>
    <w:rsid w:val="006538AD"/>
    <w:rsid w:val="006538B3"/>
    <w:rsid w:val="00653B22"/>
    <w:rsid w:val="00653CC4"/>
    <w:rsid w:val="00653DE2"/>
    <w:rsid w:val="006540AB"/>
    <w:rsid w:val="00654132"/>
    <w:rsid w:val="0065416F"/>
    <w:rsid w:val="00655065"/>
    <w:rsid w:val="0065524B"/>
    <w:rsid w:val="00655457"/>
    <w:rsid w:val="0065597F"/>
    <w:rsid w:val="006561C0"/>
    <w:rsid w:val="00656940"/>
    <w:rsid w:val="00656E4E"/>
    <w:rsid w:val="00657208"/>
    <w:rsid w:val="00657AD6"/>
    <w:rsid w:val="00657D74"/>
    <w:rsid w:val="00657F30"/>
    <w:rsid w:val="00657F36"/>
    <w:rsid w:val="006601B4"/>
    <w:rsid w:val="00660324"/>
    <w:rsid w:val="00660332"/>
    <w:rsid w:val="0066057F"/>
    <w:rsid w:val="00660A47"/>
    <w:rsid w:val="0066124E"/>
    <w:rsid w:val="00661321"/>
    <w:rsid w:val="0066149E"/>
    <w:rsid w:val="006615F4"/>
    <w:rsid w:val="00661B1D"/>
    <w:rsid w:val="00662207"/>
    <w:rsid w:val="006622E2"/>
    <w:rsid w:val="006623F7"/>
    <w:rsid w:val="0066264A"/>
    <w:rsid w:val="00662A16"/>
    <w:rsid w:val="00663094"/>
    <w:rsid w:val="006630F1"/>
    <w:rsid w:val="006631B9"/>
    <w:rsid w:val="0066389E"/>
    <w:rsid w:val="00663BDE"/>
    <w:rsid w:val="00663BED"/>
    <w:rsid w:val="00663D0D"/>
    <w:rsid w:val="00663D71"/>
    <w:rsid w:val="00663E93"/>
    <w:rsid w:val="00663F56"/>
    <w:rsid w:val="00664011"/>
    <w:rsid w:val="0066444A"/>
    <w:rsid w:val="0066474C"/>
    <w:rsid w:val="00664DC5"/>
    <w:rsid w:val="006650A1"/>
    <w:rsid w:val="006655B2"/>
    <w:rsid w:val="00665738"/>
    <w:rsid w:val="006658B0"/>
    <w:rsid w:val="006659F6"/>
    <w:rsid w:val="00665B70"/>
    <w:rsid w:val="0066617F"/>
    <w:rsid w:val="00666983"/>
    <w:rsid w:val="006669D0"/>
    <w:rsid w:val="006670A9"/>
    <w:rsid w:val="006670D9"/>
    <w:rsid w:val="00667557"/>
    <w:rsid w:val="00667758"/>
    <w:rsid w:val="00667CDF"/>
    <w:rsid w:val="00667FC8"/>
    <w:rsid w:val="00670601"/>
    <w:rsid w:val="00670955"/>
    <w:rsid w:val="006709D0"/>
    <w:rsid w:val="00670B91"/>
    <w:rsid w:val="00670C6B"/>
    <w:rsid w:val="00670E7B"/>
    <w:rsid w:val="0067127B"/>
    <w:rsid w:val="006712B6"/>
    <w:rsid w:val="0067150F"/>
    <w:rsid w:val="006716BD"/>
    <w:rsid w:val="00671E84"/>
    <w:rsid w:val="00671EA1"/>
    <w:rsid w:val="006726AC"/>
    <w:rsid w:val="00672BEF"/>
    <w:rsid w:val="00672D14"/>
    <w:rsid w:val="00673439"/>
    <w:rsid w:val="00673C44"/>
    <w:rsid w:val="00673D32"/>
    <w:rsid w:val="00673FD5"/>
    <w:rsid w:val="006740BB"/>
    <w:rsid w:val="006741D7"/>
    <w:rsid w:val="00674ABB"/>
    <w:rsid w:val="00674B10"/>
    <w:rsid w:val="006751FE"/>
    <w:rsid w:val="00675502"/>
    <w:rsid w:val="006755BD"/>
    <w:rsid w:val="006755F6"/>
    <w:rsid w:val="0067571D"/>
    <w:rsid w:val="00675AFF"/>
    <w:rsid w:val="00675C38"/>
    <w:rsid w:val="006760AE"/>
    <w:rsid w:val="006765FF"/>
    <w:rsid w:val="00676A22"/>
    <w:rsid w:val="006771B9"/>
    <w:rsid w:val="00677359"/>
    <w:rsid w:val="00677571"/>
    <w:rsid w:val="00677904"/>
    <w:rsid w:val="00677D0F"/>
    <w:rsid w:val="006803B7"/>
    <w:rsid w:val="00680444"/>
    <w:rsid w:val="00680571"/>
    <w:rsid w:val="006808B0"/>
    <w:rsid w:val="00680938"/>
    <w:rsid w:val="00680985"/>
    <w:rsid w:val="00680F12"/>
    <w:rsid w:val="006813A2"/>
    <w:rsid w:val="00681EDA"/>
    <w:rsid w:val="0068205F"/>
    <w:rsid w:val="006821E7"/>
    <w:rsid w:val="00682269"/>
    <w:rsid w:val="00682515"/>
    <w:rsid w:val="00682B7C"/>
    <w:rsid w:val="00682BEC"/>
    <w:rsid w:val="00682D63"/>
    <w:rsid w:val="0068367F"/>
    <w:rsid w:val="00683826"/>
    <w:rsid w:val="00683AEC"/>
    <w:rsid w:val="00684144"/>
    <w:rsid w:val="006844C5"/>
    <w:rsid w:val="00684783"/>
    <w:rsid w:val="00684BE3"/>
    <w:rsid w:val="00684DD4"/>
    <w:rsid w:val="00685079"/>
    <w:rsid w:val="00685644"/>
    <w:rsid w:val="00686C66"/>
    <w:rsid w:val="00686CE9"/>
    <w:rsid w:val="00686DA8"/>
    <w:rsid w:val="00687632"/>
    <w:rsid w:val="0068779B"/>
    <w:rsid w:val="006878CE"/>
    <w:rsid w:val="0068790A"/>
    <w:rsid w:val="00687A23"/>
    <w:rsid w:val="00687BCE"/>
    <w:rsid w:val="00687D04"/>
    <w:rsid w:val="00687FB6"/>
    <w:rsid w:val="00690036"/>
    <w:rsid w:val="0069004E"/>
    <w:rsid w:val="006900C4"/>
    <w:rsid w:val="006901C0"/>
    <w:rsid w:val="006901D4"/>
    <w:rsid w:val="0069038C"/>
    <w:rsid w:val="006904C3"/>
    <w:rsid w:val="006905E5"/>
    <w:rsid w:val="00690712"/>
    <w:rsid w:val="00690845"/>
    <w:rsid w:val="00690AC1"/>
    <w:rsid w:val="006915FD"/>
    <w:rsid w:val="00691E1F"/>
    <w:rsid w:val="006925BB"/>
    <w:rsid w:val="00692661"/>
    <w:rsid w:val="006928F9"/>
    <w:rsid w:val="00692C90"/>
    <w:rsid w:val="006930E5"/>
    <w:rsid w:val="006932DA"/>
    <w:rsid w:val="00693484"/>
    <w:rsid w:val="006934AB"/>
    <w:rsid w:val="0069374E"/>
    <w:rsid w:val="00693770"/>
    <w:rsid w:val="00693EA6"/>
    <w:rsid w:val="00693FF7"/>
    <w:rsid w:val="0069432B"/>
    <w:rsid w:val="006943B9"/>
    <w:rsid w:val="006945A9"/>
    <w:rsid w:val="0069466F"/>
    <w:rsid w:val="0069480D"/>
    <w:rsid w:val="00694CE6"/>
    <w:rsid w:val="0069503A"/>
    <w:rsid w:val="00695093"/>
    <w:rsid w:val="006953B4"/>
    <w:rsid w:val="00695940"/>
    <w:rsid w:val="00695C34"/>
    <w:rsid w:val="00695DD5"/>
    <w:rsid w:val="00695EB1"/>
    <w:rsid w:val="006962DC"/>
    <w:rsid w:val="0069648D"/>
    <w:rsid w:val="00696681"/>
    <w:rsid w:val="00696F77"/>
    <w:rsid w:val="006971E8"/>
    <w:rsid w:val="00697A42"/>
    <w:rsid w:val="00697A43"/>
    <w:rsid w:val="00697B95"/>
    <w:rsid w:val="00697F91"/>
    <w:rsid w:val="006A008E"/>
    <w:rsid w:val="006A01D4"/>
    <w:rsid w:val="006A03C8"/>
    <w:rsid w:val="006A06AE"/>
    <w:rsid w:val="006A0DF4"/>
    <w:rsid w:val="006A0F22"/>
    <w:rsid w:val="006A1230"/>
    <w:rsid w:val="006A152B"/>
    <w:rsid w:val="006A1738"/>
    <w:rsid w:val="006A19A5"/>
    <w:rsid w:val="006A1B5A"/>
    <w:rsid w:val="006A1EA9"/>
    <w:rsid w:val="006A22B5"/>
    <w:rsid w:val="006A2BFE"/>
    <w:rsid w:val="006A2CB5"/>
    <w:rsid w:val="006A2CC0"/>
    <w:rsid w:val="006A2ECD"/>
    <w:rsid w:val="006A338A"/>
    <w:rsid w:val="006A3436"/>
    <w:rsid w:val="006A34F0"/>
    <w:rsid w:val="006A3774"/>
    <w:rsid w:val="006A384C"/>
    <w:rsid w:val="006A392C"/>
    <w:rsid w:val="006A3AC5"/>
    <w:rsid w:val="006A3B69"/>
    <w:rsid w:val="006A3BBC"/>
    <w:rsid w:val="006A445D"/>
    <w:rsid w:val="006A4793"/>
    <w:rsid w:val="006A47C5"/>
    <w:rsid w:val="006A547E"/>
    <w:rsid w:val="006A5778"/>
    <w:rsid w:val="006A5B5C"/>
    <w:rsid w:val="006A5BC8"/>
    <w:rsid w:val="006A5E56"/>
    <w:rsid w:val="006A65D0"/>
    <w:rsid w:val="006A6626"/>
    <w:rsid w:val="006A6B38"/>
    <w:rsid w:val="006A6B82"/>
    <w:rsid w:val="006A6C2B"/>
    <w:rsid w:val="006A7BCD"/>
    <w:rsid w:val="006B0068"/>
    <w:rsid w:val="006B020A"/>
    <w:rsid w:val="006B02DD"/>
    <w:rsid w:val="006B0994"/>
    <w:rsid w:val="006B0D01"/>
    <w:rsid w:val="006B1277"/>
    <w:rsid w:val="006B12B4"/>
    <w:rsid w:val="006B1488"/>
    <w:rsid w:val="006B1728"/>
    <w:rsid w:val="006B1A11"/>
    <w:rsid w:val="006B1A86"/>
    <w:rsid w:val="006B2355"/>
    <w:rsid w:val="006B258E"/>
    <w:rsid w:val="006B2590"/>
    <w:rsid w:val="006B2B5C"/>
    <w:rsid w:val="006B2C21"/>
    <w:rsid w:val="006B2D18"/>
    <w:rsid w:val="006B2DC0"/>
    <w:rsid w:val="006B3076"/>
    <w:rsid w:val="006B3077"/>
    <w:rsid w:val="006B3AEA"/>
    <w:rsid w:val="006B3AF6"/>
    <w:rsid w:val="006B3D5B"/>
    <w:rsid w:val="006B3ECB"/>
    <w:rsid w:val="006B42D1"/>
    <w:rsid w:val="006B43EF"/>
    <w:rsid w:val="006B47A4"/>
    <w:rsid w:val="006B4BA8"/>
    <w:rsid w:val="006B4BFB"/>
    <w:rsid w:val="006B535F"/>
    <w:rsid w:val="006B546C"/>
    <w:rsid w:val="006B56B8"/>
    <w:rsid w:val="006B57C9"/>
    <w:rsid w:val="006B62CF"/>
    <w:rsid w:val="006B633F"/>
    <w:rsid w:val="006B6728"/>
    <w:rsid w:val="006B6745"/>
    <w:rsid w:val="006B6DA1"/>
    <w:rsid w:val="006B6FE8"/>
    <w:rsid w:val="006B701E"/>
    <w:rsid w:val="006B71BD"/>
    <w:rsid w:val="006B74B9"/>
    <w:rsid w:val="006B7B23"/>
    <w:rsid w:val="006C07BF"/>
    <w:rsid w:val="006C1783"/>
    <w:rsid w:val="006C183F"/>
    <w:rsid w:val="006C1C05"/>
    <w:rsid w:val="006C1CD7"/>
    <w:rsid w:val="006C1E4E"/>
    <w:rsid w:val="006C20D7"/>
    <w:rsid w:val="006C2236"/>
    <w:rsid w:val="006C22E1"/>
    <w:rsid w:val="006C2794"/>
    <w:rsid w:val="006C2AA3"/>
    <w:rsid w:val="006C2D05"/>
    <w:rsid w:val="006C2E03"/>
    <w:rsid w:val="006C2E09"/>
    <w:rsid w:val="006C348F"/>
    <w:rsid w:val="006C34B2"/>
    <w:rsid w:val="006C3C08"/>
    <w:rsid w:val="006C4469"/>
    <w:rsid w:val="006C44F7"/>
    <w:rsid w:val="006C4E88"/>
    <w:rsid w:val="006C50E9"/>
    <w:rsid w:val="006C5172"/>
    <w:rsid w:val="006C531A"/>
    <w:rsid w:val="006C5777"/>
    <w:rsid w:val="006C5830"/>
    <w:rsid w:val="006C5A22"/>
    <w:rsid w:val="006C5E39"/>
    <w:rsid w:val="006C5EA9"/>
    <w:rsid w:val="006C6022"/>
    <w:rsid w:val="006C6212"/>
    <w:rsid w:val="006C6231"/>
    <w:rsid w:val="006C6502"/>
    <w:rsid w:val="006C6931"/>
    <w:rsid w:val="006C6BB5"/>
    <w:rsid w:val="006C7081"/>
    <w:rsid w:val="006C7240"/>
    <w:rsid w:val="006C74F5"/>
    <w:rsid w:val="006C76E9"/>
    <w:rsid w:val="006D02FC"/>
    <w:rsid w:val="006D03B4"/>
    <w:rsid w:val="006D03CD"/>
    <w:rsid w:val="006D03D3"/>
    <w:rsid w:val="006D07C9"/>
    <w:rsid w:val="006D0ACA"/>
    <w:rsid w:val="006D0F39"/>
    <w:rsid w:val="006D0F90"/>
    <w:rsid w:val="006D112E"/>
    <w:rsid w:val="006D156F"/>
    <w:rsid w:val="006D1684"/>
    <w:rsid w:val="006D1866"/>
    <w:rsid w:val="006D1B91"/>
    <w:rsid w:val="006D1C55"/>
    <w:rsid w:val="006D1C74"/>
    <w:rsid w:val="006D2DA0"/>
    <w:rsid w:val="006D3126"/>
    <w:rsid w:val="006D31B5"/>
    <w:rsid w:val="006D3AA0"/>
    <w:rsid w:val="006D3E66"/>
    <w:rsid w:val="006D3F7A"/>
    <w:rsid w:val="006D49C8"/>
    <w:rsid w:val="006D4DFF"/>
    <w:rsid w:val="006D50DD"/>
    <w:rsid w:val="006D5471"/>
    <w:rsid w:val="006D549E"/>
    <w:rsid w:val="006D57FB"/>
    <w:rsid w:val="006D5806"/>
    <w:rsid w:val="006D594D"/>
    <w:rsid w:val="006D5AAE"/>
    <w:rsid w:val="006D5C78"/>
    <w:rsid w:val="006D5D94"/>
    <w:rsid w:val="006D5FC7"/>
    <w:rsid w:val="006D6045"/>
    <w:rsid w:val="006D607D"/>
    <w:rsid w:val="006D6089"/>
    <w:rsid w:val="006D640D"/>
    <w:rsid w:val="006D6509"/>
    <w:rsid w:val="006D6590"/>
    <w:rsid w:val="006D661B"/>
    <w:rsid w:val="006D6721"/>
    <w:rsid w:val="006D6D2F"/>
    <w:rsid w:val="006D70FF"/>
    <w:rsid w:val="006D73BA"/>
    <w:rsid w:val="006D741B"/>
    <w:rsid w:val="006D74B9"/>
    <w:rsid w:val="006D777A"/>
    <w:rsid w:val="006D799F"/>
    <w:rsid w:val="006D7A6C"/>
    <w:rsid w:val="006D7E05"/>
    <w:rsid w:val="006E0C04"/>
    <w:rsid w:val="006E0CB4"/>
    <w:rsid w:val="006E0DF1"/>
    <w:rsid w:val="006E10DF"/>
    <w:rsid w:val="006E11E2"/>
    <w:rsid w:val="006E14C7"/>
    <w:rsid w:val="006E1580"/>
    <w:rsid w:val="006E187D"/>
    <w:rsid w:val="006E20B8"/>
    <w:rsid w:val="006E2233"/>
    <w:rsid w:val="006E232F"/>
    <w:rsid w:val="006E2758"/>
    <w:rsid w:val="006E2C4E"/>
    <w:rsid w:val="006E2E21"/>
    <w:rsid w:val="006E3421"/>
    <w:rsid w:val="006E3916"/>
    <w:rsid w:val="006E39D1"/>
    <w:rsid w:val="006E3A6E"/>
    <w:rsid w:val="006E3EA5"/>
    <w:rsid w:val="006E409C"/>
    <w:rsid w:val="006E4BBF"/>
    <w:rsid w:val="006E4C71"/>
    <w:rsid w:val="006E4D82"/>
    <w:rsid w:val="006E5309"/>
    <w:rsid w:val="006E552D"/>
    <w:rsid w:val="006E5835"/>
    <w:rsid w:val="006E6B25"/>
    <w:rsid w:val="006F0B84"/>
    <w:rsid w:val="006F0BAE"/>
    <w:rsid w:val="006F1048"/>
    <w:rsid w:val="006F11A3"/>
    <w:rsid w:val="006F1491"/>
    <w:rsid w:val="006F155E"/>
    <w:rsid w:val="006F1C50"/>
    <w:rsid w:val="006F1E03"/>
    <w:rsid w:val="006F2045"/>
    <w:rsid w:val="006F206E"/>
    <w:rsid w:val="006F2E1A"/>
    <w:rsid w:val="006F359B"/>
    <w:rsid w:val="006F3698"/>
    <w:rsid w:val="006F398E"/>
    <w:rsid w:val="006F3A2C"/>
    <w:rsid w:val="006F4630"/>
    <w:rsid w:val="006F4DF7"/>
    <w:rsid w:val="006F4E1A"/>
    <w:rsid w:val="006F4E60"/>
    <w:rsid w:val="006F4F5B"/>
    <w:rsid w:val="006F515E"/>
    <w:rsid w:val="006F52F6"/>
    <w:rsid w:val="006F57D2"/>
    <w:rsid w:val="006F5B2B"/>
    <w:rsid w:val="006F5D85"/>
    <w:rsid w:val="006F5F1E"/>
    <w:rsid w:val="006F606C"/>
    <w:rsid w:val="006F6215"/>
    <w:rsid w:val="006F659D"/>
    <w:rsid w:val="006F674D"/>
    <w:rsid w:val="006F6970"/>
    <w:rsid w:val="006F69B1"/>
    <w:rsid w:val="006F6B87"/>
    <w:rsid w:val="006F6FF2"/>
    <w:rsid w:val="006F732B"/>
    <w:rsid w:val="006F7647"/>
    <w:rsid w:val="006F76B2"/>
    <w:rsid w:val="006F774E"/>
    <w:rsid w:val="006F77F5"/>
    <w:rsid w:val="006F7996"/>
    <w:rsid w:val="006F7F91"/>
    <w:rsid w:val="00700852"/>
    <w:rsid w:val="00700B03"/>
    <w:rsid w:val="00700FBF"/>
    <w:rsid w:val="007016D5"/>
    <w:rsid w:val="00701BC7"/>
    <w:rsid w:val="00701BDA"/>
    <w:rsid w:val="00701CE9"/>
    <w:rsid w:val="00701D31"/>
    <w:rsid w:val="00701E63"/>
    <w:rsid w:val="00701EC2"/>
    <w:rsid w:val="00702145"/>
    <w:rsid w:val="007022BD"/>
    <w:rsid w:val="007025B6"/>
    <w:rsid w:val="00702720"/>
    <w:rsid w:val="00703218"/>
    <w:rsid w:val="007033B5"/>
    <w:rsid w:val="00704202"/>
    <w:rsid w:val="00704289"/>
    <w:rsid w:val="007043E4"/>
    <w:rsid w:val="00704796"/>
    <w:rsid w:val="00705316"/>
    <w:rsid w:val="007053E3"/>
    <w:rsid w:val="00705447"/>
    <w:rsid w:val="0070549E"/>
    <w:rsid w:val="00705524"/>
    <w:rsid w:val="00705983"/>
    <w:rsid w:val="00705D82"/>
    <w:rsid w:val="00705E28"/>
    <w:rsid w:val="00705F68"/>
    <w:rsid w:val="00706473"/>
    <w:rsid w:val="007064FD"/>
    <w:rsid w:val="00706AB4"/>
    <w:rsid w:val="00706D92"/>
    <w:rsid w:val="00706F6B"/>
    <w:rsid w:val="00706F73"/>
    <w:rsid w:val="00707088"/>
    <w:rsid w:val="0070722F"/>
    <w:rsid w:val="00707DF4"/>
    <w:rsid w:val="00710B17"/>
    <w:rsid w:val="00710CBE"/>
    <w:rsid w:val="00710ED9"/>
    <w:rsid w:val="00711472"/>
    <w:rsid w:val="007117C3"/>
    <w:rsid w:val="007118EB"/>
    <w:rsid w:val="007119AD"/>
    <w:rsid w:val="007124C9"/>
    <w:rsid w:val="0071299E"/>
    <w:rsid w:val="00712A0C"/>
    <w:rsid w:val="00712B83"/>
    <w:rsid w:val="00712D14"/>
    <w:rsid w:val="00712E92"/>
    <w:rsid w:val="00712FF8"/>
    <w:rsid w:val="00713082"/>
    <w:rsid w:val="00713957"/>
    <w:rsid w:val="00714463"/>
    <w:rsid w:val="007145D7"/>
    <w:rsid w:val="007145EF"/>
    <w:rsid w:val="007146FD"/>
    <w:rsid w:val="0071476C"/>
    <w:rsid w:val="007148FB"/>
    <w:rsid w:val="0071526F"/>
    <w:rsid w:val="0071527A"/>
    <w:rsid w:val="00715962"/>
    <w:rsid w:val="00715E35"/>
    <w:rsid w:val="0071613C"/>
    <w:rsid w:val="0071629B"/>
    <w:rsid w:val="00716332"/>
    <w:rsid w:val="007163C8"/>
    <w:rsid w:val="00716648"/>
    <w:rsid w:val="00716658"/>
    <w:rsid w:val="007166DB"/>
    <w:rsid w:val="00716771"/>
    <w:rsid w:val="007168A2"/>
    <w:rsid w:val="00716B46"/>
    <w:rsid w:val="00716E02"/>
    <w:rsid w:val="00717266"/>
    <w:rsid w:val="00717F04"/>
    <w:rsid w:val="0072053A"/>
    <w:rsid w:val="0072084C"/>
    <w:rsid w:val="0072094E"/>
    <w:rsid w:val="00720C7F"/>
    <w:rsid w:val="00720ED8"/>
    <w:rsid w:val="007210ED"/>
    <w:rsid w:val="00722103"/>
    <w:rsid w:val="007221E2"/>
    <w:rsid w:val="007224F1"/>
    <w:rsid w:val="00722789"/>
    <w:rsid w:val="00722D6A"/>
    <w:rsid w:val="00722D74"/>
    <w:rsid w:val="00723165"/>
    <w:rsid w:val="0072345A"/>
    <w:rsid w:val="007237C4"/>
    <w:rsid w:val="007239A0"/>
    <w:rsid w:val="00723F6B"/>
    <w:rsid w:val="007241EA"/>
    <w:rsid w:val="00724545"/>
    <w:rsid w:val="00724B63"/>
    <w:rsid w:val="00724DE2"/>
    <w:rsid w:val="00724F1D"/>
    <w:rsid w:val="00725073"/>
    <w:rsid w:val="007250FB"/>
    <w:rsid w:val="00725458"/>
    <w:rsid w:val="00725D98"/>
    <w:rsid w:val="007262BA"/>
    <w:rsid w:val="00726C44"/>
    <w:rsid w:val="007271AB"/>
    <w:rsid w:val="007277F2"/>
    <w:rsid w:val="00727A7E"/>
    <w:rsid w:val="00727D60"/>
    <w:rsid w:val="00727D73"/>
    <w:rsid w:val="00727DED"/>
    <w:rsid w:val="0073039B"/>
    <w:rsid w:val="007304BD"/>
    <w:rsid w:val="007308AC"/>
    <w:rsid w:val="00730F3C"/>
    <w:rsid w:val="00731003"/>
    <w:rsid w:val="00731893"/>
    <w:rsid w:val="0073190E"/>
    <w:rsid w:val="00731D54"/>
    <w:rsid w:val="007321E1"/>
    <w:rsid w:val="0073229C"/>
    <w:rsid w:val="00732A3E"/>
    <w:rsid w:val="00732DDE"/>
    <w:rsid w:val="0073348E"/>
    <w:rsid w:val="0073357B"/>
    <w:rsid w:val="00733867"/>
    <w:rsid w:val="00733963"/>
    <w:rsid w:val="00733E7C"/>
    <w:rsid w:val="007340DD"/>
    <w:rsid w:val="0073420E"/>
    <w:rsid w:val="007344E1"/>
    <w:rsid w:val="00734642"/>
    <w:rsid w:val="0073580B"/>
    <w:rsid w:val="007358B6"/>
    <w:rsid w:val="00735A00"/>
    <w:rsid w:val="00735B8D"/>
    <w:rsid w:val="00735C76"/>
    <w:rsid w:val="00735E7C"/>
    <w:rsid w:val="0073600D"/>
    <w:rsid w:val="007361D5"/>
    <w:rsid w:val="007368C9"/>
    <w:rsid w:val="00736E85"/>
    <w:rsid w:val="007372D6"/>
    <w:rsid w:val="00737438"/>
    <w:rsid w:val="00737D5C"/>
    <w:rsid w:val="007403AB"/>
    <w:rsid w:val="00740481"/>
    <w:rsid w:val="0074078C"/>
    <w:rsid w:val="00740A76"/>
    <w:rsid w:val="00740CBE"/>
    <w:rsid w:val="00740E89"/>
    <w:rsid w:val="00741291"/>
    <w:rsid w:val="0074149C"/>
    <w:rsid w:val="00741873"/>
    <w:rsid w:val="00741E2B"/>
    <w:rsid w:val="00742088"/>
    <w:rsid w:val="00742242"/>
    <w:rsid w:val="007422A9"/>
    <w:rsid w:val="007423C8"/>
    <w:rsid w:val="0074284B"/>
    <w:rsid w:val="00742B29"/>
    <w:rsid w:val="00742D13"/>
    <w:rsid w:val="0074312C"/>
    <w:rsid w:val="0074314C"/>
    <w:rsid w:val="00743671"/>
    <w:rsid w:val="00743714"/>
    <w:rsid w:val="007438AD"/>
    <w:rsid w:val="00743AB3"/>
    <w:rsid w:val="00743AC2"/>
    <w:rsid w:val="00743CC4"/>
    <w:rsid w:val="00743FA4"/>
    <w:rsid w:val="00743FBB"/>
    <w:rsid w:val="007442A5"/>
    <w:rsid w:val="00744ED3"/>
    <w:rsid w:val="007450AD"/>
    <w:rsid w:val="0074533C"/>
    <w:rsid w:val="0074548E"/>
    <w:rsid w:val="007457B4"/>
    <w:rsid w:val="00745BB4"/>
    <w:rsid w:val="00745CFD"/>
    <w:rsid w:val="00745DF6"/>
    <w:rsid w:val="00745F20"/>
    <w:rsid w:val="007463FE"/>
    <w:rsid w:val="0074667A"/>
    <w:rsid w:val="00746D54"/>
    <w:rsid w:val="00746FE1"/>
    <w:rsid w:val="00746FEE"/>
    <w:rsid w:val="00747097"/>
    <w:rsid w:val="007470D1"/>
    <w:rsid w:val="00747242"/>
    <w:rsid w:val="00747507"/>
    <w:rsid w:val="00747DC8"/>
    <w:rsid w:val="00747FE3"/>
    <w:rsid w:val="00750010"/>
    <w:rsid w:val="00750071"/>
    <w:rsid w:val="007500FF"/>
    <w:rsid w:val="0075019D"/>
    <w:rsid w:val="00750302"/>
    <w:rsid w:val="00750411"/>
    <w:rsid w:val="007506A7"/>
    <w:rsid w:val="00750AC3"/>
    <w:rsid w:val="00750F95"/>
    <w:rsid w:val="00750FFE"/>
    <w:rsid w:val="007517EC"/>
    <w:rsid w:val="00751AA4"/>
    <w:rsid w:val="00751AB7"/>
    <w:rsid w:val="00751AF2"/>
    <w:rsid w:val="00751B11"/>
    <w:rsid w:val="00751D49"/>
    <w:rsid w:val="00751D9D"/>
    <w:rsid w:val="0075233F"/>
    <w:rsid w:val="0075298E"/>
    <w:rsid w:val="00752A05"/>
    <w:rsid w:val="00752F5B"/>
    <w:rsid w:val="00753290"/>
    <w:rsid w:val="0075383F"/>
    <w:rsid w:val="00753C1A"/>
    <w:rsid w:val="007543FD"/>
    <w:rsid w:val="00754C8E"/>
    <w:rsid w:val="00754CB9"/>
    <w:rsid w:val="00754E4C"/>
    <w:rsid w:val="00754E6A"/>
    <w:rsid w:val="00754FC0"/>
    <w:rsid w:val="00755B43"/>
    <w:rsid w:val="007562D8"/>
    <w:rsid w:val="0075653A"/>
    <w:rsid w:val="00756600"/>
    <w:rsid w:val="00756687"/>
    <w:rsid w:val="00756C02"/>
    <w:rsid w:val="00756D96"/>
    <w:rsid w:val="00756DFE"/>
    <w:rsid w:val="007579CB"/>
    <w:rsid w:val="00757B65"/>
    <w:rsid w:val="00757EEE"/>
    <w:rsid w:val="007602DB"/>
    <w:rsid w:val="0076055C"/>
    <w:rsid w:val="007606A7"/>
    <w:rsid w:val="007608D8"/>
    <w:rsid w:val="007608E2"/>
    <w:rsid w:val="00760944"/>
    <w:rsid w:val="00760AA1"/>
    <w:rsid w:val="0076106B"/>
    <w:rsid w:val="00761364"/>
    <w:rsid w:val="00761722"/>
    <w:rsid w:val="00761777"/>
    <w:rsid w:val="00761794"/>
    <w:rsid w:val="00761AA3"/>
    <w:rsid w:val="00761BF3"/>
    <w:rsid w:val="00761E0E"/>
    <w:rsid w:val="00761FCA"/>
    <w:rsid w:val="00762043"/>
    <w:rsid w:val="00762231"/>
    <w:rsid w:val="00762418"/>
    <w:rsid w:val="007624CC"/>
    <w:rsid w:val="007630A2"/>
    <w:rsid w:val="007634B7"/>
    <w:rsid w:val="00763C23"/>
    <w:rsid w:val="00763EB5"/>
    <w:rsid w:val="007640F5"/>
    <w:rsid w:val="007647E3"/>
    <w:rsid w:val="00764AB6"/>
    <w:rsid w:val="00764AC0"/>
    <w:rsid w:val="00765224"/>
    <w:rsid w:val="00765D4E"/>
    <w:rsid w:val="00766520"/>
    <w:rsid w:val="00766C91"/>
    <w:rsid w:val="00766F89"/>
    <w:rsid w:val="00767092"/>
    <w:rsid w:val="00767335"/>
    <w:rsid w:val="0076736D"/>
    <w:rsid w:val="00767411"/>
    <w:rsid w:val="007675CF"/>
    <w:rsid w:val="00767653"/>
    <w:rsid w:val="00767904"/>
    <w:rsid w:val="00767E50"/>
    <w:rsid w:val="00767EB6"/>
    <w:rsid w:val="00770295"/>
    <w:rsid w:val="00770559"/>
    <w:rsid w:val="00770728"/>
    <w:rsid w:val="00771174"/>
    <w:rsid w:val="00771B85"/>
    <w:rsid w:val="007720D8"/>
    <w:rsid w:val="007720EE"/>
    <w:rsid w:val="0077216F"/>
    <w:rsid w:val="00772404"/>
    <w:rsid w:val="0077291A"/>
    <w:rsid w:val="00772C77"/>
    <w:rsid w:val="00772E44"/>
    <w:rsid w:val="0077301D"/>
    <w:rsid w:val="007731EB"/>
    <w:rsid w:val="00773717"/>
    <w:rsid w:val="0077373D"/>
    <w:rsid w:val="0077390E"/>
    <w:rsid w:val="00773A5E"/>
    <w:rsid w:val="00773AB8"/>
    <w:rsid w:val="0077413F"/>
    <w:rsid w:val="00774390"/>
    <w:rsid w:val="00774AED"/>
    <w:rsid w:val="00774AEE"/>
    <w:rsid w:val="00774B96"/>
    <w:rsid w:val="00774C7D"/>
    <w:rsid w:val="00774ECA"/>
    <w:rsid w:val="00775656"/>
    <w:rsid w:val="0077585B"/>
    <w:rsid w:val="00775A32"/>
    <w:rsid w:val="00775C53"/>
    <w:rsid w:val="00777237"/>
    <w:rsid w:val="0077730F"/>
    <w:rsid w:val="007774F6"/>
    <w:rsid w:val="0077760D"/>
    <w:rsid w:val="0077764B"/>
    <w:rsid w:val="00777E9E"/>
    <w:rsid w:val="00780152"/>
    <w:rsid w:val="007801B7"/>
    <w:rsid w:val="00780309"/>
    <w:rsid w:val="00780382"/>
    <w:rsid w:val="00780743"/>
    <w:rsid w:val="00780974"/>
    <w:rsid w:val="00780986"/>
    <w:rsid w:val="00780AB0"/>
    <w:rsid w:val="00780C2D"/>
    <w:rsid w:val="00780D04"/>
    <w:rsid w:val="00780DB8"/>
    <w:rsid w:val="00780F63"/>
    <w:rsid w:val="00781724"/>
    <w:rsid w:val="00781840"/>
    <w:rsid w:val="00781A34"/>
    <w:rsid w:val="00781C43"/>
    <w:rsid w:val="0078204D"/>
    <w:rsid w:val="00782550"/>
    <w:rsid w:val="00782603"/>
    <w:rsid w:val="0078265F"/>
    <w:rsid w:val="00782941"/>
    <w:rsid w:val="00784A05"/>
    <w:rsid w:val="00784D24"/>
    <w:rsid w:val="00784DDA"/>
    <w:rsid w:val="00785036"/>
    <w:rsid w:val="0078527C"/>
    <w:rsid w:val="007853BD"/>
    <w:rsid w:val="007858FF"/>
    <w:rsid w:val="0078625D"/>
    <w:rsid w:val="0078641F"/>
    <w:rsid w:val="00786AB9"/>
    <w:rsid w:val="00786CCC"/>
    <w:rsid w:val="007870B0"/>
    <w:rsid w:val="007871AA"/>
    <w:rsid w:val="007872A0"/>
    <w:rsid w:val="007876C2"/>
    <w:rsid w:val="00787A44"/>
    <w:rsid w:val="00787C56"/>
    <w:rsid w:val="00787EBB"/>
    <w:rsid w:val="00790799"/>
    <w:rsid w:val="00790E1A"/>
    <w:rsid w:val="00791081"/>
    <w:rsid w:val="007914AB"/>
    <w:rsid w:val="007915CF"/>
    <w:rsid w:val="00791639"/>
    <w:rsid w:val="00791AD0"/>
    <w:rsid w:val="00791BFC"/>
    <w:rsid w:val="00791D7E"/>
    <w:rsid w:val="00792601"/>
    <w:rsid w:val="007929D7"/>
    <w:rsid w:val="00792BE6"/>
    <w:rsid w:val="007936D8"/>
    <w:rsid w:val="00793DF2"/>
    <w:rsid w:val="00793E1A"/>
    <w:rsid w:val="00793E67"/>
    <w:rsid w:val="00793EC4"/>
    <w:rsid w:val="00793EE5"/>
    <w:rsid w:val="00793F47"/>
    <w:rsid w:val="00794C0F"/>
    <w:rsid w:val="007952DA"/>
    <w:rsid w:val="00795841"/>
    <w:rsid w:val="007958C0"/>
    <w:rsid w:val="00795D31"/>
    <w:rsid w:val="00795EA1"/>
    <w:rsid w:val="007960A7"/>
    <w:rsid w:val="00796B02"/>
    <w:rsid w:val="00796D61"/>
    <w:rsid w:val="00797042"/>
    <w:rsid w:val="0079738D"/>
    <w:rsid w:val="00797710"/>
    <w:rsid w:val="00797BB9"/>
    <w:rsid w:val="007A0F4A"/>
    <w:rsid w:val="007A135D"/>
    <w:rsid w:val="007A138A"/>
    <w:rsid w:val="007A165B"/>
    <w:rsid w:val="007A1820"/>
    <w:rsid w:val="007A1976"/>
    <w:rsid w:val="007A19E1"/>
    <w:rsid w:val="007A1A44"/>
    <w:rsid w:val="007A1AD1"/>
    <w:rsid w:val="007A2659"/>
    <w:rsid w:val="007A3111"/>
    <w:rsid w:val="007A3718"/>
    <w:rsid w:val="007A3E7E"/>
    <w:rsid w:val="007A4232"/>
    <w:rsid w:val="007A43B9"/>
    <w:rsid w:val="007A4814"/>
    <w:rsid w:val="007A4A8E"/>
    <w:rsid w:val="007A4AF5"/>
    <w:rsid w:val="007A527A"/>
    <w:rsid w:val="007A5A9D"/>
    <w:rsid w:val="007A5B71"/>
    <w:rsid w:val="007A5D92"/>
    <w:rsid w:val="007A6134"/>
    <w:rsid w:val="007A6406"/>
    <w:rsid w:val="007A679C"/>
    <w:rsid w:val="007A6853"/>
    <w:rsid w:val="007A6B9E"/>
    <w:rsid w:val="007A6BF0"/>
    <w:rsid w:val="007A6FC9"/>
    <w:rsid w:val="007A75F9"/>
    <w:rsid w:val="007A764B"/>
    <w:rsid w:val="007A7886"/>
    <w:rsid w:val="007A7A7E"/>
    <w:rsid w:val="007B06EE"/>
    <w:rsid w:val="007B07DD"/>
    <w:rsid w:val="007B09AA"/>
    <w:rsid w:val="007B0ACE"/>
    <w:rsid w:val="007B0B42"/>
    <w:rsid w:val="007B108F"/>
    <w:rsid w:val="007B1356"/>
    <w:rsid w:val="007B16FC"/>
    <w:rsid w:val="007B176A"/>
    <w:rsid w:val="007B2678"/>
    <w:rsid w:val="007B3232"/>
    <w:rsid w:val="007B34EB"/>
    <w:rsid w:val="007B3C5B"/>
    <w:rsid w:val="007B3D0F"/>
    <w:rsid w:val="007B3D49"/>
    <w:rsid w:val="007B3FE1"/>
    <w:rsid w:val="007B4111"/>
    <w:rsid w:val="007B46CE"/>
    <w:rsid w:val="007B4B5F"/>
    <w:rsid w:val="007B4BF5"/>
    <w:rsid w:val="007B507C"/>
    <w:rsid w:val="007B5314"/>
    <w:rsid w:val="007B579E"/>
    <w:rsid w:val="007B5B1F"/>
    <w:rsid w:val="007B5C14"/>
    <w:rsid w:val="007B5D69"/>
    <w:rsid w:val="007B632C"/>
    <w:rsid w:val="007B63CB"/>
    <w:rsid w:val="007B69E6"/>
    <w:rsid w:val="007B6F4A"/>
    <w:rsid w:val="007B70FE"/>
    <w:rsid w:val="007B72C3"/>
    <w:rsid w:val="007B76EF"/>
    <w:rsid w:val="007B7708"/>
    <w:rsid w:val="007B7A81"/>
    <w:rsid w:val="007B7BA3"/>
    <w:rsid w:val="007B7D4A"/>
    <w:rsid w:val="007B7EA2"/>
    <w:rsid w:val="007B7F2B"/>
    <w:rsid w:val="007B7F73"/>
    <w:rsid w:val="007C030D"/>
    <w:rsid w:val="007C03E6"/>
    <w:rsid w:val="007C08BB"/>
    <w:rsid w:val="007C0BB9"/>
    <w:rsid w:val="007C1CC7"/>
    <w:rsid w:val="007C2129"/>
    <w:rsid w:val="007C215C"/>
    <w:rsid w:val="007C2365"/>
    <w:rsid w:val="007C2617"/>
    <w:rsid w:val="007C287A"/>
    <w:rsid w:val="007C2CDB"/>
    <w:rsid w:val="007C365D"/>
    <w:rsid w:val="007C38FE"/>
    <w:rsid w:val="007C39B5"/>
    <w:rsid w:val="007C453B"/>
    <w:rsid w:val="007C4A11"/>
    <w:rsid w:val="007C4D3D"/>
    <w:rsid w:val="007C4D43"/>
    <w:rsid w:val="007C4EA4"/>
    <w:rsid w:val="007C506F"/>
    <w:rsid w:val="007C54AE"/>
    <w:rsid w:val="007C5968"/>
    <w:rsid w:val="007C5D54"/>
    <w:rsid w:val="007C5E31"/>
    <w:rsid w:val="007C5F1C"/>
    <w:rsid w:val="007C6157"/>
    <w:rsid w:val="007C676E"/>
    <w:rsid w:val="007C67FE"/>
    <w:rsid w:val="007C71E0"/>
    <w:rsid w:val="007C7475"/>
    <w:rsid w:val="007C78BF"/>
    <w:rsid w:val="007C791D"/>
    <w:rsid w:val="007C7B92"/>
    <w:rsid w:val="007C7BB2"/>
    <w:rsid w:val="007C7D28"/>
    <w:rsid w:val="007C7F42"/>
    <w:rsid w:val="007C7F6C"/>
    <w:rsid w:val="007D0076"/>
    <w:rsid w:val="007D021E"/>
    <w:rsid w:val="007D036F"/>
    <w:rsid w:val="007D0895"/>
    <w:rsid w:val="007D0C3C"/>
    <w:rsid w:val="007D0CF4"/>
    <w:rsid w:val="007D0E76"/>
    <w:rsid w:val="007D1431"/>
    <w:rsid w:val="007D1536"/>
    <w:rsid w:val="007D180F"/>
    <w:rsid w:val="007D21E5"/>
    <w:rsid w:val="007D2673"/>
    <w:rsid w:val="007D290D"/>
    <w:rsid w:val="007D2A18"/>
    <w:rsid w:val="007D2AFA"/>
    <w:rsid w:val="007D2D35"/>
    <w:rsid w:val="007D2F19"/>
    <w:rsid w:val="007D316D"/>
    <w:rsid w:val="007D3455"/>
    <w:rsid w:val="007D3BF5"/>
    <w:rsid w:val="007D3E06"/>
    <w:rsid w:val="007D3FAD"/>
    <w:rsid w:val="007D40A2"/>
    <w:rsid w:val="007D40C4"/>
    <w:rsid w:val="007D4234"/>
    <w:rsid w:val="007D437C"/>
    <w:rsid w:val="007D4555"/>
    <w:rsid w:val="007D45A8"/>
    <w:rsid w:val="007D4877"/>
    <w:rsid w:val="007D4ADE"/>
    <w:rsid w:val="007D4BAC"/>
    <w:rsid w:val="007D4C32"/>
    <w:rsid w:val="007D4D9E"/>
    <w:rsid w:val="007D5310"/>
    <w:rsid w:val="007D54F1"/>
    <w:rsid w:val="007D56B0"/>
    <w:rsid w:val="007D595C"/>
    <w:rsid w:val="007D5DD1"/>
    <w:rsid w:val="007D5EB6"/>
    <w:rsid w:val="007D63FA"/>
    <w:rsid w:val="007D6645"/>
    <w:rsid w:val="007D6815"/>
    <w:rsid w:val="007D69C7"/>
    <w:rsid w:val="007D6CE0"/>
    <w:rsid w:val="007D70F6"/>
    <w:rsid w:val="007D71B3"/>
    <w:rsid w:val="007D726C"/>
    <w:rsid w:val="007D74C5"/>
    <w:rsid w:val="007D74F7"/>
    <w:rsid w:val="007D7892"/>
    <w:rsid w:val="007D791F"/>
    <w:rsid w:val="007E02FD"/>
    <w:rsid w:val="007E0611"/>
    <w:rsid w:val="007E0E26"/>
    <w:rsid w:val="007E161C"/>
    <w:rsid w:val="007E1AD4"/>
    <w:rsid w:val="007E20FD"/>
    <w:rsid w:val="007E2780"/>
    <w:rsid w:val="007E28E5"/>
    <w:rsid w:val="007E2AD2"/>
    <w:rsid w:val="007E341A"/>
    <w:rsid w:val="007E3675"/>
    <w:rsid w:val="007E3995"/>
    <w:rsid w:val="007E4CF4"/>
    <w:rsid w:val="007E54D9"/>
    <w:rsid w:val="007E63FC"/>
    <w:rsid w:val="007E6527"/>
    <w:rsid w:val="007E6594"/>
    <w:rsid w:val="007E6763"/>
    <w:rsid w:val="007E67E3"/>
    <w:rsid w:val="007E6840"/>
    <w:rsid w:val="007E68AF"/>
    <w:rsid w:val="007E741E"/>
    <w:rsid w:val="007E75BB"/>
    <w:rsid w:val="007E77EA"/>
    <w:rsid w:val="007F0ADF"/>
    <w:rsid w:val="007F0E20"/>
    <w:rsid w:val="007F0F01"/>
    <w:rsid w:val="007F117A"/>
    <w:rsid w:val="007F1430"/>
    <w:rsid w:val="007F1605"/>
    <w:rsid w:val="007F1705"/>
    <w:rsid w:val="007F2682"/>
    <w:rsid w:val="007F30E1"/>
    <w:rsid w:val="007F3156"/>
    <w:rsid w:val="007F3648"/>
    <w:rsid w:val="007F3D71"/>
    <w:rsid w:val="007F4111"/>
    <w:rsid w:val="007F4579"/>
    <w:rsid w:val="007F4FAC"/>
    <w:rsid w:val="007F5320"/>
    <w:rsid w:val="007F5526"/>
    <w:rsid w:val="007F559C"/>
    <w:rsid w:val="007F57F8"/>
    <w:rsid w:val="007F5904"/>
    <w:rsid w:val="007F5B25"/>
    <w:rsid w:val="007F5C51"/>
    <w:rsid w:val="007F6697"/>
    <w:rsid w:val="007F68A2"/>
    <w:rsid w:val="007F6A82"/>
    <w:rsid w:val="007F6B3E"/>
    <w:rsid w:val="007F6DE0"/>
    <w:rsid w:val="007F71FC"/>
    <w:rsid w:val="007F7544"/>
    <w:rsid w:val="007F76B9"/>
    <w:rsid w:val="008004E5"/>
    <w:rsid w:val="0080092F"/>
    <w:rsid w:val="00800BAA"/>
    <w:rsid w:val="00801689"/>
    <w:rsid w:val="00802200"/>
    <w:rsid w:val="00802B97"/>
    <w:rsid w:val="00802BD5"/>
    <w:rsid w:val="00802E0F"/>
    <w:rsid w:val="00802EE7"/>
    <w:rsid w:val="00803151"/>
    <w:rsid w:val="008031C8"/>
    <w:rsid w:val="00803291"/>
    <w:rsid w:val="0080346A"/>
    <w:rsid w:val="008036DD"/>
    <w:rsid w:val="00803ACC"/>
    <w:rsid w:val="00803D30"/>
    <w:rsid w:val="00803E49"/>
    <w:rsid w:val="0080432C"/>
    <w:rsid w:val="008048F3"/>
    <w:rsid w:val="00804A9F"/>
    <w:rsid w:val="00804AAD"/>
    <w:rsid w:val="00804B65"/>
    <w:rsid w:val="00804FDF"/>
    <w:rsid w:val="0080555E"/>
    <w:rsid w:val="00805760"/>
    <w:rsid w:val="008057B1"/>
    <w:rsid w:val="00805D60"/>
    <w:rsid w:val="00805F3F"/>
    <w:rsid w:val="008060BA"/>
    <w:rsid w:val="00806724"/>
    <w:rsid w:val="008067B0"/>
    <w:rsid w:val="0080683A"/>
    <w:rsid w:val="008068FF"/>
    <w:rsid w:val="00806D35"/>
    <w:rsid w:val="00807134"/>
    <w:rsid w:val="00807640"/>
    <w:rsid w:val="00807843"/>
    <w:rsid w:val="00807AEA"/>
    <w:rsid w:val="00807B1A"/>
    <w:rsid w:val="00807B56"/>
    <w:rsid w:val="00807C3B"/>
    <w:rsid w:val="00807DCF"/>
    <w:rsid w:val="00807E22"/>
    <w:rsid w:val="008101C6"/>
    <w:rsid w:val="00810330"/>
    <w:rsid w:val="00810435"/>
    <w:rsid w:val="00810665"/>
    <w:rsid w:val="008109C8"/>
    <w:rsid w:val="00810B7F"/>
    <w:rsid w:val="00811312"/>
    <w:rsid w:val="00811555"/>
    <w:rsid w:val="008118CD"/>
    <w:rsid w:val="00811AE8"/>
    <w:rsid w:val="00811EDC"/>
    <w:rsid w:val="008122F0"/>
    <w:rsid w:val="0081263F"/>
    <w:rsid w:val="008129BA"/>
    <w:rsid w:val="00812BB4"/>
    <w:rsid w:val="00812CA7"/>
    <w:rsid w:val="00812D8D"/>
    <w:rsid w:val="008133B2"/>
    <w:rsid w:val="00813707"/>
    <w:rsid w:val="00813CF5"/>
    <w:rsid w:val="00813D82"/>
    <w:rsid w:val="00813DA3"/>
    <w:rsid w:val="00814291"/>
    <w:rsid w:val="0081429B"/>
    <w:rsid w:val="00814819"/>
    <w:rsid w:val="008149BA"/>
    <w:rsid w:val="00814A8C"/>
    <w:rsid w:val="00814C53"/>
    <w:rsid w:val="00814DB0"/>
    <w:rsid w:val="00815123"/>
    <w:rsid w:val="00815293"/>
    <w:rsid w:val="008155A3"/>
    <w:rsid w:val="0081573C"/>
    <w:rsid w:val="008158C7"/>
    <w:rsid w:val="00815AAF"/>
    <w:rsid w:val="00815DDE"/>
    <w:rsid w:val="00815F51"/>
    <w:rsid w:val="00816A74"/>
    <w:rsid w:val="008173BE"/>
    <w:rsid w:val="00817452"/>
    <w:rsid w:val="00817525"/>
    <w:rsid w:val="00817757"/>
    <w:rsid w:val="0081786E"/>
    <w:rsid w:val="00817897"/>
    <w:rsid w:val="00817B59"/>
    <w:rsid w:val="00817CA2"/>
    <w:rsid w:val="00817DCE"/>
    <w:rsid w:val="0082058E"/>
    <w:rsid w:val="008205F7"/>
    <w:rsid w:val="0082066E"/>
    <w:rsid w:val="00820DCB"/>
    <w:rsid w:val="00821635"/>
    <w:rsid w:val="00821657"/>
    <w:rsid w:val="00821A38"/>
    <w:rsid w:val="00821C54"/>
    <w:rsid w:val="008221EE"/>
    <w:rsid w:val="00822258"/>
    <w:rsid w:val="0082237A"/>
    <w:rsid w:val="00822750"/>
    <w:rsid w:val="00822FC0"/>
    <w:rsid w:val="008230C7"/>
    <w:rsid w:val="00823129"/>
    <w:rsid w:val="008231F3"/>
    <w:rsid w:val="0082329A"/>
    <w:rsid w:val="008235AD"/>
    <w:rsid w:val="008235E9"/>
    <w:rsid w:val="0082382C"/>
    <w:rsid w:val="00823F06"/>
    <w:rsid w:val="00824360"/>
    <w:rsid w:val="008246FF"/>
    <w:rsid w:val="00824805"/>
    <w:rsid w:val="00824B62"/>
    <w:rsid w:val="00824D11"/>
    <w:rsid w:val="008250D8"/>
    <w:rsid w:val="00825592"/>
    <w:rsid w:val="008255B7"/>
    <w:rsid w:val="00826159"/>
    <w:rsid w:val="0082626D"/>
    <w:rsid w:val="0082690B"/>
    <w:rsid w:val="00826A60"/>
    <w:rsid w:val="00826C18"/>
    <w:rsid w:val="0082750F"/>
    <w:rsid w:val="00827B45"/>
    <w:rsid w:val="00827E7B"/>
    <w:rsid w:val="0083006E"/>
    <w:rsid w:val="00830733"/>
    <w:rsid w:val="00830847"/>
    <w:rsid w:val="008308B7"/>
    <w:rsid w:val="008308FA"/>
    <w:rsid w:val="008309DE"/>
    <w:rsid w:val="00831134"/>
    <w:rsid w:val="00831558"/>
    <w:rsid w:val="00831650"/>
    <w:rsid w:val="00831D47"/>
    <w:rsid w:val="008324EF"/>
    <w:rsid w:val="00832DD8"/>
    <w:rsid w:val="008332DB"/>
    <w:rsid w:val="00833600"/>
    <w:rsid w:val="008336AB"/>
    <w:rsid w:val="0083380F"/>
    <w:rsid w:val="0083398A"/>
    <w:rsid w:val="008347C5"/>
    <w:rsid w:val="008350AC"/>
    <w:rsid w:val="00836B49"/>
    <w:rsid w:val="00836DCF"/>
    <w:rsid w:val="00837188"/>
    <w:rsid w:val="00837258"/>
    <w:rsid w:val="008372E8"/>
    <w:rsid w:val="00837486"/>
    <w:rsid w:val="008378CC"/>
    <w:rsid w:val="00837C85"/>
    <w:rsid w:val="0084038C"/>
    <w:rsid w:val="00841E6D"/>
    <w:rsid w:val="0084245D"/>
    <w:rsid w:val="00842614"/>
    <w:rsid w:val="00842853"/>
    <w:rsid w:val="008433DF"/>
    <w:rsid w:val="0084349F"/>
    <w:rsid w:val="00843675"/>
    <w:rsid w:val="008437D0"/>
    <w:rsid w:val="00843809"/>
    <w:rsid w:val="00843B37"/>
    <w:rsid w:val="00843DDA"/>
    <w:rsid w:val="0084401A"/>
    <w:rsid w:val="00844269"/>
    <w:rsid w:val="00844651"/>
    <w:rsid w:val="00844CEE"/>
    <w:rsid w:val="00844DD6"/>
    <w:rsid w:val="00844E4C"/>
    <w:rsid w:val="008452EB"/>
    <w:rsid w:val="008453F7"/>
    <w:rsid w:val="00845ACC"/>
    <w:rsid w:val="00845FB6"/>
    <w:rsid w:val="0084641C"/>
    <w:rsid w:val="00846581"/>
    <w:rsid w:val="00846607"/>
    <w:rsid w:val="00846A43"/>
    <w:rsid w:val="00847466"/>
    <w:rsid w:val="008478B3"/>
    <w:rsid w:val="00847AA4"/>
    <w:rsid w:val="00847AE5"/>
    <w:rsid w:val="00847B6E"/>
    <w:rsid w:val="00847C10"/>
    <w:rsid w:val="008505D1"/>
    <w:rsid w:val="00850B42"/>
    <w:rsid w:val="00850E2B"/>
    <w:rsid w:val="00851792"/>
    <w:rsid w:val="008518AA"/>
    <w:rsid w:val="00851D15"/>
    <w:rsid w:val="00852815"/>
    <w:rsid w:val="00852BF9"/>
    <w:rsid w:val="00852C26"/>
    <w:rsid w:val="00852E73"/>
    <w:rsid w:val="0085327C"/>
    <w:rsid w:val="0085334F"/>
    <w:rsid w:val="00853459"/>
    <w:rsid w:val="00853558"/>
    <w:rsid w:val="00853760"/>
    <w:rsid w:val="00853D6A"/>
    <w:rsid w:val="00853DD8"/>
    <w:rsid w:val="008549AE"/>
    <w:rsid w:val="00854A47"/>
    <w:rsid w:val="00854BF8"/>
    <w:rsid w:val="00854F4B"/>
    <w:rsid w:val="00855689"/>
    <w:rsid w:val="008558C6"/>
    <w:rsid w:val="00855B7B"/>
    <w:rsid w:val="00855C60"/>
    <w:rsid w:val="00855E9E"/>
    <w:rsid w:val="00855FCD"/>
    <w:rsid w:val="008563A3"/>
    <w:rsid w:val="00856BF6"/>
    <w:rsid w:val="00856F31"/>
    <w:rsid w:val="00856F6E"/>
    <w:rsid w:val="0085730F"/>
    <w:rsid w:val="008573B3"/>
    <w:rsid w:val="00857A7F"/>
    <w:rsid w:val="00857B02"/>
    <w:rsid w:val="00857E10"/>
    <w:rsid w:val="0086082E"/>
    <w:rsid w:val="00860924"/>
    <w:rsid w:val="008609E3"/>
    <w:rsid w:val="00860BBD"/>
    <w:rsid w:val="008610CD"/>
    <w:rsid w:val="008610F1"/>
    <w:rsid w:val="0086116C"/>
    <w:rsid w:val="0086124E"/>
    <w:rsid w:val="0086189D"/>
    <w:rsid w:val="00861A14"/>
    <w:rsid w:val="00861B51"/>
    <w:rsid w:val="00861DCA"/>
    <w:rsid w:val="008625AB"/>
    <w:rsid w:val="0086261C"/>
    <w:rsid w:val="00862913"/>
    <w:rsid w:val="00863034"/>
    <w:rsid w:val="00863047"/>
    <w:rsid w:val="00863117"/>
    <w:rsid w:val="008631B3"/>
    <w:rsid w:val="008634F1"/>
    <w:rsid w:val="00863570"/>
    <w:rsid w:val="0086376F"/>
    <w:rsid w:val="00863841"/>
    <w:rsid w:val="00863BF8"/>
    <w:rsid w:val="00863CD5"/>
    <w:rsid w:val="00863F32"/>
    <w:rsid w:val="00864355"/>
    <w:rsid w:val="00864539"/>
    <w:rsid w:val="008649AA"/>
    <w:rsid w:val="00864B9D"/>
    <w:rsid w:val="00865153"/>
    <w:rsid w:val="00865A78"/>
    <w:rsid w:val="00865FD0"/>
    <w:rsid w:val="00866CD8"/>
    <w:rsid w:val="008672B7"/>
    <w:rsid w:val="00867C5B"/>
    <w:rsid w:val="00867E8D"/>
    <w:rsid w:val="0087012A"/>
    <w:rsid w:val="008702F6"/>
    <w:rsid w:val="008706C0"/>
    <w:rsid w:val="00871167"/>
    <w:rsid w:val="008713BA"/>
    <w:rsid w:val="008716F5"/>
    <w:rsid w:val="00871C86"/>
    <w:rsid w:val="00872254"/>
    <w:rsid w:val="00872837"/>
    <w:rsid w:val="00872985"/>
    <w:rsid w:val="00872C56"/>
    <w:rsid w:val="00873A5B"/>
    <w:rsid w:val="00873DDC"/>
    <w:rsid w:val="008742FA"/>
    <w:rsid w:val="0087460D"/>
    <w:rsid w:val="008749F4"/>
    <w:rsid w:val="00874D0F"/>
    <w:rsid w:val="00874E0B"/>
    <w:rsid w:val="00875777"/>
    <w:rsid w:val="00875840"/>
    <w:rsid w:val="00875EE1"/>
    <w:rsid w:val="00876010"/>
    <w:rsid w:val="00876052"/>
    <w:rsid w:val="0087606E"/>
    <w:rsid w:val="008761A1"/>
    <w:rsid w:val="00876425"/>
    <w:rsid w:val="008767DB"/>
    <w:rsid w:val="00876A6C"/>
    <w:rsid w:val="008771B3"/>
    <w:rsid w:val="0087727D"/>
    <w:rsid w:val="00877623"/>
    <w:rsid w:val="0087762A"/>
    <w:rsid w:val="00880055"/>
    <w:rsid w:val="008804DD"/>
    <w:rsid w:val="008806E8"/>
    <w:rsid w:val="008809F6"/>
    <w:rsid w:val="0088119D"/>
    <w:rsid w:val="008814D8"/>
    <w:rsid w:val="00881709"/>
    <w:rsid w:val="00881CD8"/>
    <w:rsid w:val="00881CE9"/>
    <w:rsid w:val="0088205A"/>
    <w:rsid w:val="008820BB"/>
    <w:rsid w:val="008823EC"/>
    <w:rsid w:val="00882596"/>
    <w:rsid w:val="008828BF"/>
    <w:rsid w:val="00882A46"/>
    <w:rsid w:val="00882EAF"/>
    <w:rsid w:val="00882FA2"/>
    <w:rsid w:val="00883138"/>
    <w:rsid w:val="00883725"/>
    <w:rsid w:val="00883FBB"/>
    <w:rsid w:val="00884475"/>
    <w:rsid w:val="008847B0"/>
    <w:rsid w:val="00884DB9"/>
    <w:rsid w:val="00884DFE"/>
    <w:rsid w:val="008850D4"/>
    <w:rsid w:val="00885265"/>
    <w:rsid w:val="00885696"/>
    <w:rsid w:val="00885D8A"/>
    <w:rsid w:val="008863B4"/>
    <w:rsid w:val="00886467"/>
    <w:rsid w:val="008867E5"/>
    <w:rsid w:val="00886992"/>
    <w:rsid w:val="00886BFB"/>
    <w:rsid w:val="00887C03"/>
    <w:rsid w:val="00890150"/>
    <w:rsid w:val="00890676"/>
    <w:rsid w:val="00890B1D"/>
    <w:rsid w:val="00890BB7"/>
    <w:rsid w:val="00890F61"/>
    <w:rsid w:val="00890F83"/>
    <w:rsid w:val="008911BA"/>
    <w:rsid w:val="00891581"/>
    <w:rsid w:val="00891713"/>
    <w:rsid w:val="00891CBF"/>
    <w:rsid w:val="00891D13"/>
    <w:rsid w:val="00891D3E"/>
    <w:rsid w:val="008923CD"/>
    <w:rsid w:val="008925C1"/>
    <w:rsid w:val="0089278B"/>
    <w:rsid w:val="00892A16"/>
    <w:rsid w:val="00892FAB"/>
    <w:rsid w:val="0089316A"/>
    <w:rsid w:val="00893502"/>
    <w:rsid w:val="0089377E"/>
    <w:rsid w:val="008937CF"/>
    <w:rsid w:val="00893E64"/>
    <w:rsid w:val="00894414"/>
    <w:rsid w:val="0089445E"/>
    <w:rsid w:val="008944C4"/>
    <w:rsid w:val="00894A52"/>
    <w:rsid w:val="008951AE"/>
    <w:rsid w:val="008955A6"/>
    <w:rsid w:val="008958F5"/>
    <w:rsid w:val="00895908"/>
    <w:rsid w:val="00895A42"/>
    <w:rsid w:val="00895B09"/>
    <w:rsid w:val="00895DB2"/>
    <w:rsid w:val="00895EB4"/>
    <w:rsid w:val="00895F8C"/>
    <w:rsid w:val="008960C1"/>
    <w:rsid w:val="00896138"/>
    <w:rsid w:val="008962CD"/>
    <w:rsid w:val="00896CF2"/>
    <w:rsid w:val="00896EDC"/>
    <w:rsid w:val="00897445"/>
    <w:rsid w:val="00897814"/>
    <w:rsid w:val="00897952"/>
    <w:rsid w:val="00897C05"/>
    <w:rsid w:val="00897CAC"/>
    <w:rsid w:val="008A0086"/>
    <w:rsid w:val="008A051B"/>
    <w:rsid w:val="008A0625"/>
    <w:rsid w:val="008A07C5"/>
    <w:rsid w:val="008A0C6E"/>
    <w:rsid w:val="008A0D8C"/>
    <w:rsid w:val="008A114E"/>
    <w:rsid w:val="008A14F9"/>
    <w:rsid w:val="008A154C"/>
    <w:rsid w:val="008A17B3"/>
    <w:rsid w:val="008A1863"/>
    <w:rsid w:val="008A192F"/>
    <w:rsid w:val="008A1C29"/>
    <w:rsid w:val="008A1CA4"/>
    <w:rsid w:val="008A1E31"/>
    <w:rsid w:val="008A1F97"/>
    <w:rsid w:val="008A20D0"/>
    <w:rsid w:val="008A23F4"/>
    <w:rsid w:val="008A2571"/>
    <w:rsid w:val="008A2B78"/>
    <w:rsid w:val="008A2BCC"/>
    <w:rsid w:val="008A2E0B"/>
    <w:rsid w:val="008A366C"/>
    <w:rsid w:val="008A4196"/>
    <w:rsid w:val="008A438B"/>
    <w:rsid w:val="008A43D3"/>
    <w:rsid w:val="008A446E"/>
    <w:rsid w:val="008A456F"/>
    <w:rsid w:val="008A5607"/>
    <w:rsid w:val="008A5769"/>
    <w:rsid w:val="008A5789"/>
    <w:rsid w:val="008A600E"/>
    <w:rsid w:val="008A6386"/>
    <w:rsid w:val="008A639C"/>
    <w:rsid w:val="008A6573"/>
    <w:rsid w:val="008A6750"/>
    <w:rsid w:val="008A6773"/>
    <w:rsid w:val="008A6AA4"/>
    <w:rsid w:val="008A6E76"/>
    <w:rsid w:val="008A6F41"/>
    <w:rsid w:val="008A74D6"/>
    <w:rsid w:val="008A7610"/>
    <w:rsid w:val="008A7728"/>
    <w:rsid w:val="008B00F8"/>
    <w:rsid w:val="008B0383"/>
    <w:rsid w:val="008B0406"/>
    <w:rsid w:val="008B0AF9"/>
    <w:rsid w:val="008B1145"/>
    <w:rsid w:val="008B1C87"/>
    <w:rsid w:val="008B1DC0"/>
    <w:rsid w:val="008B1E01"/>
    <w:rsid w:val="008B22D1"/>
    <w:rsid w:val="008B2ED3"/>
    <w:rsid w:val="008B312C"/>
    <w:rsid w:val="008B321B"/>
    <w:rsid w:val="008B34B5"/>
    <w:rsid w:val="008B34D5"/>
    <w:rsid w:val="008B35B1"/>
    <w:rsid w:val="008B35EE"/>
    <w:rsid w:val="008B37CA"/>
    <w:rsid w:val="008B3843"/>
    <w:rsid w:val="008B3E3A"/>
    <w:rsid w:val="008B4894"/>
    <w:rsid w:val="008B49AB"/>
    <w:rsid w:val="008B5433"/>
    <w:rsid w:val="008B543D"/>
    <w:rsid w:val="008B5581"/>
    <w:rsid w:val="008B59D2"/>
    <w:rsid w:val="008B5AC6"/>
    <w:rsid w:val="008B5CB6"/>
    <w:rsid w:val="008B6171"/>
    <w:rsid w:val="008B6465"/>
    <w:rsid w:val="008B6677"/>
    <w:rsid w:val="008B76CB"/>
    <w:rsid w:val="008B77F7"/>
    <w:rsid w:val="008B78B8"/>
    <w:rsid w:val="008B7923"/>
    <w:rsid w:val="008B7A2D"/>
    <w:rsid w:val="008B7D41"/>
    <w:rsid w:val="008B7DEB"/>
    <w:rsid w:val="008C0481"/>
    <w:rsid w:val="008C0529"/>
    <w:rsid w:val="008C137F"/>
    <w:rsid w:val="008C13FC"/>
    <w:rsid w:val="008C1526"/>
    <w:rsid w:val="008C166C"/>
    <w:rsid w:val="008C1781"/>
    <w:rsid w:val="008C2238"/>
    <w:rsid w:val="008C2268"/>
    <w:rsid w:val="008C2C8D"/>
    <w:rsid w:val="008C2D68"/>
    <w:rsid w:val="008C2F20"/>
    <w:rsid w:val="008C2FE7"/>
    <w:rsid w:val="008C30EB"/>
    <w:rsid w:val="008C3415"/>
    <w:rsid w:val="008C341E"/>
    <w:rsid w:val="008C34F6"/>
    <w:rsid w:val="008C37C7"/>
    <w:rsid w:val="008C4011"/>
    <w:rsid w:val="008C4284"/>
    <w:rsid w:val="008C43ED"/>
    <w:rsid w:val="008C4935"/>
    <w:rsid w:val="008C4B5C"/>
    <w:rsid w:val="008C4BE9"/>
    <w:rsid w:val="008C4CC4"/>
    <w:rsid w:val="008C4E12"/>
    <w:rsid w:val="008C4F97"/>
    <w:rsid w:val="008C50C6"/>
    <w:rsid w:val="008C52ED"/>
    <w:rsid w:val="008C5544"/>
    <w:rsid w:val="008C59B5"/>
    <w:rsid w:val="008C5B7F"/>
    <w:rsid w:val="008C5F62"/>
    <w:rsid w:val="008C68AC"/>
    <w:rsid w:val="008C6EB9"/>
    <w:rsid w:val="008C7629"/>
    <w:rsid w:val="008C7854"/>
    <w:rsid w:val="008C7A58"/>
    <w:rsid w:val="008C7B44"/>
    <w:rsid w:val="008C7CA0"/>
    <w:rsid w:val="008C7EF7"/>
    <w:rsid w:val="008D02F0"/>
    <w:rsid w:val="008D0AAC"/>
    <w:rsid w:val="008D0B64"/>
    <w:rsid w:val="008D0BFE"/>
    <w:rsid w:val="008D0D66"/>
    <w:rsid w:val="008D1076"/>
    <w:rsid w:val="008D10B3"/>
    <w:rsid w:val="008D15A5"/>
    <w:rsid w:val="008D1671"/>
    <w:rsid w:val="008D18D8"/>
    <w:rsid w:val="008D19F8"/>
    <w:rsid w:val="008D2534"/>
    <w:rsid w:val="008D2728"/>
    <w:rsid w:val="008D2DB4"/>
    <w:rsid w:val="008D2F80"/>
    <w:rsid w:val="008D323F"/>
    <w:rsid w:val="008D32F8"/>
    <w:rsid w:val="008D3679"/>
    <w:rsid w:val="008D392D"/>
    <w:rsid w:val="008D3BD7"/>
    <w:rsid w:val="008D417F"/>
    <w:rsid w:val="008D41D6"/>
    <w:rsid w:val="008D44B2"/>
    <w:rsid w:val="008D4BE3"/>
    <w:rsid w:val="008D4C9B"/>
    <w:rsid w:val="008D4E35"/>
    <w:rsid w:val="008D4ECB"/>
    <w:rsid w:val="008D577A"/>
    <w:rsid w:val="008D5A56"/>
    <w:rsid w:val="008D5ADC"/>
    <w:rsid w:val="008D5F68"/>
    <w:rsid w:val="008D609F"/>
    <w:rsid w:val="008D60CB"/>
    <w:rsid w:val="008D6CCF"/>
    <w:rsid w:val="008D6D22"/>
    <w:rsid w:val="008D6DED"/>
    <w:rsid w:val="008D6FCE"/>
    <w:rsid w:val="008D7446"/>
    <w:rsid w:val="008D7697"/>
    <w:rsid w:val="008D78B4"/>
    <w:rsid w:val="008D79A3"/>
    <w:rsid w:val="008E0071"/>
    <w:rsid w:val="008E0084"/>
    <w:rsid w:val="008E0295"/>
    <w:rsid w:val="008E04CB"/>
    <w:rsid w:val="008E0612"/>
    <w:rsid w:val="008E0958"/>
    <w:rsid w:val="008E0E4A"/>
    <w:rsid w:val="008E1129"/>
    <w:rsid w:val="008E157C"/>
    <w:rsid w:val="008E21EB"/>
    <w:rsid w:val="008E2420"/>
    <w:rsid w:val="008E24CE"/>
    <w:rsid w:val="008E29C6"/>
    <w:rsid w:val="008E309D"/>
    <w:rsid w:val="008E3762"/>
    <w:rsid w:val="008E3799"/>
    <w:rsid w:val="008E37CB"/>
    <w:rsid w:val="008E3804"/>
    <w:rsid w:val="008E38F7"/>
    <w:rsid w:val="008E3A0C"/>
    <w:rsid w:val="008E3BC7"/>
    <w:rsid w:val="008E423B"/>
    <w:rsid w:val="008E4395"/>
    <w:rsid w:val="008E44F1"/>
    <w:rsid w:val="008E4534"/>
    <w:rsid w:val="008E4539"/>
    <w:rsid w:val="008E47C8"/>
    <w:rsid w:val="008E4A9F"/>
    <w:rsid w:val="008E4B1D"/>
    <w:rsid w:val="008E540F"/>
    <w:rsid w:val="008E54A6"/>
    <w:rsid w:val="008E5564"/>
    <w:rsid w:val="008E57CC"/>
    <w:rsid w:val="008E57D9"/>
    <w:rsid w:val="008E59B4"/>
    <w:rsid w:val="008E5D84"/>
    <w:rsid w:val="008E5F8B"/>
    <w:rsid w:val="008E62A7"/>
    <w:rsid w:val="008E6722"/>
    <w:rsid w:val="008E76F1"/>
    <w:rsid w:val="008E78AC"/>
    <w:rsid w:val="008E78CD"/>
    <w:rsid w:val="008E7CE0"/>
    <w:rsid w:val="008E7D63"/>
    <w:rsid w:val="008E7F22"/>
    <w:rsid w:val="008F0002"/>
    <w:rsid w:val="008F05C9"/>
    <w:rsid w:val="008F0973"/>
    <w:rsid w:val="008F0DE9"/>
    <w:rsid w:val="008F0EAF"/>
    <w:rsid w:val="008F141A"/>
    <w:rsid w:val="008F1D6B"/>
    <w:rsid w:val="008F21D4"/>
    <w:rsid w:val="008F25FC"/>
    <w:rsid w:val="008F2F3E"/>
    <w:rsid w:val="008F38EB"/>
    <w:rsid w:val="008F3A84"/>
    <w:rsid w:val="008F4330"/>
    <w:rsid w:val="008F4B88"/>
    <w:rsid w:val="008F4E2D"/>
    <w:rsid w:val="008F4F16"/>
    <w:rsid w:val="008F51BA"/>
    <w:rsid w:val="008F53A7"/>
    <w:rsid w:val="008F57FF"/>
    <w:rsid w:val="008F5A44"/>
    <w:rsid w:val="008F5B9A"/>
    <w:rsid w:val="008F5C47"/>
    <w:rsid w:val="008F5E69"/>
    <w:rsid w:val="008F5F12"/>
    <w:rsid w:val="008F6429"/>
    <w:rsid w:val="008F674A"/>
    <w:rsid w:val="008F6B41"/>
    <w:rsid w:val="008F6CFF"/>
    <w:rsid w:val="008F6FBB"/>
    <w:rsid w:val="008F7039"/>
    <w:rsid w:val="008F728C"/>
    <w:rsid w:val="008F72F2"/>
    <w:rsid w:val="008F75FD"/>
    <w:rsid w:val="008F7BBF"/>
    <w:rsid w:val="008F7C72"/>
    <w:rsid w:val="00900047"/>
    <w:rsid w:val="0090072C"/>
    <w:rsid w:val="00900E72"/>
    <w:rsid w:val="00900ECF"/>
    <w:rsid w:val="00901658"/>
    <w:rsid w:val="00901810"/>
    <w:rsid w:val="0090189D"/>
    <w:rsid w:val="009018DD"/>
    <w:rsid w:val="00901944"/>
    <w:rsid w:val="00901D8D"/>
    <w:rsid w:val="00901E5F"/>
    <w:rsid w:val="00902066"/>
    <w:rsid w:val="009020BF"/>
    <w:rsid w:val="009022C8"/>
    <w:rsid w:val="0090245F"/>
    <w:rsid w:val="009024A0"/>
    <w:rsid w:val="009025A7"/>
    <w:rsid w:val="00902A48"/>
    <w:rsid w:val="00902B1A"/>
    <w:rsid w:val="00902E81"/>
    <w:rsid w:val="009030A3"/>
    <w:rsid w:val="009034D5"/>
    <w:rsid w:val="009034DD"/>
    <w:rsid w:val="009039EF"/>
    <w:rsid w:val="00903C53"/>
    <w:rsid w:val="00903E69"/>
    <w:rsid w:val="00903FD3"/>
    <w:rsid w:val="00904166"/>
    <w:rsid w:val="0090471D"/>
    <w:rsid w:val="00904928"/>
    <w:rsid w:val="009053C4"/>
    <w:rsid w:val="0090570A"/>
    <w:rsid w:val="009059A2"/>
    <w:rsid w:val="00905AD0"/>
    <w:rsid w:val="00905E7B"/>
    <w:rsid w:val="00906358"/>
    <w:rsid w:val="009067C2"/>
    <w:rsid w:val="00906853"/>
    <w:rsid w:val="00906A76"/>
    <w:rsid w:val="00906E1D"/>
    <w:rsid w:val="00907114"/>
    <w:rsid w:val="00907156"/>
    <w:rsid w:val="00907AD6"/>
    <w:rsid w:val="00907D37"/>
    <w:rsid w:val="0091013D"/>
    <w:rsid w:val="00910256"/>
    <w:rsid w:val="00910478"/>
    <w:rsid w:val="009105F9"/>
    <w:rsid w:val="00910BD4"/>
    <w:rsid w:val="00910F67"/>
    <w:rsid w:val="0091108A"/>
    <w:rsid w:val="00911CEB"/>
    <w:rsid w:val="00911FD7"/>
    <w:rsid w:val="009121A4"/>
    <w:rsid w:val="009125CA"/>
    <w:rsid w:val="00912783"/>
    <w:rsid w:val="00912A09"/>
    <w:rsid w:val="00913FC7"/>
    <w:rsid w:val="0091406A"/>
    <w:rsid w:val="00914361"/>
    <w:rsid w:val="00914744"/>
    <w:rsid w:val="00914D60"/>
    <w:rsid w:val="00914E2F"/>
    <w:rsid w:val="00914F65"/>
    <w:rsid w:val="00915569"/>
    <w:rsid w:val="009156CF"/>
    <w:rsid w:val="00915B3B"/>
    <w:rsid w:val="00915BC3"/>
    <w:rsid w:val="00915D1E"/>
    <w:rsid w:val="00915DEB"/>
    <w:rsid w:val="00915EA4"/>
    <w:rsid w:val="0091638D"/>
    <w:rsid w:val="009164D2"/>
    <w:rsid w:val="00916618"/>
    <w:rsid w:val="00916A4E"/>
    <w:rsid w:val="00916E7F"/>
    <w:rsid w:val="00917100"/>
    <w:rsid w:val="00917448"/>
    <w:rsid w:val="0091794D"/>
    <w:rsid w:val="009205D0"/>
    <w:rsid w:val="00920623"/>
    <w:rsid w:val="009206A1"/>
    <w:rsid w:val="00920827"/>
    <w:rsid w:val="00920F04"/>
    <w:rsid w:val="00920F17"/>
    <w:rsid w:val="00921260"/>
    <w:rsid w:val="0092136A"/>
    <w:rsid w:val="0092137B"/>
    <w:rsid w:val="009217FB"/>
    <w:rsid w:val="009224F6"/>
    <w:rsid w:val="009227C6"/>
    <w:rsid w:val="0092293C"/>
    <w:rsid w:val="00922A9A"/>
    <w:rsid w:val="00922E13"/>
    <w:rsid w:val="00922ECA"/>
    <w:rsid w:val="00923090"/>
    <w:rsid w:val="00923117"/>
    <w:rsid w:val="0092345B"/>
    <w:rsid w:val="009237A1"/>
    <w:rsid w:val="00923C08"/>
    <w:rsid w:val="00923E7A"/>
    <w:rsid w:val="0092412A"/>
    <w:rsid w:val="0092415C"/>
    <w:rsid w:val="0092489C"/>
    <w:rsid w:val="00924B27"/>
    <w:rsid w:val="00924BEF"/>
    <w:rsid w:val="00924C4B"/>
    <w:rsid w:val="00924E81"/>
    <w:rsid w:val="00925361"/>
    <w:rsid w:val="00925964"/>
    <w:rsid w:val="00925A4A"/>
    <w:rsid w:val="00925F72"/>
    <w:rsid w:val="00926097"/>
    <w:rsid w:val="00926285"/>
    <w:rsid w:val="009262D7"/>
    <w:rsid w:val="00926D42"/>
    <w:rsid w:val="0093024D"/>
    <w:rsid w:val="009302FA"/>
    <w:rsid w:val="00930D67"/>
    <w:rsid w:val="00931506"/>
    <w:rsid w:val="00932094"/>
    <w:rsid w:val="00932398"/>
    <w:rsid w:val="0093299B"/>
    <w:rsid w:val="009332AE"/>
    <w:rsid w:val="00933341"/>
    <w:rsid w:val="0093358E"/>
    <w:rsid w:val="0093361D"/>
    <w:rsid w:val="0093382B"/>
    <w:rsid w:val="009339BB"/>
    <w:rsid w:val="00933C2D"/>
    <w:rsid w:val="00934129"/>
    <w:rsid w:val="00934581"/>
    <w:rsid w:val="00934667"/>
    <w:rsid w:val="00934BB4"/>
    <w:rsid w:val="00934C9A"/>
    <w:rsid w:val="00934CBC"/>
    <w:rsid w:val="00934E39"/>
    <w:rsid w:val="00934E49"/>
    <w:rsid w:val="0093501D"/>
    <w:rsid w:val="00935082"/>
    <w:rsid w:val="00935614"/>
    <w:rsid w:val="00935952"/>
    <w:rsid w:val="00935CD9"/>
    <w:rsid w:val="0093620B"/>
    <w:rsid w:val="0093637E"/>
    <w:rsid w:val="00936D52"/>
    <w:rsid w:val="00936EC6"/>
    <w:rsid w:val="009370AC"/>
    <w:rsid w:val="00937631"/>
    <w:rsid w:val="0093766A"/>
    <w:rsid w:val="009378A6"/>
    <w:rsid w:val="00937B6B"/>
    <w:rsid w:val="00937EB2"/>
    <w:rsid w:val="009400D2"/>
    <w:rsid w:val="009400E9"/>
    <w:rsid w:val="00940242"/>
    <w:rsid w:val="009403CC"/>
    <w:rsid w:val="0094072A"/>
    <w:rsid w:val="009409F8"/>
    <w:rsid w:val="00940D60"/>
    <w:rsid w:val="00941203"/>
    <w:rsid w:val="00941640"/>
    <w:rsid w:val="0094199F"/>
    <w:rsid w:val="00941F4A"/>
    <w:rsid w:val="009426D4"/>
    <w:rsid w:val="00942953"/>
    <w:rsid w:val="00942D4E"/>
    <w:rsid w:val="00943568"/>
    <w:rsid w:val="009437B9"/>
    <w:rsid w:val="009439A9"/>
    <w:rsid w:val="00944454"/>
    <w:rsid w:val="0094498F"/>
    <w:rsid w:val="00944C22"/>
    <w:rsid w:val="00944DF6"/>
    <w:rsid w:val="00944EF7"/>
    <w:rsid w:val="00945118"/>
    <w:rsid w:val="0094554E"/>
    <w:rsid w:val="00945A24"/>
    <w:rsid w:val="00946294"/>
    <w:rsid w:val="0094640F"/>
    <w:rsid w:val="009465D7"/>
    <w:rsid w:val="009467CB"/>
    <w:rsid w:val="009467F4"/>
    <w:rsid w:val="00946AAB"/>
    <w:rsid w:val="009470FB"/>
    <w:rsid w:val="00947153"/>
    <w:rsid w:val="00947243"/>
    <w:rsid w:val="009473CD"/>
    <w:rsid w:val="0094769F"/>
    <w:rsid w:val="00947780"/>
    <w:rsid w:val="009477E7"/>
    <w:rsid w:val="00947A77"/>
    <w:rsid w:val="00947D7A"/>
    <w:rsid w:val="00950115"/>
    <w:rsid w:val="009501F2"/>
    <w:rsid w:val="009502A2"/>
    <w:rsid w:val="009503F5"/>
    <w:rsid w:val="009506CA"/>
    <w:rsid w:val="00950B9D"/>
    <w:rsid w:val="00950C4B"/>
    <w:rsid w:val="00951394"/>
    <w:rsid w:val="009515FD"/>
    <w:rsid w:val="009517A3"/>
    <w:rsid w:val="00951DE4"/>
    <w:rsid w:val="00951FBB"/>
    <w:rsid w:val="009525BF"/>
    <w:rsid w:val="009526D0"/>
    <w:rsid w:val="0095271A"/>
    <w:rsid w:val="009527C0"/>
    <w:rsid w:val="00952B13"/>
    <w:rsid w:val="00952B9E"/>
    <w:rsid w:val="00952E49"/>
    <w:rsid w:val="00952F0E"/>
    <w:rsid w:val="00953899"/>
    <w:rsid w:val="0095389E"/>
    <w:rsid w:val="009538EC"/>
    <w:rsid w:val="0095398B"/>
    <w:rsid w:val="00953A43"/>
    <w:rsid w:val="00953F2C"/>
    <w:rsid w:val="009541A3"/>
    <w:rsid w:val="009548F8"/>
    <w:rsid w:val="00954C75"/>
    <w:rsid w:val="00955013"/>
    <w:rsid w:val="00955802"/>
    <w:rsid w:val="00955D5B"/>
    <w:rsid w:val="00956087"/>
    <w:rsid w:val="00956D60"/>
    <w:rsid w:val="009572F9"/>
    <w:rsid w:val="0095752E"/>
    <w:rsid w:val="00957B0E"/>
    <w:rsid w:val="009601FC"/>
    <w:rsid w:val="009604C0"/>
    <w:rsid w:val="0096075E"/>
    <w:rsid w:val="00960F35"/>
    <w:rsid w:val="00961E83"/>
    <w:rsid w:val="00961FFE"/>
    <w:rsid w:val="00962642"/>
    <w:rsid w:val="009628DC"/>
    <w:rsid w:val="00962D51"/>
    <w:rsid w:val="00962D5A"/>
    <w:rsid w:val="009631FA"/>
    <w:rsid w:val="00963256"/>
    <w:rsid w:val="0096325A"/>
    <w:rsid w:val="009635E4"/>
    <w:rsid w:val="0096379C"/>
    <w:rsid w:val="009639D9"/>
    <w:rsid w:val="00963F5C"/>
    <w:rsid w:val="00964090"/>
    <w:rsid w:val="009644BB"/>
    <w:rsid w:val="00964544"/>
    <w:rsid w:val="00964ABB"/>
    <w:rsid w:val="00964B3C"/>
    <w:rsid w:val="00964E59"/>
    <w:rsid w:val="0096530D"/>
    <w:rsid w:val="009658EE"/>
    <w:rsid w:val="00965AAF"/>
    <w:rsid w:val="00965BC8"/>
    <w:rsid w:val="009662A5"/>
    <w:rsid w:val="00966729"/>
    <w:rsid w:val="00966849"/>
    <w:rsid w:val="00966914"/>
    <w:rsid w:val="00966D05"/>
    <w:rsid w:val="00966E5D"/>
    <w:rsid w:val="00967559"/>
    <w:rsid w:val="0096761B"/>
    <w:rsid w:val="00967726"/>
    <w:rsid w:val="009706D4"/>
    <w:rsid w:val="00970B34"/>
    <w:rsid w:val="00970C26"/>
    <w:rsid w:val="0097130C"/>
    <w:rsid w:val="00971467"/>
    <w:rsid w:val="009720CF"/>
    <w:rsid w:val="00972136"/>
    <w:rsid w:val="009721DE"/>
    <w:rsid w:val="00972350"/>
    <w:rsid w:val="00972441"/>
    <w:rsid w:val="00972723"/>
    <w:rsid w:val="0097275D"/>
    <w:rsid w:val="00972815"/>
    <w:rsid w:val="00972821"/>
    <w:rsid w:val="009729AA"/>
    <w:rsid w:val="00972A92"/>
    <w:rsid w:val="0097336D"/>
    <w:rsid w:val="0097349D"/>
    <w:rsid w:val="00973953"/>
    <w:rsid w:val="00973B48"/>
    <w:rsid w:val="00973B90"/>
    <w:rsid w:val="00973CF7"/>
    <w:rsid w:val="00973EE7"/>
    <w:rsid w:val="00974034"/>
    <w:rsid w:val="00974CE8"/>
    <w:rsid w:val="00974F1C"/>
    <w:rsid w:val="009756D3"/>
    <w:rsid w:val="009756D5"/>
    <w:rsid w:val="009759DD"/>
    <w:rsid w:val="009759F3"/>
    <w:rsid w:val="00975D4E"/>
    <w:rsid w:val="009762E5"/>
    <w:rsid w:val="00976C83"/>
    <w:rsid w:val="00976DB5"/>
    <w:rsid w:val="00976DEF"/>
    <w:rsid w:val="00976E3C"/>
    <w:rsid w:val="009771D3"/>
    <w:rsid w:val="009771FF"/>
    <w:rsid w:val="009772AC"/>
    <w:rsid w:val="0097747D"/>
    <w:rsid w:val="0097799E"/>
    <w:rsid w:val="00977A70"/>
    <w:rsid w:val="00977CC3"/>
    <w:rsid w:val="00980624"/>
    <w:rsid w:val="009806CD"/>
    <w:rsid w:val="009808EB"/>
    <w:rsid w:val="00980C89"/>
    <w:rsid w:val="00980F9B"/>
    <w:rsid w:val="0098100A"/>
    <w:rsid w:val="00981045"/>
    <w:rsid w:val="009816A2"/>
    <w:rsid w:val="00981C91"/>
    <w:rsid w:val="00982201"/>
    <w:rsid w:val="00982BEC"/>
    <w:rsid w:val="0098302C"/>
    <w:rsid w:val="00983AF6"/>
    <w:rsid w:val="00983BD7"/>
    <w:rsid w:val="009840D0"/>
    <w:rsid w:val="00984757"/>
    <w:rsid w:val="00984ECE"/>
    <w:rsid w:val="009850A8"/>
    <w:rsid w:val="009850AA"/>
    <w:rsid w:val="009850C6"/>
    <w:rsid w:val="009852BF"/>
    <w:rsid w:val="009853EC"/>
    <w:rsid w:val="009861C3"/>
    <w:rsid w:val="00986349"/>
    <w:rsid w:val="00986B1F"/>
    <w:rsid w:val="00987030"/>
    <w:rsid w:val="009871A0"/>
    <w:rsid w:val="00987859"/>
    <w:rsid w:val="00987A08"/>
    <w:rsid w:val="00987BC6"/>
    <w:rsid w:val="00987E9A"/>
    <w:rsid w:val="0099022B"/>
    <w:rsid w:val="0099069A"/>
    <w:rsid w:val="00990792"/>
    <w:rsid w:val="00990A53"/>
    <w:rsid w:val="00990A6E"/>
    <w:rsid w:val="00990C52"/>
    <w:rsid w:val="00991796"/>
    <w:rsid w:val="00991C60"/>
    <w:rsid w:val="00991D4A"/>
    <w:rsid w:val="00991E02"/>
    <w:rsid w:val="00991F08"/>
    <w:rsid w:val="009924A4"/>
    <w:rsid w:val="00993430"/>
    <w:rsid w:val="0099346C"/>
    <w:rsid w:val="0099368E"/>
    <w:rsid w:val="00993817"/>
    <w:rsid w:val="0099386F"/>
    <w:rsid w:val="009938E3"/>
    <w:rsid w:val="009940E8"/>
    <w:rsid w:val="0099461E"/>
    <w:rsid w:val="00994FD5"/>
    <w:rsid w:val="009951AF"/>
    <w:rsid w:val="00995308"/>
    <w:rsid w:val="009954D2"/>
    <w:rsid w:val="00995573"/>
    <w:rsid w:val="00995774"/>
    <w:rsid w:val="00996965"/>
    <w:rsid w:val="009969D2"/>
    <w:rsid w:val="009969E0"/>
    <w:rsid w:val="00996EEA"/>
    <w:rsid w:val="00997007"/>
    <w:rsid w:val="009975EA"/>
    <w:rsid w:val="009977B5"/>
    <w:rsid w:val="009977D2"/>
    <w:rsid w:val="00997C49"/>
    <w:rsid w:val="009A0151"/>
    <w:rsid w:val="009A0647"/>
    <w:rsid w:val="009A0893"/>
    <w:rsid w:val="009A096E"/>
    <w:rsid w:val="009A0C4A"/>
    <w:rsid w:val="009A0CA8"/>
    <w:rsid w:val="009A0FB2"/>
    <w:rsid w:val="009A1319"/>
    <w:rsid w:val="009A1363"/>
    <w:rsid w:val="009A1379"/>
    <w:rsid w:val="009A1957"/>
    <w:rsid w:val="009A1B9D"/>
    <w:rsid w:val="009A1DA1"/>
    <w:rsid w:val="009A1F4B"/>
    <w:rsid w:val="009A29CF"/>
    <w:rsid w:val="009A2C63"/>
    <w:rsid w:val="009A3163"/>
    <w:rsid w:val="009A3461"/>
    <w:rsid w:val="009A392D"/>
    <w:rsid w:val="009A39F6"/>
    <w:rsid w:val="009A3C3A"/>
    <w:rsid w:val="009A3DB7"/>
    <w:rsid w:val="009A3F87"/>
    <w:rsid w:val="009A418F"/>
    <w:rsid w:val="009A44DC"/>
    <w:rsid w:val="009A458C"/>
    <w:rsid w:val="009A4746"/>
    <w:rsid w:val="009A4A0B"/>
    <w:rsid w:val="009A4BA2"/>
    <w:rsid w:val="009A4C6D"/>
    <w:rsid w:val="009A58D3"/>
    <w:rsid w:val="009A5A63"/>
    <w:rsid w:val="009A5E0D"/>
    <w:rsid w:val="009A6085"/>
    <w:rsid w:val="009A61B1"/>
    <w:rsid w:val="009A665E"/>
    <w:rsid w:val="009A68C5"/>
    <w:rsid w:val="009A6A18"/>
    <w:rsid w:val="009A6B09"/>
    <w:rsid w:val="009A6DDF"/>
    <w:rsid w:val="009A6FAA"/>
    <w:rsid w:val="009A74ED"/>
    <w:rsid w:val="009A76D1"/>
    <w:rsid w:val="009A7875"/>
    <w:rsid w:val="009A7982"/>
    <w:rsid w:val="009A7D49"/>
    <w:rsid w:val="009A7ED8"/>
    <w:rsid w:val="009A7EF7"/>
    <w:rsid w:val="009B0E02"/>
    <w:rsid w:val="009B0F1E"/>
    <w:rsid w:val="009B0F98"/>
    <w:rsid w:val="009B1014"/>
    <w:rsid w:val="009B1206"/>
    <w:rsid w:val="009B1290"/>
    <w:rsid w:val="009B13AF"/>
    <w:rsid w:val="009B178D"/>
    <w:rsid w:val="009B1968"/>
    <w:rsid w:val="009B1A7A"/>
    <w:rsid w:val="009B1BAB"/>
    <w:rsid w:val="009B1C25"/>
    <w:rsid w:val="009B2171"/>
    <w:rsid w:val="009B254B"/>
    <w:rsid w:val="009B2781"/>
    <w:rsid w:val="009B3012"/>
    <w:rsid w:val="009B32CD"/>
    <w:rsid w:val="009B34A2"/>
    <w:rsid w:val="009B3AAF"/>
    <w:rsid w:val="009B3B04"/>
    <w:rsid w:val="009B3CEB"/>
    <w:rsid w:val="009B43AC"/>
    <w:rsid w:val="009B4469"/>
    <w:rsid w:val="009B4A24"/>
    <w:rsid w:val="009B56DC"/>
    <w:rsid w:val="009B5845"/>
    <w:rsid w:val="009B62D5"/>
    <w:rsid w:val="009B63FD"/>
    <w:rsid w:val="009B68E9"/>
    <w:rsid w:val="009B69A8"/>
    <w:rsid w:val="009B6F75"/>
    <w:rsid w:val="009B7969"/>
    <w:rsid w:val="009C0471"/>
    <w:rsid w:val="009C0563"/>
    <w:rsid w:val="009C06B2"/>
    <w:rsid w:val="009C0B5E"/>
    <w:rsid w:val="009C0C16"/>
    <w:rsid w:val="009C137B"/>
    <w:rsid w:val="009C1437"/>
    <w:rsid w:val="009C1C88"/>
    <w:rsid w:val="009C1DF4"/>
    <w:rsid w:val="009C1E34"/>
    <w:rsid w:val="009C1ECA"/>
    <w:rsid w:val="009C1F4C"/>
    <w:rsid w:val="009C22CB"/>
    <w:rsid w:val="009C2553"/>
    <w:rsid w:val="009C29A8"/>
    <w:rsid w:val="009C2C98"/>
    <w:rsid w:val="009C2F06"/>
    <w:rsid w:val="009C2F5B"/>
    <w:rsid w:val="009C39CD"/>
    <w:rsid w:val="009C3AF9"/>
    <w:rsid w:val="009C3B29"/>
    <w:rsid w:val="009C3E98"/>
    <w:rsid w:val="009C4132"/>
    <w:rsid w:val="009C4CDE"/>
    <w:rsid w:val="009C59C9"/>
    <w:rsid w:val="009C5BCA"/>
    <w:rsid w:val="009C5EDC"/>
    <w:rsid w:val="009C5F76"/>
    <w:rsid w:val="009C6079"/>
    <w:rsid w:val="009C610D"/>
    <w:rsid w:val="009C6A97"/>
    <w:rsid w:val="009C6F0B"/>
    <w:rsid w:val="009C6FE4"/>
    <w:rsid w:val="009C6FFC"/>
    <w:rsid w:val="009C7113"/>
    <w:rsid w:val="009C7675"/>
    <w:rsid w:val="009C77EE"/>
    <w:rsid w:val="009C784C"/>
    <w:rsid w:val="009C79BB"/>
    <w:rsid w:val="009C7EEA"/>
    <w:rsid w:val="009C7F3B"/>
    <w:rsid w:val="009D0045"/>
    <w:rsid w:val="009D056B"/>
    <w:rsid w:val="009D0756"/>
    <w:rsid w:val="009D0999"/>
    <w:rsid w:val="009D0D6F"/>
    <w:rsid w:val="009D1551"/>
    <w:rsid w:val="009D1B01"/>
    <w:rsid w:val="009D2C35"/>
    <w:rsid w:val="009D3AA9"/>
    <w:rsid w:val="009D3C50"/>
    <w:rsid w:val="009D3E30"/>
    <w:rsid w:val="009D4188"/>
    <w:rsid w:val="009D441D"/>
    <w:rsid w:val="009D5113"/>
    <w:rsid w:val="009D5233"/>
    <w:rsid w:val="009D5E46"/>
    <w:rsid w:val="009D5E68"/>
    <w:rsid w:val="009D615B"/>
    <w:rsid w:val="009D61E7"/>
    <w:rsid w:val="009D63CC"/>
    <w:rsid w:val="009D64F6"/>
    <w:rsid w:val="009D699C"/>
    <w:rsid w:val="009D69D0"/>
    <w:rsid w:val="009D7825"/>
    <w:rsid w:val="009D7D4E"/>
    <w:rsid w:val="009E0062"/>
    <w:rsid w:val="009E0DBC"/>
    <w:rsid w:val="009E0F92"/>
    <w:rsid w:val="009E1071"/>
    <w:rsid w:val="009E1192"/>
    <w:rsid w:val="009E169A"/>
    <w:rsid w:val="009E1B21"/>
    <w:rsid w:val="009E1BB6"/>
    <w:rsid w:val="009E1D13"/>
    <w:rsid w:val="009E20C7"/>
    <w:rsid w:val="009E233F"/>
    <w:rsid w:val="009E2408"/>
    <w:rsid w:val="009E28C2"/>
    <w:rsid w:val="009E29A3"/>
    <w:rsid w:val="009E30AC"/>
    <w:rsid w:val="009E35B9"/>
    <w:rsid w:val="009E3629"/>
    <w:rsid w:val="009E37DB"/>
    <w:rsid w:val="009E3AD9"/>
    <w:rsid w:val="009E3BCA"/>
    <w:rsid w:val="009E3F3B"/>
    <w:rsid w:val="009E42CE"/>
    <w:rsid w:val="009E4431"/>
    <w:rsid w:val="009E4817"/>
    <w:rsid w:val="009E4BB9"/>
    <w:rsid w:val="009E4CD3"/>
    <w:rsid w:val="009E4DD1"/>
    <w:rsid w:val="009E56D2"/>
    <w:rsid w:val="009E596E"/>
    <w:rsid w:val="009E5987"/>
    <w:rsid w:val="009E5EAB"/>
    <w:rsid w:val="009E5ECE"/>
    <w:rsid w:val="009E602C"/>
    <w:rsid w:val="009E61FD"/>
    <w:rsid w:val="009E6675"/>
    <w:rsid w:val="009E69D3"/>
    <w:rsid w:val="009E6B40"/>
    <w:rsid w:val="009E6E08"/>
    <w:rsid w:val="009E7124"/>
    <w:rsid w:val="009E7231"/>
    <w:rsid w:val="009E7377"/>
    <w:rsid w:val="009E75F6"/>
    <w:rsid w:val="009E7BA9"/>
    <w:rsid w:val="009E7BE3"/>
    <w:rsid w:val="009E7E7C"/>
    <w:rsid w:val="009F0558"/>
    <w:rsid w:val="009F0661"/>
    <w:rsid w:val="009F091A"/>
    <w:rsid w:val="009F1120"/>
    <w:rsid w:val="009F1337"/>
    <w:rsid w:val="009F1680"/>
    <w:rsid w:val="009F1A7C"/>
    <w:rsid w:val="009F1F60"/>
    <w:rsid w:val="009F2B86"/>
    <w:rsid w:val="009F30B3"/>
    <w:rsid w:val="009F31FD"/>
    <w:rsid w:val="009F3344"/>
    <w:rsid w:val="009F36B6"/>
    <w:rsid w:val="009F38EC"/>
    <w:rsid w:val="009F3C88"/>
    <w:rsid w:val="009F3E97"/>
    <w:rsid w:val="009F3F43"/>
    <w:rsid w:val="009F3FB7"/>
    <w:rsid w:val="009F43FA"/>
    <w:rsid w:val="009F48F3"/>
    <w:rsid w:val="009F51FE"/>
    <w:rsid w:val="009F5334"/>
    <w:rsid w:val="009F5488"/>
    <w:rsid w:val="009F55B8"/>
    <w:rsid w:val="009F5642"/>
    <w:rsid w:val="009F5756"/>
    <w:rsid w:val="009F5D26"/>
    <w:rsid w:val="009F5E5D"/>
    <w:rsid w:val="009F630F"/>
    <w:rsid w:val="009F63AB"/>
    <w:rsid w:val="009F6854"/>
    <w:rsid w:val="009F69C4"/>
    <w:rsid w:val="009F72F1"/>
    <w:rsid w:val="009F785A"/>
    <w:rsid w:val="009F7910"/>
    <w:rsid w:val="009F7DA4"/>
    <w:rsid w:val="009F7E4E"/>
    <w:rsid w:val="00A00081"/>
    <w:rsid w:val="00A0017D"/>
    <w:rsid w:val="00A003FA"/>
    <w:rsid w:val="00A0075D"/>
    <w:rsid w:val="00A00824"/>
    <w:rsid w:val="00A008E0"/>
    <w:rsid w:val="00A00A6B"/>
    <w:rsid w:val="00A015EA"/>
    <w:rsid w:val="00A01D5F"/>
    <w:rsid w:val="00A01ED2"/>
    <w:rsid w:val="00A0246D"/>
    <w:rsid w:val="00A027A4"/>
    <w:rsid w:val="00A029FA"/>
    <w:rsid w:val="00A02BDB"/>
    <w:rsid w:val="00A02E3F"/>
    <w:rsid w:val="00A02E79"/>
    <w:rsid w:val="00A030E9"/>
    <w:rsid w:val="00A0321E"/>
    <w:rsid w:val="00A032DC"/>
    <w:rsid w:val="00A03863"/>
    <w:rsid w:val="00A03E09"/>
    <w:rsid w:val="00A03E33"/>
    <w:rsid w:val="00A0400A"/>
    <w:rsid w:val="00A040C5"/>
    <w:rsid w:val="00A040CC"/>
    <w:rsid w:val="00A04241"/>
    <w:rsid w:val="00A04383"/>
    <w:rsid w:val="00A04535"/>
    <w:rsid w:val="00A045B9"/>
    <w:rsid w:val="00A04A42"/>
    <w:rsid w:val="00A04F64"/>
    <w:rsid w:val="00A04FFD"/>
    <w:rsid w:val="00A06001"/>
    <w:rsid w:val="00A0659A"/>
    <w:rsid w:val="00A0663B"/>
    <w:rsid w:val="00A066DD"/>
    <w:rsid w:val="00A06D00"/>
    <w:rsid w:val="00A07034"/>
    <w:rsid w:val="00A07334"/>
    <w:rsid w:val="00A0738F"/>
    <w:rsid w:val="00A07714"/>
    <w:rsid w:val="00A077C6"/>
    <w:rsid w:val="00A07894"/>
    <w:rsid w:val="00A079B1"/>
    <w:rsid w:val="00A07D1A"/>
    <w:rsid w:val="00A1064E"/>
    <w:rsid w:val="00A107F6"/>
    <w:rsid w:val="00A10B04"/>
    <w:rsid w:val="00A10F72"/>
    <w:rsid w:val="00A11141"/>
    <w:rsid w:val="00A111EC"/>
    <w:rsid w:val="00A124CA"/>
    <w:rsid w:val="00A12610"/>
    <w:rsid w:val="00A12714"/>
    <w:rsid w:val="00A12A19"/>
    <w:rsid w:val="00A12C23"/>
    <w:rsid w:val="00A12D2B"/>
    <w:rsid w:val="00A1315B"/>
    <w:rsid w:val="00A133B1"/>
    <w:rsid w:val="00A13FD5"/>
    <w:rsid w:val="00A143DA"/>
    <w:rsid w:val="00A145CF"/>
    <w:rsid w:val="00A14889"/>
    <w:rsid w:val="00A14977"/>
    <w:rsid w:val="00A1523A"/>
    <w:rsid w:val="00A155F5"/>
    <w:rsid w:val="00A15AEF"/>
    <w:rsid w:val="00A15B97"/>
    <w:rsid w:val="00A15F62"/>
    <w:rsid w:val="00A16A00"/>
    <w:rsid w:val="00A16B14"/>
    <w:rsid w:val="00A16EB2"/>
    <w:rsid w:val="00A1710F"/>
    <w:rsid w:val="00A17589"/>
    <w:rsid w:val="00A1774F"/>
    <w:rsid w:val="00A17997"/>
    <w:rsid w:val="00A17D8B"/>
    <w:rsid w:val="00A17DE4"/>
    <w:rsid w:val="00A17EB1"/>
    <w:rsid w:val="00A17F45"/>
    <w:rsid w:val="00A200FF"/>
    <w:rsid w:val="00A2012B"/>
    <w:rsid w:val="00A206A8"/>
    <w:rsid w:val="00A21832"/>
    <w:rsid w:val="00A218D3"/>
    <w:rsid w:val="00A21F37"/>
    <w:rsid w:val="00A21FA4"/>
    <w:rsid w:val="00A222F3"/>
    <w:rsid w:val="00A22D9C"/>
    <w:rsid w:val="00A2303F"/>
    <w:rsid w:val="00A23084"/>
    <w:rsid w:val="00A23103"/>
    <w:rsid w:val="00A23166"/>
    <w:rsid w:val="00A23231"/>
    <w:rsid w:val="00A233BE"/>
    <w:rsid w:val="00A23744"/>
    <w:rsid w:val="00A23C99"/>
    <w:rsid w:val="00A2440C"/>
    <w:rsid w:val="00A2453E"/>
    <w:rsid w:val="00A24902"/>
    <w:rsid w:val="00A24DEB"/>
    <w:rsid w:val="00A250E7"/>
    <w:rsid w:val="00A25193"/>
    <w:rsid w:val="00A252E6"/>
    <w:rsid w:val="00A255C5"/>
    <w:rsid w:val="00A25F5C"/>
    <w:rsid w:val="00A260B0"/>
    <w:rsid w:val="00A26322"/>
    <w:rsid w:val="00A26A8C"/>
    <w:rsid w:val="00A271BE"/>
    <w:rsid w:val="00A274A6"/>
    <w:rsid w:val="00A27630"/>
    <w:rsid w:val="00A276AE"/>
    <w:rsid w:val="00A27758"/>
    <w:rsid w:val="00A30413"/>
    <w:rsid w:val="00A30751"/>
    <w:rsid w:val="00A30E89"/>
    <w:rsid w:val="00A30FDA"/>
    <w:rsid w:val="00A310A7"/>
    <w:rsid w:val="00A31166"/>
    <w:rsid w:val="00A32297"/>
    <w:rsid w:val="00A322FF"/>
    <w:rsid w:val="00A32492"/>
    <w:rsid w:val="00A325FF"/>
    <w:rsid w:val="00A3261A"/>
    <w:rsid w:val="00A32723"/>
    <w:rsid w:val="00A327E9"/>
    <w:rsid w:val="00A32877"/>
    <w:rsid w:val="00A32AD2"/>
    <w:rsid w:val="00A32BA9"/>
    <w:rsid w:val="00A32F6B"/>
    <w:rsid w:val="00A332CB"/>
    <w:rsid w:val="00A336E2"/>
    <w:rsid w:val="00A33745"/>
    <w:rsid w:val="00A34124"/>
    <w:rsid w:val="00A34184"/>
    <w:rsid w:val="00A341A6"/>
    <w:rsid w:val="00A3421F"/>
    <w:rsid w:val="00A34468"/>
    <w:rsid w:val="00A34878"/>
    <w:rsid w:val="00A34972"/>
    <w:rsid w:val="00A34DDA"/>
    <w:rsid w:val="00A3506C"/>
    <w:rsid w:val="00A3524D"/>
    <w:rsid w:val="00A35255"/>
    <w:rsid w:val="00A35495"/>
    <w:rsid w:val="00A356A7"/>
    <w:rsid w:val="00A356BE"/>
    <w:rsid w:val="00A35B04"/>
    <w:rsid w:val="00A3655F"/>
    <w:rsid w:val="00A367B3"/>
    <w:rsid w:val="00A367F7"/>
    <w:rsid w:val="00A36838"/>
    <w:rsid w:val="00A36840"/>
    <w:rsid w:val="00A368AC"/>
    <w:rsid w:val="00A36978"/>
    <w:rsid w:val="00A3753C"/>
    <w:rsid w:val="00A376C6"/>
    <w:rsid w:val="00A40739"/>
    <w:rsid w:val="00A40A3A"/>
    <w:rsid w:val="00A41587"/>
    <w:rsid w:val="00A4189C"/>
    <w:rsid w:val="00A41FB7"/>
    <w:rsid w:val="00A42026"/>
    <w:rsid w:val="00A423D6"/>
    <w:rsid w:val="00A427F8"/>
    <w:rsid w:val="00A42E1F"/>
    <w:rsid w:val="00A42F88"/>
    <w:rsid w:val="00A43359"/>
    <w:rsid w:val="00A4372B"/>
    <w:rsid w:val="00A439F6"/>
    <w:rsid w:val="00A43D04"/>
    <w:rsid w:val="00A445E0"/>
    <w:rsid w:val="00A44B6E"/>
    <w:rsid w:val="00A44C12"/>
    <w:rsid w:val="00A44C8B"/>
    <w:rsid w:val="00A44E20"/>
    <w:rsid w:val="00A44EA3"/>
    <w:rsid w:val="00A45059"/>
    <w:rsid w:val="00A4510A"/>
    <w:rsid w:val="00A45195"/>
    <w:rsid w:val="00A4546A"/>
    <w:rsid w:val="00A45501"/>
    <w:rsid w:val="00A45800"/>
    <w:rsid w:val="00A45C9D"/>
    <w:rsid w:val="00A45D26"/>
    <w:rsid w:val="00A46028"/>
    <w:rsid w:val="00A46AC9"/>
    <w:rsid w:val="00A46CD3"/>
    <w:rsid w:val="00A46FE6"/>
    <w:rsid w:val="00A4729C"/>
    <w:rsid w:val="00A47A16"/>
    <w:rsid w:val="00A47AAA"/>
    <w:rsid w:val="00A47C29"/>
    <w:rsid w:val="00A47D1C"/>
    <w:rsid w:val="00A5000F"/>
    <w:rsid w:val="00A50018"/>
    <w:rsid w:val="00A505B0"/>
    <w:rsid w:val="00A50870"/>
    <w:rsid w:val="00A50A77"/>
    <w:rsid w:val="00A50D4D"/>
    <w:rsid w:val="00A50DA4"/>
    <w:rsid w:val="00A511DA"/>
    <w:rsid w:val="00A51202"/>
    <w:rsid w:val="00A51B16"/>
    <w:rsid w:val="00A51EE4"/>
    <w:rsid w:val="00A520AE"/>
    <w:rsid w:val="00A5211B"/>
    <w:rsid w:val="00A52799"/>
    <w:rsid w:val="00A527E2"/>
    <w:rsid w:val="00A527FD"/>
    <w:rsid w:val="00A5285E"/>
    <w:rsid w:val="00A528BA"/>
    <w:rsid w:val="00A5297C"/>
    <w:rsid w:val="00A52CAA"/>
    <w:rsid w:val="00A533DB"/>
    <w:rsid w:val="00A53A59"/>
    <w:rsid w:val="00A53A5A"/>
    <w:rsid w:val="00A53B7E"/>
    <w:rsid w:val="00A5431B"/>
    <w:rsid w:val="00A546A8"/>
    <w:rsid w:val="00A547A8"/>
    <w:rsid w:val="00A54B34"/>
    <w:rsid w:val="00A55243"/>
    <w:rsid w:val="00A55261"/>
    <w:rsid w:val="00A5530C"/>
    <w:rsid w:val="00A55542"/>
    <w:rsid w:val="00A55659"/>
    <w:rsid w:val="00A5585A"/>
    <w:rsid w:val="00A55D05"/>
    <w:rsid w:val="00A5608E"/>
    <w:rsid w:val="00A56728"/>
    <w:rsid w:val="00A56E97"/>
    <w:rsid w:val="00A56EC8"/>
    <w:rsid w:val="00A579C5"/>
    <w:rsid w:val="00A57F7F"/>
    <w:rsid w:val="00A60054"/>
    <w:rsid w:val="00A6083C"/>
    <w:rsid w:val="00A6094E"/>
    <w:rsid w:val="00A61610"/>
    <w:rsid w:val="00A6173B"/>
    <w:rsid w:val="00A61D08"/>
    <w:rsid w:val="00A62168"/>
    <w:rsid w:val="00A621BF"/>
    <w:rsid w:val="00A625F5"/>
    <w:rsid w:val="00A62A3F"/>
    <w:rsid w:val="00A62E9C"/>
    <w:rsid w:val="00A62FA3"/>
    <w:rsid w:val="00A62FDE"/>
    <w:rsid w:val="00A62FF9"/>
    <w:rsid w:val="00A6310E"/>
    <w:rsid w:val="00A6331A"/>
    <w:rsid w:val="00A63F2D"/>
    <w:rsid w:val="00A640FD"/>
    <w:rsid w:val="00A6482F"/>
    <w:rsid w:val="00A64D95"/>
    <w:rsid w:val="00A64F69"/>
    <w:rsid w:val="00A65101"/>
    <w:rsid w:val="00A65676"/>
    <w:rsid w:val="00A657BD"/>
    <w:rsid w:val="00A65ED0"/>
    <w:rsid w:val="00A6636D"/>
    <w:rsid w:val="00A66A30"/>
    <w:rsid w:val="00A66A3E"/>
    <w:rsid w:val="00A67187"/>
    <w:rsid w:val="00A67C8C"/>
    <w:rsid w:val="00A67E46"/>
    <w:rsid w:val="00A67F99"/>
    <w:rsid w:val="00A7037C"/>
    <w:rsid w:val="00A70CEA"/>
    <w:rsid w:val="00A71460"/>
    <w:rsid w:val="00A7236D"/>
    <w:rsid w:val="00A723B1"/>
    <w:rsid w:val="00A72601"/>
    <w:rsid w:val="00A726B8"/>
    <w:rsid w:val="00A72D5B"/>
    <w:rsid w:val="00A72F94"/>
    <w:rsid w:val="00A73255"/>
    <w:rsid w:val="00A73354"/>
    <w:rsid w:val="00A736C6"/>
    <w:rsid w:val="00A73E7C"/>
    <w:rsid w:val="00A73EA6"/>
    <w:rsid w:val="00A73FBC"/>
    <w:rsid w:val="00A73FD8"/>
    <w:rsid w:val="00A74B7D"/>
    <w:rsid w:val="00A757F6"/>
    <w:rsid w:val="00A76403"/>
    <w:rsid w:val="00A76608"/>
    <w:rsid w:val="00A7697A"/>
    <w:rsid w:val="00A773B7"/>
    <w:rsid w:val="00A776EB"/>
    <w:rsid w:val="00A7798F"/>
    <w:rsid w:val="00A77EE0"/>
    <w:rsid w:val="00A805ED"/>
    <w:rsid w:val="00A80952"/>
    <w:rsid w:val="00A811C7"/>
    <w:rsid w:val="00A81780"/>
    <w:rsid w:val="00A81835"/>
    <w:rsid w:val="00A81E81"/>
    <w:rsid w:val="00A81F6C"/>
    <w:rsid w:val="00A82AB7"/>
    <w:rsid w:val="00A82C68"/>
    <w:rsid w:val="00A82D51"/>
    <w:rsid w:val="00A82D53"/>
    <w:rsid w:val="00A83586"/>
    <w:rsid w:val="00A836EF"/>
    <w:rsid w:val="00A83A57"/>
    <w:rsid w:val="00A85103"/>
    <w:rsid w:val="00A85126"/>
    <w:rsid w:val="00A852B3"/>
    <w:rsid w:val="00A8536F"/>
    <w:rsid w:val="00A856D8"/>
    <w:rsid w:val="00A85719"/>
    <w:rsid w:val="00A85D82"/>
    <w:rsid w:val="00A862C3"/>
    <w:rsid w:val="00A86484"/>
    <w:rsid w:val="00A86D9C"/>
    <w:rsid w:val="00A86E03"/>
    <w:rsid w:val="00A871D0"/>
    <w:rsid w:val="00A875EF"/>
    <w:rsid w:val="00A8786B"/>
    <w:rsid w:val="00A87A13"/>
    <w:rsid w:val="00A87B0E"/>
    <w:rsid w:val="00A9009E"/>
    <w:rsid w:val="00A90650"/>
    <w:rsid w:val="00A91289"/>
    <w:rsid w:val="00A91D38"/>
    <w:rsid w:val="00A91D6A"/>
    <w:rsid w:val="00A92C95"/>
    <w:rsid w:val="00A9337C"/>
    <w:rsid w:val="00A936D2"/>
    <w:rsid w:val="00A93A49"/>
    <w:rsid w:val="00A93A79"/>
    <w:rsid w:val="00A93BB9"/>
    <w:rsid w:val="00A93F64"/>
    <w:rsid w:val="00A940B9"/>
    <w:rsid w:val="00A94138"/>
    <w:rsid w:val="00A9444B"/>
    <w:rsid w:val="00A945CE"/>
    <w:rsid w:val="00A946B6"/>
    <w:rsid w:val="00A9494E"/>
    <w:rsid w:val="00A951CE"/>
    <w:rsid w:val="00A9562A"/>
    <w:rsid w:val="00A958D0"/>
    <w:rsid w:val="00A96187"/>
    <w:rsid w:val="00A96958"/>
    <w:rsid w:val="00A97456"/>
    <w:rsid w:val="00A9750D"/>
    <w:rsid w:val="00A976D1"/>
    <w:rsid w:val="00A9781B"/>
    <w:rsid w:val="00A97BBD"/>
    <w:rsid w:val="00A97D9E"/>
    <w:rsid w:val="00A97DDA"/>
    <w:rsid w:val="00A97F7A"/>
    <w:rsid w:val="00AA02C2"/>
    <w:rsid w:val="00AA0EC9"/>
    <w:rsid w:val="00AA0FE0"/>
    <w:rsid w:val="00AA106A"/>
    <w:rsid w:val="00AA1468"/>
    <w:rsid w:val="00AA2072"/>
    <w:rsid w:val="00AA2A51"/>
    <w:rsid w:val="00AA2B8B"/>
    <w:rsid w:val="00AA2D37"/>
    <w:rsid w:val="00AA2DB0"/>
    <w:rsid w:val="00AA2DC8"/>
    <w:rsid w:val="00AA2F4A"/>
    <w:rsid w:val="00AA3387"/>
    <w:rsid w:val="00AA3421"/>
    <w:rsid w:val="00AA34D8"/>
    <w:rsid w:val="00AA35D2"/>
    <w:rsid w:val="00AA3C3C"/>
    <w:rsid w:val="00AA3EFB"/>
    <w:rsid w:val="00AA409C"/>
    <w:rsid w:val="00AA4689"/>
    <w:rsid w:val="00AA46BE"/>
    <w:rsid w:val="00AA4AEA"/>
    <w:rsid w:val="00AA5027"/>
    <w:rsid w:val="00AA5958"/>
    <w:rsid w:val="00AA5E8A"/>
    <w:rsid w:val="00AA6035"/>
    <w:rsid w:val="00AA61A7"/>
    <w:rsid w:val="00AA6860"/>
    <w:rsid w:val="00AA6965"/>
    <w:rsid w:val="00AA69CA"/>
    <w:rsid w:val="00AA6BD8"/>
    <w:rsid w:val="00AA711B"/>
    <w:rsid w:val="00AA75D3"/>
    <w:rsid w:val="00AA7869"/>
    <w:rsid w:val="00AA7F0D"/>
    <w:rsid w:val="00AA7FDC"/>
    <w:rsid w:val="00AB0712"/>
    <w:rsid w:val="00AB0B40"/>
    <w:rsid w:val="00AB0C8D"/>
    <w:rsid w:val="00AB11EF"/>
    <w:rsid w:val="00AB12DC"/>
    <w:rsid w:val="00AB1498"/>
    <w:rsid w:val="00AB1969"/>
    <w:rsid w:val="00AB1ADC"/>
    <w:rsid w:val="00AB1B1B"/>
    <w:rsid w:val="00AB1F1A"/>
    <w:rsid w:val="00AB210F"/>
    <w:rsid w:val="00AB219A"/>
    <w:rsid w:val="00AB21C5"/>
    <w:rsid w:val="00AB26DA"/>
    <w:rsid w:val="00AB27AA"/>
    <w:rsid w:val="00AB2939"/>
    <w:rsid w:val="00AB29B6"/>
    <w:rsid w:val="00AB3045"/>
    <w:rsid w:val="00AB327A"/>
    <w:rsid w:val="00AB3A07"/>
    <w:rsid w:val="00AB3CB1"/>
    <w:rsid w:val="00AB426A"/>
    <w:rsid w:val="00AB42AA"/>
    <w:rsid w:val="00AB4994"/>
    <w:rsid w:val="00AB4B3F"/>
    <w:rsid w:val="00AB4CCD"/>
    <w:rsid w:val="00AB5098"/>
    <w:rsid w:val="00AB593C"/>
    <w:rsid w:val="00AB59B4"/>
    <w:rsid w:val="00AB5A69"/>
    <w:rsid w:val="00AB5B51"/>
    <w:rsid w:val="00AB5DEA"/>
    <w:rsid w:val="00AB5F21"/>
    <w:rsid w:val="00AB5FD9"/>
    <w:rsid w:val="00AB6392"/>
    <w:rsid w:val="00AB6419"/>
    <w:rsid w:val="00AB65AE"/>
    <w:rsid w:val="00AB65FC"/>
    <w:rsid w:val="00AB6761"/>
    <w:rsid w:val="00AB6951"/>
    <w:rsid w:val="00AB6B19"/>
    <w:rsid w:val="00AB6D89"/>
    <w:rsid w:val="00AB6F00"/>
    <w:rsid w:val="00AB703A"/>
    <w:rsid w:val="00AB7F41"/>
    <w:rsid w:val="00AC00E7"/>
    <w:rsid w:val="00AC03DF"/>
    <w:rsid w:val="00AC0773"/>
    <w:rsid w:val="00AC09C7"/>
    <w:rsid w:val="00AC0D22"/>
    <w:rsid w:val="00AC0E07"/>
    <w:rsid w:val="00AC1494"/>
    <w:rsid w:val="00AC1C71"/>
    <w:rsid w:val="00AC1E73"/>
    <w:rsid w:val="00AC1ECB"/>
    <w:rsid w:val="00AC1FC4"/>
    <w:rsid w:val="00AC218E"/>
    <w:rsid w:val="00AC249E"/>
    <w:rsid w:val="00AC26DB"/>
    <w:rsid w:val="00AC2B2E"/>
    <w:rsid w:val="00AC3370"/>
    <w:rsid w:val="00AC3417"/>
    <w:rsid w:val="00AC36F7"/>
    <w:rsid w:val="00AC3AAF"/>
    <w:rsid w:val="00AC3B32"/>
    <w:rsid w:val="00AC3E66"/>
    <w:rsid w:val="00AC3F1A"/>
    <w:rsid w:val="00AC411A"/>
    <w:rsid w:val="00AC423B"/>
    <w:rsid w:val="00AC4263"/>
    <w:rsid w:val="00AC45D8"/>
    <w:rsid w:val="00AC4884"/>
    <w:rsid w:val="00AC494F"/>
    <w:rsid w:val="00AC4B26"/>
    <w:rsid w:val="00AC4B46"/>
    <w:rsid w:val="00AC4C17"/>
    <w:rsid w:val="00AC50D5"/>
    <w:rsid w:val="00AC512B"/>
    <w:rsid w:val="00AC58D6"/>
    <w:rsid w:val="00AC59E1"/>
    <w:rsid w:val="00AC5A51"/>
    <w:rsid w:val="00AC5D3A"/>
    <w:rsid w:val="00AC5ECB"/>
    <w:rsid w:val="00AC6A0A"/>
    <w:rsid w:val="00AC6B52"/>
    <w:rsid w:val="00AC6D9A"/>
    <w:rsid w:val="00AC6F46"/>
    <w:rsid w:val="00AC7248"/>
    <w:rsid w:val="00AC73A9"/>
    <w:rsid w:val="00AD01A5"/>
    <w:rsid w:val="00AD02ED"/>
    <w:rsid w:val="00AD0394"/>
    <w:rsid w:val="00AD042C"/>
    <w:rsid w:val="00AD06C5"/>
    <w:rsid w:val="00AD183D"/>
    <w:rsid w:val="00AD18E2"/>
    <w:rsid w:val="00AD196D"/>
    <w:rsid w:val="00AD2284"/>
    <w:rsid w:val="00AD239F"/>
    <w:rsid w:val="00AD2501"/>
    <w:rsid w:val="00AD29E6"/>
    <w:rsid w:val="00AD2B09"/>
    <w:rsid w:val="00AD2F70"/>
    <w:rsid w:val="00AD33BA"/>
    <w:rsid w:val="00AD3DEF"/>
    <w:rsid w:val="00AD417D"/>
    <w:rsid w:val="00AD41FD"/>
    <w:rsid w:val="00AD435F"/>
    <w:rsid w:val="00AD4BA3"/>
    <w:rsid w:val="00AD4C96"/>
    <w:rsid w:val="00AD4D0D"/>
    <w:rsid w:val="00AD4D86"/>
    <w:rsid w:val="00AD55E1"/>
    <w:rsid w:val="00AD5BCE"/>
    <w:rsid w:val="00AD5C2D"/>
    <w:rsid w:val="00AD5CFC"/>
    <w:rsid w:val="00AD601F"/>
    <w:rsid w:val="00AD6EAB"/>
    <w:rsid w:val="00AD788E"/>
    <w:rsid w:val="00AD7A68"/>
    <w:rsid w:val="00AD7BBF"/>
    <w:rsid w:val="00AE01A1"/>
    <w:rsid w:val="00AE0224"/>
    <w:rsid w:val="00AE071A"/>
    <w:rsid w:val="00AE072C"/>
    <w:rsid w:val="00AE095F"/>
    <w:rsid w:val="00AE1319"/>
    <w:rsid w:val="00AE139D"/>
    <w:rsid w:val="00AE1655"/>
    <w:rsid w:val="00AE1890"/>
    <w:rsid w:val="00AE1CA3"/>
    <w:rsid w:val="00AE1F32"/>
    <w:rsid w:val="00AE2070"/>
    <w:rsid w:val="00AE22C8"/>
    <w:rsid w:val="00AE2507"/>
    <w:rsid w:val="00AE26C4"/>
    <w:rsid w:val="00AE27BC"/>
    <w:rsid w:val="00AE2978"/>
    <w:rsid w:val="00AE2F6F"/>
    <w:rsid w:val="00AE322C"/>
    <w:rsid w:val="00AE33C9"/>
    <w:rsid w:val="00AE36B4"/>
    <w:rsid w:val="00AE36E9"/>
    <w:rsid w:val="00AE3B8B"/>
    <w:rsid w:val="00AE40FC"/>
    <w:rsid w:val="00AE42E8"/>
    <w:rsid w:val="00AE5159"/>
    <w:rsid w:val="00AE5169"/>
    <w:rsid w:val="00AE606F"/>
    <w:rsid w:val="00AE6178"/>
    <w:rsid w:val="00AE684F"/>
    <w:rsid w:val="00AE6C58"/>
    <w:rsid w:val="00AE6D27"/>
    <w:rsid w:val="00AE6DC2"/>
    <w:rsid w:val="00AE6DCB"/>
    <w:rsid w:val="00AE6E86"/>
    <w:rsid w:val="00AE6FBE"/>
    <w:rsid w:val="00AE7017"/>
    <w:rsid w:val="00AE7158"/>
    <w:rsid w:val="00AE715D"/>
    <w:rsid w:val="00AE7716"/>
    <w:rsid w:val="00AE7817"/>
    <w:rsid w:val="00AE7B30"/>
    <w:rsid w:val="00AF001C"/>
    <w:rsid w:val="00AF0553"/>
    <w:rsid w:val="00AF0631"/>
    <w:rsid w:val="00AF06FE"/>
    <w:rsid w:val="00AF0772"/>
    <w:rsid w:val="00AF081A"/>
    <w:rsid w:val="00AF0C02"/>
    <w:rsid w:val="00AF0D4B"/>
    <w:rsid w:val="00AF1291"/>
    <w:rsid w:val="00AF1401"/>
    <w:rsid w:val="00AF1FD0"/>
    <w:rsid w:val="00AF265A"/>
    <w:rsid w:val="00AF295B"/>
    <w:rsid w:val="00AF2DFF"/>
    <w:rsid w:val="00AF2F3D"/>
    <w:rsid w:val="00AF35F9"/>
    <w:rsid w:val="00AF36F6"/>
    <w:rsid w:val="00AF3977"/>
    <w:rsid w:val="00AF3CDA"/>
    <w:rsid w:val="00AF3DF1"/>
    <w:rsid w:val="00AF443D"/>
    <w:rsid w:val="00AF48BB"/>
    <w:rsid w:val="00AF4A3E"/>
    <w:rsid w:val="00AF4CD6"/>
    <w:rsid w:val="00AF4D5D"/>
    <w:rsid w:val="00AF4D62"/>
    <w:rsid w:val="00AF503E"/>
    <w:rsid w:val="00AF5070"/>
    <w:rsid w:val="00AF5780"/>
    <w:rsid w:val="00AF5AA8"/>
    <w:rsid w:val="00AF5B43"/>
    <w:rsid w:val="00AF61E9"/>
    <w:rsid w:val="00AF67A1"/>
    <w:rsid w:val="00AF6979"/>
    <w:rsid w:val="00AF698F"/>
    <w:rsid w:val="00AF6B7B"/>
    <w:rsid w:val="00AF6CE7"/>
    <w:rsid w:val="00AF7426"/>
    <w:rsid w:val="00AF7738"/>
    <w:rsid w:val="00AF774F"/>
    <w:rsid w:val="00AF7BEA"/>
    <w:rsid w:val="00AF7DD6"/>
    <w:rsid w:val="00AF7E73"/>
    <w:rsid w:val="00B00124"/>
    <w:rsid w:val="00B001E2"/>
    <w:rsid w:val="00B0021B"/>
    <w:rsid w:val="00B004F1"/>
    <w:rsid w:val="00B00851"/>
    <w:rsid w:val="00B00929"/>
    <w:rsid w:val="00B00C97"/>
    <w:rsid w:val="00B00D15"/>
    <w:rsid w:val="00B00D42"/>
    <w:rsid w:val="00B00E33"/>
    <w:rsid w:val="00B00E78"/>
    <w:rsid w:val="00B0107C"/>
    <w:rsid w:val="00B015AF"/>
    <w:rsid w:val="00B0175D"/>
    <w:rsid w:val="00B01C40"/>
    <w:rsid w:val="00B024E1"/>
    <w:rsid w:val="00B02830"/>
    <w:rsid w:val="00B028E7"/>
    <w:rsid w:val="00B02ACE"/>
    <w:rsid w:val="00B030B0"/>
    <w:rsid w:val="00B03528"/>
    <w:rsid w:val="00B036B3"/>
    <w:rsid w:val="00B038D1"/>
    <w:rsid w:val="00B0397B"/>
    <w:rsid w:val="00B03FB5"/>
    <w:rsid w:val="00B04130"/>
    <w:rsid w:val="00B0425A"/>
    <w:rsid w:val="00B04351"/>
    <w:rsid w:val="00B0439B"/>
    <w:rsid w:val="00B044F0"/>
    <w:rsid w:val="00B04647"/>
    <w:rsid w:val="00B047AA"/>
    <w:rsid w:val="00B04A24"/>
    <w:rsid w:val="00B04AF8"/>
    <w:rsid w:val="00B04BC6"/>
    <w:rsid w:val="00B04CC3"/>
    <w:rsid w:val="00B04D37"/>
    <w:rsid w:val="00B05281"/>
    <w:rsid w:val="00B053DE"/>
    <w:rsid w:val="00B05B0B"/>
    <w:rsid w:val="00B0606F"/>
    <w:rsid w:val="00B06337"/>
    <w:rsid w:val="00B064D5"/>
    <w:rsid w:val="00B0682F"/>
    <w:rsid w:val="00B068CA"/>
    <w:rsid w:val="00B068EC"/>
    <w:rsid w:val="00B069B6"/>
    <w:rsid w:val="00B069CF"/>
    <w:rsid w:val="00B06D16"/>
    <w:rsid w:val="00B06DCE"/>
    <w:rsid w:val="00B07079"/>
    <w:rsid w:val="00B07308"/>
    <w:rsid w:val="00B076A7"/>
    <w:rsid w:val="00B07E16"/>
    <w:rsid w:val="00B07ED7"/>
    <w:rsid w:val="00B101E4"/>
    <w:rsid w:val="00B104C9"/>
    <w:rsid w:val="00B10704"/>
    <w:rsid w:val="00B10B2E"/>
    <w:rsid w:val="00B10E9A"/>
    <w:rsid w:val="00B11003"/>
    <w:rsid w:val="00B1131A"/>
    <w:rsid w:val="00B113BA"/>
    <w:rsid w:val="00B1169E"/>
    <w:rsid w:val="00B11A46"/>
    <w:rsid w:val="00B1235F"/>
    <w:rsid w:val="00B1245D"/>
    <w:rsid w:val="00B127C0"/>
    <w:rsid w:val="00B12B2D"/>
    <w:rsid w:val="00B12C35"/>
    <w:rsid w:val="00B13732"/>
    <w:rsid w:val="00B13C3F"/>
    <w:rsid w:val="00B13DA6"/>
    <w:rsid w:val="00B13DE8"/>
    <w:rsid w:val="00B14202"/>
    <w:rsid w:val="00B1574A"/>
    <w:rsid w:val="00B15763"/>
    <w:rsid w:val="00B158EF"/>
    <w:rsid w:val="00B15DDD"/>
    <w:rsid w:val="00B16002"/>
    <w:rsid w:val="00B16B49"/>
    <w:rsid w:val="00B16D4A"/>
    <w:rsid w:val="00B16E14"/>
    <w:rsid w:val="00B17011"/>
    <w:rsid w:val="00B1719B"/>
    <w:rsid w:val="00B171C7"/>
    <w:rsid w:val="00B17672"/>
    <w:rsid w:val="00B17B00"/>
    <w:rsid w:val="00B17ED7"/>
    <w:rsid w:val="00B17F82"/>
    <w:rsid w:val="00B2118D"/>
    <w:rsid w:val="00B2139C"/>
    <w:rsid w:val="00B21BB1"/>
    <w:rsid w:val="00B21F8E"/>
    <w:rsid w:val="00B21FD8"/>
    <w:rsid w:val="00B220E5"/>
    <w:rsid w:val="00B22526"/>
    <w:rsid w:val="00B22579"/>
    <w:rsid w:val="00B22880"/>
    <w:rsid w:val="00B22B6F"/>
    <w:rsid w:val="00B22F3C"/>
    <w:rsid w:val="00B230C7"/>
    <w:rsid w:val="00B23168"/>
    <w:rsid w:val="00B23380"/>
    <w:rsid w:val="00B23462"/>
    <w:rsid w:val="00B23593"/>
    <w:rsid w:val="00B23980"/>
    <w:rsid w:val="00B23CEE"/>
    <w:rsid w:val="00B23F96"/>
    <w:rsid w:val="00B24049"/>
    <w:rsid w:val="00B2404C"/>
    <w:rsid w:val="00B240B5"/>
    <w:rsid w:val="00B246D5"/>
    <w:rsid w:val="00B24AE1"/>
    <w:rsid w:val="00B25134"/>
    <w:rsid w:val="00B25326"/>
    <w:rsid w:val="00B25434"/>
    <w:rsid w:val="00B255F0"/>
    <w:rsid w:val="00B256DA"/>
    <w:rsid w:val="00B25770"/>
    <w:rsid w:val="00B2590B"/>
    <w:rsid w:val="00B26140"/>
    <w:rsid w:val="00B26FDA"/>
    <w:rsid w:val="00B27627"/>
    <w:rsid w:val="00B3003E"/>
    <w:rsid w:val="00B30725"/>
    <w:rsid w:val="00B30732"/>
    <w:rsid w:val="00B3084C"/>
    <w:rsid w:val="00B3091D"/>
    <w:rsid w:val="00B30F49"/>
    <w:rsid w:val="00B310B5"/>
    <w:rsid w:val="00B3121B"/>
    <w:rsid w:val="00B319D2"/>
    <w:rsid w:val="00B31DF7"/>
    <w:rsid w:val="00B3221A"/>
    <w:rsid w:val="00B32395"/>
    <w:rsid w:val="00B3268F"/>
    <w:rsid w:val="00B32BF5"/>
    <w:rsid w:val="00B32C71"/>
    <w:rsid w:val="00B32CC3"/>
    <w:rsid w:val="00B3359B"/>
    <w:rsid w:val="00B33717"/>
    <w:rsid w:val="00B33766"/>
    <w:rsid w:val="00B3424F"/>
    <w:rsid w:val="00B344AF"/>
    <w:rsid w:val="00B3480B"/>
    <w:rsid w:val="00B34E33"/>
    <w:rsid w:val="00B34E4F"/>
    <w:rsid w:val="00B350CF"/>
    <w:rsid w:val="00B35587"/>
    <w:rsid w:val="00B355B8"/>
    <w:rsid w:val="00B356C7"/>
    <w:rsid w:val="00B36533"/>
    <w:rsid w:val="00B367C9"/>
    <w:rsid w:val="00B368CE"/>
    <w:rsid w:val="00B36DAD"/>
    <w:rsid w:val="00B36FA6"/>
    <w:rsid w:val="00B370E4"/>
    <w:rsid w:val="00B3717B"/>
    <w:rsid w:val="00B37193"/>
    <w:rsid w:val="00B37403"/>
    <w:rsid w:val="00B37E0D"/>
    <w:rsid w:val="00B407DF"/>
    <w:rsid w:val="00B40A90"/>
    <w:rsid w:val="00B40B06"/>
    <w:rsid w:val="00B41138"/>
    <w:rsid w:val="00B4121D"/>
    <w:rsid w:val="00B4195A"/>
    <w:rsid w:val="00B41CC9"/>
    <w:rsid w:val="00B41CE3"/>
    <w:rsid w:val="00B41DF7"/>
    <w:rsid w:val="00B42300"/>
    <w:rsid w:val="00B424F1"/>
    <w:rsid w:val="00B425A7"/>
    <w:rsid w:val="00B425E2"/>
    <w:rsid w:val="00B42B2D"/>
    <w:rsid w:val="00B42C1C"/>
    <w:rsid w:val="00B42CA6"/>
    <w:rsid w:val="00B42D69"/>
    <w:rsid w:val="00B437E4"/>
    <w:rsid w:val="00B43936"/>
    <w:rsid w:val="00B439E8"/>
    <w:rsid w:val="00B4436D"/>
    <w:rsid w:val="00B4457E"/>
    <w:rsid w:val="00B44BDA"/>
    <w:rsid w:val="00B44E57"/>
    <w:rsid w:val="00B4524C"/>
    <w:rsid w:val="00B45687"/>
    <w:rsid w:val="00B45D35"/>
    <w:rsid w:val="00B45F36"/>
    <w:rsid w:val="00B45F37"/>
    <w:rsid w:val="00B45F90"/>
    <w:rsid w:val="00B465C3"/>
    <w:rsid w:val="00B46CA0"/>
    <w:rsid w:val="00B46DF5"/>
    <w:rsid w:val="00B4728A"/>
    <w:rsid w:val="00B473DA"/>
    <w:rsid w:val="00B47443"/>
    <w:rsid w:val="00B47456"/>
    <w:rsid w:val="00B475A4"/>
    <w:rsid w:val="00B476FC"/>
    <w:rsid w:val="00B47D67"/>
    <w:rsid w:val="00B47E2D"/>
    <w:rsid w:val="00B50216"/>
    <w:rsid w:val="00B5068F"/>
    <w:rsid w:val="00B50723"/>
    <w:rsid w:val="00B5092E"/>
    <w:rsid w:val="00B50C77"/>
    <w:rsid w:val="00B51017"/>
    <w:rsid w:val="00B51052"/>
    <w:rsid w:val="00B51369"/>
    <w:rsid w:val="00B5137B"/>
    <w:rsid w:val="00B51775"/>
    <w:rsid w:val="00B51834"/>
    <w:rsid w:val="00B51B8F"/>
    <w:rsid w:val="00B51DA9"/>
    <w:rsid w:val="00B51E2D"/>
    <w:rsid w:val="00B51EE2"/>
    <w:rsid w:val="00B521A6"/>
    <w:rsid w:val="00B525C3"/>
    <w:rsid w:val="00B52693"/>
    <w:rsid w:val="00B52711"/>
    <w:rsid w:val="00B52890"/>
    <w:rsid w:val="00B529A8"/>
    <w:rsid w:val="00B53285"/>
    <w:rsid w:val="00B532AD"/>
    <w:rsid w:val="00B5367F"/>
    <w:rsid w:val="00B5377A"/>
    <w:rsid w:val="00B53D15"/>
    <w:rsid w:val="00B540B1"/>
    <w:rsid w:val="00B543B2"/>
    <w:rsid w:val="00B5456C"/>
    <w:rsid w:val="00B54B84"/>
    <w:rsid w:val="00B54CBA"/>
    <w:rsid w:val="00B55183"/>
    <w:rsid w:val="00B55505"/>
    <w:rsid w:val="00B55BD6"/>
    <w:rsid w:val="00B55C4D"/>
    <w:rsid w:val="00B56046"/>
    <w:rsid w:val="00B56731"/>
    <w:rsid w:val="00B568B2"/>
    <w:rsid w:val="00B56908"/>
    <w:rsid w:val="00B57609"/>
    <w:rsid w:val="00B576EE"/>
    <w:rsid w:val="00B579BA"/>
    <w:rsid w:val="00B57B2D"/>
    <w:rsid w:val="00B600EE"/>
    <w:rsid w:val="00B6010F"/>
    <w:rsid w:val="00B60597"/>
    <w:rsid w:val="00B60C53"/>
    <w:rsid w:val="00B6171D"/>
    <w:rsid w:val="00B61AD7"/>
    <w:rsid w:val="00B61BF5"/>
    <w:rsid w:val="00B61EE8"/>
    <w:rsid w:val="00B621E7"/>
    <w:rsid w:val="00B62548"/>
    <w:rsid w:val="00B626FD"/>
    <w:rsid w:val="00B6293E"/>
    <w:rsid w:val="00B62A02"/>
    <w:rsid w:val="00B62B8D"/>
    <w:rsid w:val="00B62B9E"/>
    <w:rsid w:val="00B630CC"/>
    <w:rsid w:val="00B637C3"/>
    <w:rsid w:val="00B64198"/>
    <w:rsid w:val="00B6455E"/>
    <w:rsid w:val="00B645CF"/>
    <w:rsid w:val="00B64A17"/>
    <w:rsid w:val="00B64B09"/>
    <w:rsid w:val="00B64C92"/>
    <w:rsid w:val="00B65033"/>
    <w:rsid w:val="00B654F4"/>
    <w:rsid w:val="00B65573"/>
    <w:rsid w:val="00B65839"/>
    <w:rsid w:val="00B65F2C"/>
    <w:rsid w:val="00B6690B"/>
    <w:rsid w:val="00B66A66"/>
    <w:rsid w:val="00B66B32"/>
    <w:rsid w:val="00B66DC2"/>
    <w:rsid w:val="00B66F31"/>
    <w:rsid w:val="00B67104"/>
    <w:rsid w:val="00B671A7"/>
    <w:rsid w:val="00B67585"/>
    <w:rsid w:val="00B67B7D"/>
    <w:rsid w:val="00B67DED"/>
    <w:rsid w:val="00B70045"/>
    <w:rsid w:val="00B70430"/>
    <w:rsid w:val="00B704BA"/>
    <w:rsid w:val="00B7069F"/>
    <w:rsid w:val="00B707FD"/>
    <w:rsid w:val="00B709A4"/>
    <w:rsid w:val="00B70DD3"/>
    <w:rsid w:val="00B70EB1"/>
    <w:rsid w:val="00B70F53"/>
    <w:rsid w:val="00B71221"/>
    <w:rsid w:val="00B71CCD"/>
    <w:rsid w:val="00B71DA3"/>
    <w:rsid w:val="00B71ED7"/>
    <w:rsid w:val="00B72366"/>
    <w:rsid w:val="00B725A4"/>
    <w:rsid w:val="00B72905"/>
    <w:rsid w:val="00B72CB3"/>
    <w:rsid w:val="00B72D6E"/>
    <w:rsid w:val="00B72DE4"/>
    <w:rsid w:val="00B72FD1"/>
    <w:rsid w:val="00B73288"/>
    <w:rsid w:val="00B738C2"/>
    <w:rsid w:val="00B73C52"/>
    <w:rsid w:val="00B73C6E"/>
    <w:rsid w:val="00B73E99"/>
    <w:rsid w:val="00B73EEA"/>
    <w:rsid w:val="00B741E4"/>
    <w:rsid w:val="00B745AC"/>
    <w:rsid w:val="00B74741"/>
    <w:rsid w:val="00B7490D"/>
    <w:rsid w:val="00B74DF5"/>
    <w:rsid w:val="00B7555E"/>
    <w:rsid w:val="00B75BAD"/>
    <w:rsid w:val="00B75CC1"/>
    <w:rsid w:val="00B75D7F"/>
    <w:rsid w:val="00B75D9C"/>
    <w:rsid w:val="00B75E14"/>
    <w:rsid w:val="00B76033"/>
    <w:rsid w:val="00B760A6"/>
    <w:rsid w:val="00B76253"/>
    <w:rsid w:val="00B762B9"/>
    <w:rsid w:val="00B76304"/>
    <w:rsid w:val="00B7638B"/>
    <w:rsid w:val="00B7678D"/>
    <w:rsid w:val="00B76B59"/>
    <w:rsid w:val="00B76C45"/>
    <w:rsid w:val="00B76D82"/>
    <w:rsid w:val="00B76E7B"/>
    <w:rsid w:val="00B770E0"/>
    <w:rsid w:val="00B77565"/>
    <w:rsid w:val="00B7798C"/>
    <w:rsid w:val="00B77CBD"/>
    <w:rsid w:val="00B77F91"/>
    <w:rsid w:val="00B77FA4"/>
    <w:rsid w:val="00B80563"/>
    <w:rsid w:val="00B80993"/>
    <w:rsid w:val="00B809F5"/>
    <w:rsid w:val="00B80B3A"/>
    <w:rsid w:val="00B80CE2"/>
    <w:rsid w:val="00B80D17"/>
    <w:rsid w:val="00B81419"/>
    <w:rsid w:val="00B815D1"/>
    <w:rsid w:val="00B815FA"/>
    <w:rsid w:val="00B81646"/>
    <w:rsid w:val="00B81A24"/>
    <w:rsid w:val="00B81F14"/>
    <w:rsid w:val="00B8259E"/>
    <w:rsid w:val="00B82750"/>
    <w:rsid w:val="00B82756"/>
    <w:rsid w:val="00B82A02"/>
    <w:rsid w:val="00B82CD8"/>
    <w:rsid w:val="00B837A4"/>
    <w:rsid w:val="00B83A45"/>
    <w:rsid w:val="00B83C39"/>
    <w:rsid w:val="00B8410E"/>
    <w:rsid w:val="00B84842"/>
    <w:rsid w:val="00B8492C"/>
    <w:rsid w:val="00B84CB5"/>
    <w:rsid w:val="00B84F04"/>
    <w:rsid w:val="00B85570"/>
    <w:rsid w:val="00B857D2"/>
    <w:rsid w:val="00B85C6A"/>
    <w:rsid w:val="00B86930"/>
    <w:rsid w:val="00B86C52"/>
    <w:rsid w:val="00B86FAD"/>
    <w:rsid w:val="00B8701C"/>
    <w:rsid w:val="00B87CA7"/>
    <w:rsid w:val="00B904DA"/>
    <w:rsid w:val="00B90850"/>
    <w:rsid w:val="00B90FEC"/>
    <w:rsid w:val="00B9107E"/>
    <w:rsid w:val="00B912DD"/>
    <w:rsid w:val="00B918E8"/>
    <w:rsid w:val="00B91A33"/>
    <w:rsid w:val="00B91DE9"/>
    <w:rsid w:val="00B921BE"/>
    <w:rsid w:val="00B924F8"/>
    <w:rsid w:val="00B928AA"/>
    <w:rsid w:val="00B92D93"/>
    <w:rsid w:val="00B92D95"/>
    <w:rsid w:val="00B92E75"/>
    <w:rsid w:val="00B93037"/>
    <w:rsid w:val="00B930E8"/>
    <w:rsid w:val="00B93239"/>
    <w:rsid w:val="00B93500"/>
    <w:rsid w:val="00B93662"/>
    <w:rsid w:val="00B93672"/>
    <w:rsid w:val="00B937AD"/>
    <w:rsid w:val="00B93A6B"/>
    <w:rsid w:val="00B93AF0"/>
    <w:rsid w:val="00B93DA6"/>
    <w:rsid w:val="00B93E34"/>
    <w:rsid w:val="00B940B1"/>
    <w:rsid w:val="00B9421C"/>
    <w:rsid w:val="00B94807"/>
    <w:rsid w:val="00B948C0"/>
    <w:rsid w:val="00B948EC"/>
    <w:rsid w:val="00B94D76"/>
    <w:rsid w:val="00B9535B"/>
    <w:rsid w:val="00B9581B"/>
    <w:rsid w:val="00B9593B"/>
    <w:rsid w:val="00B95987"/>
    <w:rsid w:val="00B95E96"/>
    <w:rsid w:val="00B9677B"/>
    <w:rsid w:val="00B96900"/>
    <w:rsid w:val="00B96F10"/>
    <w:rsid w:val="00B97128"/>
    <w:rsid w:val="00B9730F"/>
    <w:rsid w:val="00B973DB"/>
    <w:rsid w:val="00B9767F"/>
    <w:rsid w:val="00B9790B"/>
    <w:rsid w:val="00B97BD8"/>
    <w:rsid w:val="00BA03F4"/>
    <w:rsid w:val="00BA05F3"/>
    <w:rsid w:val="00BA0E4D"/>
    <w:rsid w:val="00BA1028"/>
    <w:rsid w:val="00BA11BF"/>
    <w:rsid w:val="00BA1782"/>
    <w:rsid w:val="00BA1901"/>
    <w:rsid w:val="00BA197A"/>
    <w:rsid w:val="00BA1A55"/>
    <w:rsid w:val="00BA1CEA"/>
    <w:rsid w:val="00BA1D77"/>
    <w:rsid w:val="00BA1D88"/>
    <w:rsid w:val="00BA2478"/>
    <w:rsid w:val="00BA2582"/>
    <w:rsid w:val="00BA2A46"/>
    <w:rsid w:val="00BA2B7C"/>
    <w:rsid w:val="00BA2ECD"/>
    <w:rsid w:val="00BA3150"/>
    <w:rsid w:val="00BA3881"/>
    <w:rsid w:val="00BA3F50"/>
    <w:rsid w:val="00BA43BC"/>
    <w:rsid w:val="00BA49B1"/>
    <w:rsid w:val="00BA50F5"/>
    <w:rsid w:val="00BA5197"/>
    <w:rsid w:val="00BA5825"/>
    <w:rsid w:val="00BA584F"/>
    <w:rsid w:val="00BA5EBD"/>
    <w:rsid w:val="00BA5F6B"/>
    <w:rsid w:val="00BA602E"/>
    <w:rsid w:val="00BA725A"/>
    <w:rsid w:val="00BA7349"/>
    <w:rsid w:val="00BA7791"/>
    <w:rsid w:val="00BA7F2A"/>
    <w:rsid w:val="00BB0D10"/>
    <w:rsid w:val="00BB0DF0"/>
    <w:rsid w:val="00BB1198"/>
    <w:rsid w:val="00BB13A8"/>
    <w:rsid w:val="00BB145B"/>
    <w:rsid w:val="00BB1805"/>
    <w:rsid w:val="00BB1D1F"/>
    <w:rsid w:val="00BB1E32"/>
    <w:rsid w:val="00BB1FFD"/>
    <w:rsid w:val="00BB2406"/>
    <w:rsid w:val="00BB2604"/>
    <w:rsid w:val="00BB2783"/>
    <w:rsid w:val="00BB2BB8"/>
    <w:rsid w:val="00BB2FD3"/>
    <w:rsid w:val="00BB33B5"/>
    <w:rsid w:val="00BB340D"/>
    <w:rsid w:val="00BB37EB"/>
    <w:rsid w:val="00BB3C7A"/>
    <w:rsid w:val="00BB42F1"/>
    <w:rsid w:val="00BB4451"/>
    <w:rsid w:val="00BB446B"/>
    <w:rsid w:val="00BB4945"/>
    <w:rsid w:val="00BB4BEE"/>
    <w:rsid w:val="00BB53E7"/>
    <w:rsid w:val="00BB558D"/>
    <w:rsid w:val="00BB5648"/>
    <w:rsid w:val="00BB5919"/>
    <w:rsid w:val="00BB59B5"/>
    <w:rsid w:val="00BB59BA"/>
    <w:rsid w:val="00BB5E28"/>
    <w:rsid w:val="00BB5F1C"/>
    <w:rsid w:val="00BB619D"/>
    <w:rsid w:val="00BB67D0"/>
    <w:rsid w:val="00BB6A97"/>
    <w:rsid w:val="00BB6D62"/>
    <w:rsid w:val="00BB73CF"/>
    <w:rsid w:val="00BB7997"/>
    <w:rsid w:val="00BB79FB"/>
    <w:rsid w:val="00BB7C29"/>
    <w:rsid w:val="00BB7DEC"/>
    <w:rsid w:val="00BB7F73"/>
    <w:rsid w:val="00BC026D"/>
    <w:rsid w:val="00BC02AD"/>
    <w:rsid w:val="00BC0457"/>
    <w:rsid w:val="00BC0794"/>
    <w:rsid w:val="00BC0B0E"/>
    <w:rsid w:val="00BC0C6D"/>
    <w:rsid w:val="00BC0F65"/>
    <w:rsid w:val="00BC120B"/>
    <w:rsid w:val="00BC13F0"/>
    <w:rsid w:val="00BC1D4C"/>
    <w:rsid w:val="00BC1EA5"/>
    <w:rsid w:val="00BC2415"/>
    <w:rsid w:val="00BC27B9"/>
    <w:rsid w:val="00BC285F"/>
    <w:rsid w:val="00BC2D02"/>
    <w:rsid w:val="00BC32D7"/>
    <w:rsid w:val="00BC3786"/>
    <w:rsid w:val="00BC3D0D"/>
    <w:rsid w:val="00BC4518"/>
    <w:rsid w:val="00BC476C"/>
    <w:rsid w:val="00BC4A92"/>
    <w:rsid w:val="00BC562B"/>
    <w:rsid w:val="00BC56C9"/>
    <w:rsid w:val="00BC58C1"/>
    <w:rsid w:val="00BC5D23"/>
    <w:rsid w:val="00BC5D82"/>
    <w:rsid w:val="00BC5F9C"/>
    <w:rsid w:val="00BC645B"/>
    <w:rsid w:val="00BC6793"/>
    <w:rsid w:val="00BC70CE"/>
    <w:rsid w:val="00BC723F"/>
    <w:rsid w:val="00BC7A6B"/>
    <w:rsid w:val="00BC7FCD"/>
    <w:rsid w:val="00BD02F8"/>
    <w:rsid w:val="00BD03CB"/>
    <w:rsid w:val="00BD0781"/>
    <w:rsid w:val="00BD08E5"/>
    <w:rsid w:val="00BD1016"/>
    <w:rsid w:val="00BD1021"/>
    <w:rsid w:val="00BD11D5"/>
    <w:rsid w:val="00BD142B"/>
    <w:rsid w:val="00BD174E"/>
    <w:rsid w:val="00BD190B"/>
    <w:rsid w:val="00BD20C0"/>
    <w:rsid w:val="00BD21A2"/>
    <w:rsid w:val="00BD22DD"/>
    <w:rsid w:val="00BD2761"/>
    <w:rsid w:val="00BD2FF3"/>
    <w:rsid w:val="00BD302B"/>
    <w:rsid w:val="00BD3713"/>
    <w:rsid w:val="00BD3974"/>
    <w:rsid w:val="00BD3BC4"/>
    <w:rsid w:val="00BD3F4D"/>
    <w:rsid w:val="00BD3F9D"/>
    <w:rsid w:val="00BD4214"/>
    <w:rsid w:val="00BD43C9"/>
    <w:rsid w:val="00BD472D"/>
    <w:rsid w:val="00BD5012"/>
    <w:rsid w:val="00BD5105"/>
    <w:rsid w:val="00BD5666"/>
    <w:rsid w:val="00BD5A2F"/>
    <w:rsid w:val="00BD5E72"/>
    <w:rsid w:val="00BD6178"/>
    <w:rsid w:val="00BD6230"/>
    <w:rsid w:val="00BD67D2"/>
    <w:rsid w:val="00BD6840"/>
    <w:rsid w:val="00BD6AF9"/>
    <w:rsid w:val="00BD6BC8"/>
    <w:rsid w:val="00BD7814"/>
    <w:rsid w:val="00BD79AD"/>
    <w:rsid w:val="00BD7A42"/>
    <w:rsid w:val="00BD7B0B"/>
    <w:rsid w:val="00BD7D9C"/>
    <w:rsid w:val="00BE0468"/>
    <w:rsid w:val="00BE08EC"/>
    <w:rsid w:val="00BE12C8"/>
    <w:rsid w:val="00BE13FE"/>
    <w:rsid w:val="00BE1474"/>
    <w:rsid w:val="00BE165C"/>
    <w:rsid w:val="00BE1A99"/>
    <w:rsid w:val="00BE1AEA"/>
    <w:rsid w:val="00BE1B35"/>
    <w:rsid w:val="00BE295E"/>
    <w:rsid w:val="00BE2A71"/>
    <w:rsid w:val="00BE2D0A"/>
    <w:rsid w:val="00BE2E3F"/>
    <w:rsid w:val="00BE3523"/>
    <w:rsid w:val="00BE35FB"/>
    <w:rsid w:val="00BE3A2F"/>
    <w:rsid w:val="00BE3CB6"/>
    <w:rsid w:val="00BE40BD"/>
    <w:rsid w:val="00BE432D"/>
    <w:rsid w:val="00BE4850"/>
    <w:rsid w:val="00BE4B18"/>
    <w:rsid w:val="00BE4D6A"/>
    <w:rsid w:val="00BE5219"/>
    <w:rsid w:val="00BE53FF"/>
    <w:rsid w:val="00BE5721"/>
    <w:rsid w:val="00BE57B4"/>
    <w:rsid w:val="00BE5A27"/>
    <w:rsid w:val="00BE6163"/>
    <w:rsid w:val="00BE62DA"/>
    <w:rsid w:val="00BE63E0"/>
    <w:rsid w:val="00BE70E0"/>
    <w:rsid w:val="00BE7138"/>
    <w:rsid w:val="00BE726A"/>
    <w:rsid w:val="00BE75F0"/>
    <w:rsid w:val="00BE7688"/>
    <w:rsid w:val="00BE7A35"/>
    <w:rsid w:val="00BE7F00"/>
    <w:rsid w:val="00BF03CF"/>
    <w:rsid w:val="00BF04D1"/>
    <w:rsid w:val="00BF0828"/>
    <w:rsid w:val="00BF0973"/>
    <w:rsid w:val="00BF0C51"/>
    <w:rsid w:val="00BF0F05"/>
    <w:rsid w:val="00BF143D"/>
    <w:rsid w:val="00BF1506"/>
    <w:rsid w:val="00BF1620"/>
    <w:rsid w:val="00BF1ABD"/>
    <w:rsid w:val="00BF225C"/>
    <w:rsid w:val="00BF24C1"/>
    <w:rsid w:val="00BF24F7"/>
    <w:rsid w:val="00BF259F"/>
    <w:rsid w:val="00BF341A"/>
    <w:rsid w:val="00BF365D"/>
    <w:rsid w:val="00BF36C6"/>
    <w:rsid w:val="00BF3A8C"/>
    <w:rsid w:val="00BF3D71"/>
    <w:rsid w:val="00BF3DA3"/>
    <w:rsid w:val="00BF40A4"/>
    <w:rsid w:val="00BF4132"/>
    <w:rsid w:val="00BF4275"/>
    <w:rsid w:val="00BF4F98"/>
    <w:rsid w:val="00BF501D"/>
    <w:rsid w:val="00BF51E1"/>
    <w:rsid w:val="00BF55DC"/>
    <w:rsid w:val="00BF5EDF"/>
    <w:rsid w:val="00BF6132"/>
    <w:rsid w:val="00BF63F8"/>
    <w:rsid w:val="00BF644A"/>
    <w:rsid w:val="00BF6BA7"/>
    <w:rsid w:val="00BF70B6"/>
    <w:rsid w:val="00BF71A7"/>
    <w:rsid w:val="00BF74EC"/>
    <w:rsid w:val="00BF76D2"/>
    <w:rsid w:val="00BF77F1"/>
    <w:rsid w:val="00BF78A6"/>
    <w:rsid w:val="00BF79C6"/>
    <w:rsid w:val="00BF7A91"/>
    <w:rsid w:val="00BF7ACE"/>
    <w:rsid w:val="00BF7C3C"/>
    <w:rsid w:val="00BF7CB8"/>
    <w:rsid w:val="00BF7F34"/>
    <w:rsid w:val="00C001F4"/>
    <w:rsid w:val="00C00AB3"/>
    <w:rsid w:val="00C00C74"/>
    <w:rsid w:val="00C01067"/>
    <w:rsid w:val="00C01A00"/>
    <w:rsid w:val="00C01B56"/>
    <w:rsid w:val="00C01CA7"/>
    <w:rsid w:val="00C02204"/>
    <w:rsid w:val="00C023A2"/>
    <w:rsid w:val="00C02653"/>
    <w:rsid w:val="00C02AF3"/>
    <w:rsid w:val="00C02C6F"/>
    <w:rsid w:val="00C03381"/>
    <w:rsid w:val="00C033DD"/>
    <w:rsid w:val="00C0364F"/>
    <w:rsid w:val="00C0382B"/>
    <w:rsid w:val="00C0393A"/>
    <w:rsid w:val="00C03FDF"/>
    <w:rsid w:val="00C04017"/>
    <w:rsid w:val="00C04151"/>
    <w:rsid w:val="00C04195"/>
    <w:rsid w:val="00C04229"/>
    <w:rsid w:val="00C04436"/>
    <w:rsid w:val="00C0484A"/>
    <w:rsid w:val="00C0498B"/>
    <w:rsid w:val="00C04A7B"/>
    <w:rsid w:val="00C04C11"/>
    <w:rsid w:val="00C05057"/>
    <w:rsid w:val="00C05067"/>
    <w:rsid w:val="00C05704"/>
    <w:rsid w:val="00C05BD5"/>
    <w:rsid w:val="00C05BDC"/>
    <w:rsid w:val="00C0613D"/>
    <w:rsid w:val="00C06730"/>
    <w:rsid w:val="00C067FF"/>
    <w:rsid w:val="00C068FD"/>
    <w:rsid w:val="00C06AA6"/>
    <w:rsid w:val="00C06B2E"/>
    <w:rsid w:val="00C06BD3"/>
    <w:rsid w:val="00C06CBE"/>
    <w:rsid w:val="00C07063"/>
    <w:rsid w:val="00C07187"/>
    <w:rsid w:val="00C0775A"/>
    <w:rsid w:val="00C07845"/>
    <w:rsid w:val="00C07A62"/>
    <w:rsid w:val="00C103F9"/>
    <w:rsid w:val="00C105BF"/>
    <w:rsid w:val="00C1085C"/>
    <w:rsid w:val="00C10F73"/>
    <w:rsid w:val="00C10FF1"/>
    <w:rsid w:val="00C110C0"/>
    <w:rsid w:val="00C11683"/>
    <w:rsid w:val="00C119DC"/>
    <w:rsid w:val="00C11A43"/>
    <w:rsid w:val="00C11B6E"/>
    <w:rsid w:val="00C11C3F"/>
    <w:rsid w:val="00C11EF7"/>
    <w:rsid w:val="00C120DD"/>
    <w:rsid w:val="00C122FD"/>
    <w:rsid w:val="00C125EA"/>
    <w:rsid w:val="00C1291F"/>
    <w:rsid w:val="00C12A0C"/>
    <w:rsid w:val="00C12A65"/>
    <w:rsid w:val="00C12E5A"/>
    <w:rsid w:val="00C12F27"/>
    <w:rsid w:val="00C12F69"/>
    <w:rsid w:val="00C12FE0"/>
    <w:rsid w:val="00C132FC"/>
    <w:rsid w:val="00C135CD"/>
    <w:rsid w:val="00C135F4"/>
    <w:rsid w:val="00C13766"/>
    <w:rsid w:val="00C13B2A"/>
    <w:rsid w:val="00C13E56"/>
    <w:rsid w:val="00C14218"/>
    <w:rsid w:val="00C14233"/>
    <w:rsid w:val="00C145E3"/>
    <w:rsid w:val="00C146EC"/>
    <w:rsid w:val="00C14A04"/>
    <w:rsid w:val="00C14FF7"/>
    <w:rsid w:val="00C152E2"/>
    <w:rsid w:val="00C15AD6"/>
    <w:rsid w:val="00C15BFB"/>
    <w:rsid w:val="00C15CBE"/>
    <w:rsid w:val="00C15D86"/>
    <w:rsid w:val="00C16246"/>
    <w:rsid w:val="00C16699"/>
    <w:rsid w:val="00C1673D"/>
    <w:rsid w:val="00C16B99"/>
    <w:rsid w:val="00C16BF6"/>
    <w:rsid w:val="00C17033"/>
    <w:rsid w:val="00C1708E"/>
    <w:rsid w:val="00C1764E"/>
    <w:rsid w:val="00C17AA7"/>
    <w:rsid w:val="00C17C53"/>
    <w:rsid w:val="00C200DF"/>
    <w:rsid w:val="00C20245"/>
    <w:rsid w:val="00C20337"/>
    <w:rsid w:val="00C2068E"/>
    <w:rsid w:val="00C20691"/>
    <w:rsid w:val="00C207D9"/>
    <w:rsid w:val="00C20A12"/>
    <w:rsid w:val="00C20C56"/>
    <w:rsid w:val="00C20CF4"/>
    <w:rsid w:val="00C2167D"/>
    <w:rsid w:val="00C217B3"/>
    <w:rsid w:val="00C21928"/>
    <w:rsid w:val="00C21E0B"/>
    <w:rsid w:val="00C221A8"/>
    <w:rsid w:val="00C22436"/>
    <w:rsid w:val="00C2247A"/>
    <w:rsid w:val="00C224E4"/>
    <w:rsid w:val="00C22670"/>
    <w:rsid w:val="00C2268A"/>
    <w:rsid w:val="00C2300E"/>
    <w:rsid w:val="00C235B9"/>
    <w:rsid w:val="00C237D9"/>
    <w:rsid w:val="00C23958"/>
    <w:rsid w:val="00C2403F"/>
    <w:rsid w:val="00C2406E"/>
    <w:rsid w:val="00C2415E"/>
    <w:rsid w:val="00C24336"/>
    <w:rsid w:val="00C24621"/>
    <w:rsid w:val="00C24761"/>
    <w:rsid w:val="00C247EE"/>
    <w:rsid w:val="00C24A91"/>
    <w:rsid w:val="00C24BDF"/>
    <w:rsid w:val="00C24C1B"/>
    <w:rsid w:val="00C24C47"/>
    <w:rsid w:val="00C24E2E"/>
    <w:rsid w:val="00C24F2C"/>
    <w:rsid w:val="00C25193"/>
    <w:rsid w:val="00C25366"/>
    <w:rsid w:val="00C258D1"/>
    <w:rsid w:val="00C26631"/>
    <w:rsid w:val="00C27171"/>
    <w:rsid w:val="00C275C8"/>
    <w:rsid w:val="00C277A1"/>
    <w:rsid w:val="00C27B6B"/>
    <w:rsid w:val="00C27CB5"/>
    <w:rsid w:val="00C27EBA"/>
    <w:rsid w:val="00C30016"/>
    <w:rsid w:val="00C30316"/>
    <w:rsid w:val="00C30575"/>
    <w:rsid w:val="00C30B93"/>
    <w:rsid w:val="00C314DD"/>
    <w:rsid w:val="00C3152A"/>
    <w:rsid w:val="00C31593"/>
    <w:rsid w:val="00C316A8"/>
    <w:rsid w:val="00C31925"/>
    <w:rsid w:val="00C319C3"/>
    <w:rsid w:val="00C31B2E"/>
    <w:rsid w:val="00C32222"/>
    <w:rsid w:val="00C32274"/>
    <w:rsid w:val="00C32713"/>
    <w:rsid w:val="00C32AC9"/>
    <w:rsid w:val="00C32FB9"/>
    <w:rsid w:val="00C33865"/>
    <w:rsid w:val="00C3393A"/>
    <w:rsid w:val="00C33D32"/>
    <w:rsid w:val="00C341C4"/>
    <w:rsid w:val="00C3424A"/>
    <w:rsid w:val="00C34528"/>
    <w:rsid w:val="00C3454D"/>
    <w:rsid w:val="00C34604"/>
    <w:rsid w:val="00C34786"/>
    <w:rsid w:val="00C3486D"/>
    <w:rsid w:val="00C34B32"/>
    <w:rsid w:val="00C3516C"/>
    <w:rsid w:val="00C351F8"/>
    <w:rsid w:val="00C3561C"/>
    <w:rsid w:val="00C3565A"/>
    <w:rsid w:val="00C35A2A"/>
    <w:rsid w:val="00C36358"/>
    <w:rsid w:val="00C364BD"/>
    <w:rsid w:val="00C3656F"/>
    <w:rsid w:val="00C3660E"/>
    <w:rsid w:val="00C36C20"/>
    <w:rsid w:val="00C3785B"/>
    <w:rsid w:val="00C402B7"/>
    <w:rsid w:val="00C405AA"/>
    <w:rsid w:val="00C4062D"/>
    <w:rsid w:val="00C40647"/>
    <w:rsid w:val="00C40764"/>
    <w:rsid w:val="00C409AB"/>
    <w:rsid w:val="00C40B44"/>
    <w:rsid w:val="00C41310"/>
    <w:rsid w:val="00C417C0"/>
    <w:rsid w:val="00C41870"/>
    <w:rsid w:val="00C418FE"/>
    <w:rsid w:val="00C41AD5"/>
    <w:rsid w:val="00C41B1D"/>
    <w:rsid w:val="00C41C7E"/>
    <w:rsid w:val="00C42554"/>
    <w:rsid w:val="00C42768"/>
    <w:rsid w:val="00C42770"/>
    <w:rsid w:val="00C42DF5"/>
    <w:rsid w:val="00C42E0A"/>
    <w:rsid w:val="00C434F5"/>
    <w:rsid w:val="00C438DC"/>
    <w:rsid w:val="00C43A0A"/>
    <w:rsid w:val="00C43C65"/>
    <w:rsid w:val="00C4473D"/>
    <w:rsid w:val="00C44D4F"/>
    <w:rsid w:val="00C44F36"/>
    <w:rsid w:val="00C4508A"/>
    <w:rsid w:val="00C4519E"/>
    <w:rsid w:val="00C45AD4"/>
    <w:rsid w:val="00C4660E"/>
    <w:rsid w:val="00C4668A"/>
    <w:rsid w:val="00C4678B"/>
    <w:rsid w:val="00C468AC"/>
    <w:rsid w:val="00C469B2"/>
    <w:rsid w:val="00C470A9"/>
    <w:rsid w:val="00C47683"/>
    <w:rsid w:val="00C47733"/>
    <w:rsid w:val="00C47A80"/>
    <w:rsid w:val="00C47AA8"/>
    <w:rsid w:val="00C47D33"/>
    <w:rsid w:val="00C47D85"/>
    <w:rsid w:val="00C47FCC"/>
    <w:rsid w:val="00C5036E"/>
    <w:rsid w:val="00C507B1"/>
    <w:rsid w:val="00C50A52"/>
    <w:rsid w:val="00C50DE6"/>
    <w:rsid w:val="00C512FD"/>
    <w:rsid w:val="00C517B0"/>
    <w:rsid w:val="00C521C9"/>
    <w:rsid w:val="00C52736"/>
    <w:rsid w:val="00C529E2"/>
    <w:rsid w:val="00C52B02"/>
    <w:rsid w:val="00C52B0C"/>
    <w:rsid w:val="00C52F90"/>
    <w:rsid w:val="00C53402"/>
    <w:rsid w:val="00C537B7"/>
    <w:rsid w:val="00C53823"/>
    <w:rsid w:val="00C53B45"/>
    <w:rsid w:val="00C53EC8"/>
    <w:rsid w:val="00C540F3"/>
    <w:rsid w:val="00C543A4"/>
    <w:rsid w:val="00C543B2"/>
    <w:rsid w:val="00C544A7"/>
    <w:rsid w:val="00C549DF"/>
    <w:rsid w:val="00C54B10"/>
    <w:rsid w:val="00C54DA9"/>
    <w:rsid w:val="00C54DB7"/>
    <w:rsid w:val="00C55291"/>
    <w:rsid w:val="00C552E4"/>
    <w:rsid w:val="00C55766"/>
    <w:rsid w:val="00C557ED"/>
    <w:rsid w:val="00C5586B"/>
    <w:rsid w:val="00C55C85"/>
    <w:rsid w:val="00C5674E"/>
    <w:rsid w:val="00C5676C"/>
    <w:rsid w:val="00C5681D"/>
    <w:rsid w:val="00C57960"/>
    <w:rsid w:val="00C57A2B"/>
    <w:rsid w:val="00C57C55"/>
    <w:rsid w:val="00C57D7D"/>
    <w:rsid w:val="00C60123"/>
    <w:rsid w:val="00C60350"/>
    <w:rsid w:val="00C605F8"/>
    <w:rsid w:val="00C6076C"/>
    <w:rsid w:val="00C60AC1"/>
    <w:rsid w:val="00C60CF4"/>
    <w:rsid w:val="00C6156E"/>
    <w:rsid w:val="00C6185D"/>
    <w:rsid w:val="00C61E22"/>
    <w:rsid w:val="00C6204F"/>
    <w:rsid w:val="00C62153"/>
    <w:rsid w:val="00C62262"/>
    <w:rsid w:val="00C624C1"/>
    <w:rsid w:val="00C6269E"/>
    <w:rsid w:val="00C62A1A"/>
    <w:rsid w:val="00C62B7A"/>
    <w:rsid w:val="00C62CED"/>
    <w:rsid w:val="00C63272"/>
    <w:rsid w:val="00C63297"/>
    <w:rsid w:val="00C635B7"/>
    <w:rsid w:val="00C63973"/>
    <w:rsid w:val="00C63D32"/>
    <w:rsid w:val="00C63FC5"/>
    <w:rsid w:val="00C64035"/>
    <w:rsid w:val="00C64597"/>
    <w:rsid w:val="00C64619"/>
    <w:rsid w:val="00C6464C"/>
    <w:rsid w:val="00C647C5"/>
    <w:rsid w:val="00C64D50"/>
    <w:rsid w:val="00C651F8"/>
    <w:rsid w:val="00C65231"/>
    <w:rsid w:val="00C6548C"/>
    <w:rsid w:val="00C658E9"/>
    <w:rsid w:val="00C6598A"/>
    <w:rsid w:val="00C659BE"/>
    <w:rsid w:val="00C65B3F"/>
    <w:rsid w:val="00C65E32"/>
    <w:rsid w:val="00C65F57"/>
    <w:rsid w:val="00C66B09"/>
    <w:rsid w:val="00C66DCB"/>
    <w:rsid w:val="00C66E67"/>
    <w:rsid w:val="00C676D6"/>
    <w:rsid w:val="00C6770E"/>
    <w:rsid w:val="00C67BDA"/>
    <w:rsid w:val="00C67BE4"/>
    <w:rsid w:val="00C67E79"/>
    <w:rsid w:val="00C70099"/>
    <w:rsid w:val="00C700D4"/>
    <w:rsid w:val="00C7043B"/>
    <w:rsid w:val="00C70547"/>
    <w:rsid w:val="00C70968"/>
    <w:rsid w:val="00C71472"/>
    <w:rsid w:val="00C71BB5"/>
    <w:rsid w:val="00C720F8"/>
    <w:rsid w:val="00C72202"/>
    <w:rsid w:val="00C72221"/>
    <w:rsid w:val="00C72A65"/>
    <w:rsid w:val="00C732BA"/>
    <w:rsid w:val="00C732DC"/>
    <w:rsid w:val="00C733D6"/>
    <w:rsid w:val="00C735CA"/>
    <w:rsid w:val="00C736CC"/>
    <w:rsid w:val="00C73D6E"/>
    <w:rsid w:val="00C73F5B"/>
    <w:rsid w:val="00C740F2"/>
    <w:rsid w:val="00C74237"/>
    <w:rsid w:val="00C74376"/>
    <w:rsid w:val="00C745C9"/>
    <w:rsid w:val="00C752E0"/>
    <w:rsid w:val="00C75793"/>
    <w:rsid w:val="00C75944"/>
    <w:rsid w:val="00C75DE5"/>
    <w:rsid w:val="00C75E6B"/>
    <w:rsid w:val="00C762B0"/>
    <w:rsid w:val="00C76B0B"/>
    <w:rsid w:val="00C76D48"/>
    <w:rsid w:val="00C76FB8"/>
    <w:rsid w:val="00C7717F"/>
    <w:rsid w:val="00C77B60"/>
    <w:rsid w:val="00C77C26"/>
    <w:rsid w:val="00C77C41"/>
    <w:rsid w:val="00C77D57"/>
    <w:rsid w:val="00C806C5"/>
    <w:rsid w:val="00C80B92"/>
    <w:rsid w:val="00C80BED"/>
    <w:rsid w:val="00C80F21"/>
    <w:rsid w:val="00C8103F"/>
    <w:rsid w:val="00C812B6"/>
    <w:rsid w:val="00C812F3"/>
    <w:rsid w:val="00C816A3"/>
    <w:rsid w:val="00C8171F"/>
    <w:rsid w:val="00C817CD"/>
    <w:rsid w:val="00C81A5D"/>
    <w:rsid w:val="00C81AE3"/>
    <w:rsid w:val="00C81EA4"/>
    <w:rsid w:val="00C81F26"/>
    <w:rsid w:val="00C8276D"/>
    <w:rsid w:val="00C82A15"/>
    <w:rsid w:val="00C82AC2"/>
    <w:rsid w:val="00C82C01"/>
    <w:rsid w:val="00C83F77"/>
    <w:rsid w:val="00C84049"/>
    <w:rsid w:val="00C840E1"/>
    <w:rsid w:val="00C84121"/>
    <w:rsid w:val="00C85A5A"/>
    <w:rsid w:val="00C86261"/>
    <w:rsid w:val="00C8659F"/>
    <w:rsid w:val="00C8672B"/>
    <w:rsid w:val="00C8680C"/>
    <w:rsid w:val="00C8689A"/>
    <w:rsid w:val="00C86B38"/>
    <w:rsid w:val="00C86EA0"/>
    <w:rsid w:val="00C8726F"/>
    <w:rsid w:val="00C874C7"/>
    <w:rsid w:val="00C875D2"/>
    <w:rsid w:val="00C87684"/>
    <w:rsid w:val="00C87928"/>
    <w:rsid w:val="00C87C68"/>
    <w:rsid w:val="00C905D4"/>
    <w:rsid w:val="00C9075E"/>
    <w:rsid w:val="00C913CB"/>
    <w:rsid w:val="00C9146D"/>
    <w:rsid w:val="00C915CB"/>
    <w:rsid w:val="00C919A9"/>
    <w:rsid w:val="00C91FC7"/>
    <w:rsid w:val="00C9201C"/>
    <w:rsid w:val="00C92255"/>
    <w:rsid w:val="00C92583"/>
    <w:rsid w:val="00C9268B"/>
    <w:rsid w:val="00C92ADF"/>
    <w:rsid w:val="00C92E76"/>
    <w:rsid w:val="00C932F9"/>
    <w:rsid w:val="00C93641"/>
    <w:rsid w:val="00C939B8"/>
    <w:rsid w:val="00C941CF"/>
    <w:rsid w:val="00C942A7"/>
    <w:rsid w:val="00C944DC"/>
    <w:rsid w:val="00C947B7"/>
    <w:rsid w:val="00C94C99"/>
    <w:rsid w:val="00C94E05"/>
    <w:rsid w:val="00C94F72"/>
    <w:rsid w:val="00C95153"/>
    <w:rsid w:val="00C95265"/>
    <w:rsid w:val="00C95404"/>
    <w:rsid w:val="00C955A5"/>
    <w:rsid w:val="00C9593F"/>
    <w:rsid w:val="00C95A96"/>
    <w:rsid w:val="00C95AA6"/>
    <w:rsid w:val="00C960B5"/>
    <w:rsid w:val="00C960DF"/>
    <w:rsid w:val="00C9615A"/>
    <w:rsid w:val="00C9629A"/>
    <w:rsid w:val="00C963EA"/>
    <w:rsid w:val="00C966C7"/>
    <w:rsid w:val="00C97050"/>
    <w:rsid w:val="00C97A3E"/>
    <w:rsid w:val="00C97E76"/>
    <w:rsid w:val="00CA0029"/>
    <w:rsid w:val="00CA0512"/>
    <w:rsid w:val="00CA0A99"/>
    <w:rsid w:val="00CA0B22"/>
    <w:rsid w:val="00CA0B95"/>
    <w:rsid w:val="00CA0C3E"/>
    <w:rsid w:val="00CA0CE9"/>
    <w:rsid w:val="00CA1812"/>
    <w:rsid w:val="00CA1AED"/>
    <w:rsid w:val="00CA1C6C"/>
    <w:rsid w:val="00CA1ED5"/>
    <w:rsid w:val="00CA24E0"/>
    <w:rsid w:val="00CA2F0C"/>
    <w:rsid w:val="00CA312C"/>
    <w:rsid w:val="00CA3354"/>
    <w:rsid w:val="00CA3536"/>
    <w:rsid w:val="00CA3651"/>
    <w:rsid w:val="00CA3A73"/>
    <w:rsid w:val="00CA3A98"/>
    <w:rsid w:val="00CA4349"/>
    <w:rsid w:val="00CA4BA5"/>
    <w:rsid w:val="00CA4C18"/>
    <w:rsid w:val="00CA4DF0"/>
    <w:rsid w:val="00CA4E84"/>
    <w:rsid w:val="00CA5464"/>
    <w:rsid w:val="00CA5523"/>
    <w:rsid w:val="00CA565C"/>
    <w:rsid w:val="00CA576F"/>
    <w:rsid w:val="00CA5854"/>
    <w:rsid w:val="00CA59B6"/>
    <w:rsid w:val="00CA59C6"/>
    <w:rsid w:val="00CA5B7C"/>
    <w:rsid w:val="00CA5BF7"/>
    <w:rsid w:val="00CA644E"/>
    <w:rsid w:val="00CA6BE4"/>
    <w:rsid w:val="00CA6EB0"/>
    <w:rsid w:val="00CA780C"/>
    <w:rsid w:val="00CB096D"/>
    <w:rsid w:val="00CB0FA4"/>
    <w:rsid w:val="00CB16D5"/>
    <w:rsid w:val="00CB18D4"/>
    <w:rsid w:val="00CB1EF2"/>
    <w:rsid w:val="00CB230C"/>
    <w:rsid w:val="00CB23F0"/>
    <w:rsid w:val="00CB2474"/>
    <w:rsid w:val="00CB26E0"/>
    <w:rsid w:val="00CB2942"/>
    <w:rsid w:val="00CB31B7"/>
    <w:rsid w:val="00CB34FF"/>
    <w:rsid w:val="00CB3596"/>
    <w:rsid w:val="00CB37D2"/>
    <w:rsid w:val="00CB391E"/>
    <w:rsid w:val="00CB3A8D"/>
    <w:rsid w:val="00CB3CB3"/>
    <w:rsid w:val="00CB3D93"/>
    <w:rsid w:val="00CB3F16"/>
    <w:rsid w:val="00CB3F75"/>
    <w:rsid w:val="00CB457A"/>
    <w:rsid w:val="00CB4A09"/>
    <w:rsid w:val="00CB4F2A"/>
    <w:rsid w:val="00CB51A5"/>
    <w:rsid w:val="00CB51E3"/>
    <w:rsid w:val="00CB5205"/>
    <w:rsid w:val="00CB523E"/>
    <w:rsid w:val="00CB532E"/>
    <w:rsid w:val="00CB613A"/>
    <w:rsid w:val="00CB6567"/>
    <w:rsid w:val="00CB65DF"/>
    <w:rsid w:val="00CB662B"/>
    <w:rsid w:val="00CB66C1"/>
    <w:rsid w:val="00CB675B"/>
    <w:rsid w:val="00CB6B02"/>
    <w:rsid w:val="00CB761D"/>
    <w:rsid w:val="00CB79EC"/>
    <w:rsid w:val="00CB7A30"/>
    <w:rsid w:val="00CB7D43"/>
    <w:rsid w:val="00CC01E5"/>
    <w:rsid w:val="00CC0362"/>
    <w:rsid w:val="00CC0558"/>
    <w:rsid w:val="00CC069E"/>
    <w:rsid w:val="00CC0749"/>
    <w:rsid w:val="00CC0930"/>
    <w:rsid w:val="00CC0D1A"/>
    <w:rsid w:val="00CC1202"/>
    <w:rsid w:val="00CC15C3"/>
    <w:rsid w:val="00CC1912"/>
    <w:rsid w:val="00CC1B2D"/>
    <w:rsid w:val="00CC1B43"/>
    <w:rsid w:val="00CC1D91"/>
    <w:rsid w:val="00CC1E31"/>
    <w:rsid w:val="00CC26BE"/>
    <w:rsid w:val="00CC2DF9"/>
    <w:rsid w:val="00CC2E3F"/>
    <w:rsid w:val="00CC2E74"/>
    <w:rsid w:val="00CC2F77"/>
    <w:rsid w:val="00CC33EF"/>
    <w:rsid w:val="00CC384B"/>
    <w:rsid w:val="00CC38A3"/>
    <w:rsid w:val="00CC3C25"/>
    <w:rsid w:val="00CC3CC1"/>
    <w:rsid w:val="00CC3DD8"/>
    <w:rsid w:val="00CC3F94"/>
    <w:rsid w:val="00CC4128"/>
    <w:rsid w:val="00CC414B"/>
    <w:rsid w:val="00CC483D"/>
    <w:rsid w:val="00CC4FEE"/>
    <w:rsid w:val="00CC50BE"/>
    <w:rsid w:val="00CC50DA"/>
    <w:rsid w:val="00CC5329"/>
    <w:rsid w:val="00CC5366"/>
    <w:rsid w:val="00CC590F"/>
    <w:rsid w:val="00CC5EBC"/>
    <w:rsid w:val="00CC6050"/>
    <w:rsid w:val="00CC6275"/>
    <w:rsid w:val="00CC62D7"/>
    <w:rsid w:val="00CC650B"/>
    <w:rsid w:val="00CC68BD"/>
    <w:rsid w:val="00CC6980"/>
    <w:rsid w:val="00CC6A00"/>
    <w:rsid w:val="00CC6A5D"/>
    <w:rsid w:val="00CC6C66"/>
    <w:rsid w:val="00CC6C98"/>
    <w:rsid w:val="00CC7214"/>
    <w:rsid w:val="00CC7384"/>
    <w:rsid w:val="00CC7830"/>
    <w:rsid w:val="00CC7A88"/>
    <w:rsid w:val="00CC7BEA"/>
    <w:rsid w:val="00CD00FB"/>
    <w:rsid w:val="00CD076E"/>
    <w:rsid w:val="00CD082B"/>
    <w:rsid w:val="00CD097C"/>
    <w:rsid w:val="00CD09D8"/>
    <w:rsid w:val="00CD0B10"/>
    <w:rsid w:val="00CD0C21"/>
    <w:rsid w:val="00CD0D89"/>
    <w:rsid w:val="00CD1112"/>
    <w:rsid w:val="00CD12A6"/>
    <w:rsid w:val="00CD19AF"/>
    <w:rsid w:val="00CD19CC"/>
    <w:rsid w:val="00CD1E2B"/>
    <w:rsid w:val="00CD1FF6"/>
    <w:rsid w:val="00CD20C4"/>
    <w:rsid w:val="00CD287A"/>
    <w:rsid w:val="00CD29DB"/>
    <w:rsid w:val="00CD2CC6"/>
    <w:rsid w:val="00CD2FE8"/>
    <w:rsid w:val="00CD338B"/>
    <w:rsid w:val="00CD3BEC"/>
    <w:rsid w:val="00CD4347"/>
    <w:rsid w:val="00CD4966"/>
    <w:rsid w:val="00CD4AC2"/>
    <w:rsid w:val="00CD5313"/>
    <w:rsid w:val="00CD57E1"/>
    <w:rsid w:val="00CD5D25"/>
    <w:rsid w:val="00CD5ED3"/>
    <w:rsid w:val="00CD5FFD"/>
    <w:rsid w:val="00CD608C"/>
    <w:rsid w:val="00CD659C"/>
    <w:rsid w:val="00CD6B7A"/>
    <w:rsid w:val="00CD72C4"/>
    <w:rsid w:val="00CD74A0"/>
    <w:rsid w:val="00CD75C1"/>
    <w:rsid w:val="00CD75C8"/>
    <w:rsid w:val="00CD7681"/>
    <w:rsid w:val="00CD76FD"/>
    <w:rsid w:val="00CD7B02"/>
    <w:rsid w:val="00CD7E43"/>
    <w:rsid w:val="00CD7F9C"/>
    <w:rsid w:val="00CE00BA"/>
    <w:rsid w:val="00CE0108"/>
    <w:rsid w:val="00CE0A46"/>
    <w:rsid w:val="00CE0B38"/>
    <w:rsid w:val="00CE128D"/>
    <w:rsid w:val="00CE12FF"/>
    <w:rsid w:val="00CE131D"/>
    <w:rsid w:val="00CE1372"/>
    <w:rsid w:val="00CE16C7"/>
    <w:rsid w:val="00CE1E2D"/>
    <w:rsid w:val="00CE20D2"/>
    <w:rsid w:val="00CE253D"/>
    <w:rsid w:val="00CE29F7"/>
    <w:rsid w:val="00CE2A2D"/>
    <w:rsid w:val="00CE3317"/>
    <w:rsid w:val="00CE370F"/>
    <w:rsid w:val="00CE38CE"/>
    <w:rsid w:val="00CE3A58"/>
    <w:rsid w:val="00CE3AFB"/>
    <w:rsid w:val="00CE40BA"/>
    <w:rsid w:val="00CE421D"/>
    <w:rsid w:val="00CE4775"/>
    <w:rsid w:val="00CE47EC"/>
    <w:rsid w:val="00CE49BC"/>
    <w:rsid w:val="00CE5946"/>
    <w:rsid w:val="00CE5F2E"/>
    <w:rsid w:val="00CE6079"/>
    <w:rsid w:val="00CE63C3"/>
    <w:rsid w:val="00CE63F9"/>
    <w:rsid w:val="00CE6866"/>
    <w:rsid w:val="00CE6987"/>
    <w:rsid w:val="00CE6FA8"/>
    <w:rsid w:val="00CE7022"/>
    <w:rsid w:val="00CE7225"/>
    <w:rsid w:val="00CE75D6"/>
    <w:rsid w:val="00CE7676"/>
    <w:rsid w:val="00CE78CB"/>
    <w:rsid w:val="00CE7DDF"/>
    <w:rsid w:val="00CE7E17"/>
    <w:rsid w:val="00CE7EE8"/>
    <w:rsid w:val="00CF026C"/>
    <w:rsid w:val="00CF0864"/>
    <w:rsid w:val="00CF0866"/>
    <w:rsid w:val="00CF0984"/>
    <w:rsid w:val="00CF098D"/>
    <w:rsid w:val="00CF0F5F"/>
    <w:rsid w:val="00CF25EE"/>
    <w:rsid w:val="00CF2D48"/>
    <w:rsid w:val="00CF3102"/>
    <w:rsid w:val="00CF312B"/>
    <w:rsid w:val="00CF3301"/>
    <w:rsid w:val="00CF337E"/>
    <w:rsid w:val="00CF33C8"/>
    <w:rsid w:val="00CF3526"/>
    <w:rsid w:val="00CF356A"/>
    <w:rsid w:val="00CF3AD2"/>
    <w:rsid w:val="00CF3B55"/>
    <w:rsid w:val="00CF3DFF"/>
    <w:rsid w:val="00CF3F3A"/>
    <w:rsid w:val="00CF4A61"/>
    <w:rsid w:val="00CF4AE8"/>
    <w:rsid w:val="00CF4DC0"/>
    <w:rsid w:val="00CF4E7D"/>
    <w:rsid w:val="00CF544C"/>
    <w:rsid w:val="00CF5464"/>
    <w:rsid w:val="00CF560F"/>
    <w:rsid w:val="00CF567B"/>
    <w:rsid w:val="00CF57D0"/>
    <w:rsid w:val="00CF5922"/>
    <w:rsid w:val="00CF5CA3"/>
    <w:rsid w:val="00CF5FE2"/>
    <w:rsid w:val="00CF614C"/>
    <w:rsid w:val="00CF69AF"/>
    <w:rsid w:val="00CF6AA3"/>
    <w:rsid w:val="00CF6BE8"/>
    <w:rsid w:val="00CF75E2"/>
    <w:rsid w:val="00CF7FD7"/>
    <w:rsid w:val="00D00185"/>
    <w:rsid w:val="00D001D8"/>
    <w:rsid w:val="00D00CBF"/>
    <w:rsid w:val="00D00E74"/>
    <w:rsid w:val="00D010D6"/>
    <w:rsid w:val="00D012B6"/>
    <w:rsid w:val="00D012B7"/>
    <w:rsid w:val="00D01917"/>
    <w:rsid w:val="00D01A7D"/>
    <w:rsid w:val="00D01F26"/>
    <w:rsid w:val="00D02200"/>
    <w:rsid w:val="00D024B6"/>
    <w:rsid w:val="00D02D95"/>
    <w:rsid w:val="00D02E5A"/>
    <w:rsid w:val="00D02F97"/>
    <w:rsid w:val="00D03082"/>
    <w:rsid w:val="00D03725"/>
    <w:rsid w:val="00D03B3F"/>
    <w:rsid w:val="00D04578"/>
    <w:rsid w:val="00D04643"/>
    <w:rsid w:val="00D04757"/>
    <w:rsid w:val="00D04BE3"/>
    <w:rsid w:val="00D05293"/>
    <w:rsid w:val="00D0530E"/>
    <w:rsid w:val="00D05741"/>
    <w:rsid w:val="00D05E5F"/>
    <w:rsid w:val="00D06278"/>
    <w:rsid w:val="00D06347"/>
    <w:rsid w:val="00D06423"/>
    <w:rsid w:val="00D06CA4"/>
    <w:rsid w:val="00D06D9E"/>
    <w:rsid w:val="00D0775E"/>
    <w:rsid w:val="00D07990"/>
    <w:rsid w:val="00D07A4E"/>
    <w:rsid w:val="00D07C57"/>
    <w:rsid w:val="00D1059C"/>
    <w:rsid w:val="00D10985"/>
    <w:rsid w:val="00D10CCE"/>
    <w:rsid w:val="00D10E65"/>
    <w:rsid w:val="00D11527"/>
    <w:rsid w:val="00D1178E"/>
    <w:rsid w:val="00D11C5A"/>
    <w:rsid w:val="00D11E84"/>
    <w:rsid w:val="00D12338"/>
    <w:rsid w:val="00D124A6"/>
    <w:rsid w:val="00D12868"/>
    <w:rsid w:val="00D12929"/>
    <w:rsid w:val="00D12D78"/>
    <w:rsid w:val="00D12D9C"/>
    <w:rsid w:val="00D13027"/>
    <w:rsid w:val="00D133AB"/>
    <w:rsid w:val="00D1382C"/>
    <w:rsid w:val="00D13919"/>
    <w:rsid w:val="00D14234"/>
    <w:rsid w:val="00D14303"/>
    <w:rsid w:val="00D14470"/>
    <w:rsid w:val="00D14473"/>
    <w:rsid w:val="00D1492E"/>
    <w:rsid w:val="00D154DF"/>
    <w:rsid w:val="00D159F6"/>
    <w:rsid w:val="00D15B78"/>
    <w:rsid w:val="00D15F3A"/>
    <w:rsid w:val="00D16146"/>
    <w:rsid w:val="00D1615D"/>
    <w:rsid w:val="00D164F3"/>
    <w:rsid w:val="00D16709"/>
    <w:rsid w:val="00D16969"/>
    <w:rsid w:val="00D16C05"/>
    <w:rsid w:val="00D16DC0"/>
    <w:rsid w:val="00D16E24"/>
    <w:rsid w:val="00D1709C"/>
    <w:rsid w:val="00D172ED"/>
    <w:rsid w:val="00D1767B"/>
    <w:rsid w:val="00D17759"/>
    <w:rsid w:val="00D17850"/>
    <w:rsid w:val="00D17898"/>
    <w:rsid w:val="00D17A9E"/>
    <w:rsid w:val="00D17DD1"/>
    <w:rsid w:val="00D200B7"/>
    <w:rsid w:val="00D2047E"/>
    <w:rsid w:val="00D20914"/>
    <w:rsid w:val="00D20C19"/>
    <w:rsid w:val="00D20E97"/>
    <w:rsid w:val="00D20F7F"/>
    <w:rsid w:val="00D212C7"/>
    <w:rsid w:val="00D2138C"/>
    <w:rsid w:val="00D2163B"/>
    <w:rsid w:val="00D219E8"/>
    <w:rsid w:val="00D22101"/>
    <w:rsid w:val="00D223C9"/>
    <w:rsid w:val="00D22659"/>
    <w:rsid w:val="00D22685"/>
    <w:rsid w:val="00D2278C"/>
    <w:rsid w:val="00D2278F"/>
    <w:rsid w:val="00D22871"/>
    <w:rsid w:val="00D22A31"/>
    <w:rsid w:val="00D22B89"/>
    <w:rsid w:val="00D23171"/>
    <w:rsid w:val="00D23293"/>
    <w:rsid w:val="00D23876"/>
    <w:rsid w:val="00D23995"/>
    <w:rsid w:val="00D23A2D"/>
    <w:rsid w:val="00D24507"/>
    <w:rsid w:val="00D24CC0"/>
    <w:rsid w:val="00D24F18"/>
    <w:rsid w:val="00D25473"/>
    <w:rsid w:val="00D25FBB"/>
    <w:rsid w:val="00D2601D"/>
    <w:rsid w:val="00D2602B"/>
    <w:rsid w:val="00D26259"/>
    <w:rsid w:val="00D26283"/>
    <w:rsid w:val="00D264D3"/>
    <w:rsid w:val="00D265E7"/>
    <w:rsid w:val="00D26919"/>
    <w:rsid w:val="00D26A5F"/>
    <w:rsid w:val="00D26C32"/>
    <w:rsid w:val="00D274F6"/>
    <w:rsid w:val="00D279EE"/>
    <w:rsid w:val="00D304A7"/>
    <w:rsid w:val="00D3096F"/>
    <w:rsid w:val="00D30C1E"/>
    <w:rsid w:val="00D30F6D"/>
    <w:rsid w:val="00D31033"/>
    <w:rsid w:val="00D31079"/>
    <w:rsid w:val="00D3183E"/>
    <w:rsid w:val="00D31848"/>
    <w:rsid w:val="00D318B2"/>
    <w:rsid w:val="00D321A0"/>
    <w:rsid w:val="00D323DE"/>
    <w:rsid w:val="00D32812"/>
    <w:rsid w:val="00D32A31"/>
    <w:rsid w:val="00D32E59"/>
    <w:rsid w:val="00D32E5B"/>
    <w:rsid w:val="00D334A7"/>
    <w:rsid w:val="00D33641"/>
    <w:rsid w:val="00D33841"/>
    <w:rsid w:val="00D33CF2"/>
    <w:rsid w:val="00D344E4"/>
    <w:rsid w:val="00D345CF"/>
    <w:rsid w:val="00D3472E"/>
    <w:rsid w:val="00D34CF4"/>
    <w:rsid w:val="00D34F18"/>
    <w:rsid w:val="00D350D2"/>
    <w:rsid w:val="00D35221"/>
    <w:rsid w:val="00D3536A"/>
    <w:rsid w:val="00D35CA7"/>
    <w:rsid w:val="00D35E8B"/>
    <w:rsid w:val="00D36C0D"/>
    <w:rsid w:val="00D36E00"/>
    <w:rsid w:val="00D373E2"/>
    <w:rsid w:val="00D37646"/>
    <w:rsid w:val="00D37816"/>
    <w:rsid w:val="00D378B5"/>
    <w:rsid w:val="00D37947"/>
    <w:rsid w:val="00D37F7C"/>
    <w:rsid w:val="00D400EB"/>
    <w:rsid w:val="00D402FE"/>
    <w:rsid w:val="00D403FB"/>
    <w:rsid w:val="00D40782"/>
    <w:rsid w:val="00D409AB"/>
    <w:rsid w:val="00D40EE8"/>
    <w:rsid w:val="00D4135C"/>
    <w:rsid w:val="00D41569"/>
    <w:rsid w:val="00D4191E"/>
    <w:rsid w:val="00D41CEB"/>
    <w:rsid w:val="00D42072"/>
    <w:rsid w:val="00D42398"/>
    <w:rsid w:val="00D426FA"/>
    <w:rsid w:val="00D428B3"/>
    <w:rsid w:val="00D42A4B"/>
    <w:rsid w:val="00D433C5"/>
    <w:rsid w:val="00D43730"/>
    <w:rsid w:val="00D438DF"/>
    <w:rsid w:val="00D43DAD"/>
    <w:rsid w:val="00D44254"/>
    <w:rsid w:val="00D44E4F"/>
    <w:rsid w:val="00D4502F"/>
    <w:rsid w:val="00D451FD"/>
    <w:rsid w:val="00D45554"/>
    <w:rsid w:val="00D45583"/>
    <w:rsid w:val="00D45655"/>
    <w:rsid w:val="00D45819"/>
    <w:rsid w:val="00D45AD6"/>
    <w:rsid w:val="00D46CF6"/>
    <w:rsid w:val="00D46D53"/>
    <w:rsid w:val="00D47998"/>
    <w:rsid w:val="00D47F0F"/>
    <w:rsid w:val="00D5002F"/>
    <w:rsid w:val="00D501F0"/>
    <w:rsid w:val="00D50471"/>
    <w:rsid w:val="00D50A69"/>
    <w:rsid w:val="00D50BD5"/>
    <w:rsid w:val="00D50DF5"/>
    <w:rsid w:val="00D5122E"/>
    <w:rsid w:val="00D51464"/>
    <w:rsid w:val="00D5158E"/>
    <w:rsid w:val="00D51C9E"/>
    <w:rsid w:val="00D51DF3"/>
    <w:rsid w:val="00D52081"/>
    <w:rsid w:val="00D52B3E"/>
    <w:rsid w:val="00D5300F"/>
    <w:rsid w:val="00D53895"/>
    <w:rsid w:val="00D542EE"/>
    <w:rsid w:val="00D54629"/>
    <w:rsid w:val="00D5462B"/>
    <w:rsid w:val="00D54DDE"/>
    <w:rsid w:val="00D55351"/>
    <w:rsid w:val="00D55AF8"/>
    <w:rsid w:val="00D55FB7"/>
    <w:rsid w:val="00D564C4"/>
    <w:rsid w:val="00D5730A"/>
    <w:rsid w:val="00D57F81"/>
    <w:rsid w:val="00D602CE"/>
    <w:rsid w:val="00D6040F"/>
    <w:rsid w:val="00D608F9"/>
    <w:rsid w:val="00D60A9B"/>
    <w:rsid w:val="00D60FFF"/>
    <w:rsid w:val="00D61012"/>
    <w:rsid w:val="00D61494"/>
    <w:rsid w:val="00D61528"/>
    <w:rsid w:val="00D6160A"/>
    <w:rsid w:val="00D6173F"/>
    <w:rsid w:val="00D61F4D"/>
    <w:rsid w:val="00D622D9"/>
    <w:rsid w:val="00D629E2"/>
    <w:rsid w:val="00D62B39"/>
    <w:rsid w:val="00D62B76"/>
    <w:rsid w:val="00D62CEB"/>
    <w:rsid w:val="00D632C6"/>
    <w:rsid w:val="00D63442"/>
    <w:rsid w:val="00D635D3"/>
    <w:rsid w:val="00D635D5"/>
    <w:rsid w:val="00D63AF2"/>
    <w:rsid w:val="00D63CFE"/>
    <w:rsid w:val="00D63DF2"/>
    <w:rsid w:val="00D64EFB"/>
    <w:rsid w:val="00D6557F"/>
    <w:rsid w:val="00D65B34"/>
    <w:rsid w:val="00D65D03"/>
    <w:rsid w:val="00D65F47"/>
    <w:rsid w:val="00D662FC"/>
    <w:rsid w:val="00D67124"/>
    <w:rsid w:val="00D677D8"/>
    <w:rsid w:val="00D67834"/>
    <w:rsid w:val="00D67A0C"/>
    <w:rsid w:val="00D70091"/>
    <w:rsid w:val="00D70186"/>
    <w:rsid w:val="00D7036D"/>
    <w:rsid w:val="00D7042E"/>
    <w:rsid w:val="00D70575"/>
    <w:rsid w:val="00D708D1"/>
    <w:rsid w:val="00D709A2"/>
    <w:rsid w:val="00D711D1"/>
    <w:rsid w:val="00D714BA"/>
    <w:rsid w:val="00D71560"/>
    <w:rsid w:val="00D717CB"/>
    <w:rsid w:val="00D728ED"/>
    <w:rsid w:val="00D72E39"/>
    <w:rsid w:val="00D735AF"/>
    <w:rsid w:val="00D737C2"/>
    <w:rsid w:val="00D738BB"/>
    <w:rsid w:val="00D73A0D"/>
    <w:rsid w:val="00D73AAD"/>
    <w:rsid w:val="00D73BFA"/>
    <w:rsid w:val="00D73D52"/>
    <w:rsid w:val="00D742F6"/>
    <w:rsid w:val="00D74702"/>
    <w:rsid w:val="00D748E0"/>
    <w:rsid w:val="00D74A9C"/>
    <w:rsid w:val="00D74BC4"/>
    <w:rsid w:val="00D74C2A"/>
    <w:rsid w:val="00D75293"/>
    <w:rsid w:val="00D75311"/>
    <w:rsid w:val="00D75691"/>
    <w:rsid w:val="00D75762"/>
    <w:rsid w:val="00D763BF"/>
    <w:rsid w:val="00D7660F"/>
    <w:rsid w:val="00D7673F"/>
    <w:rsid w:val="00D767CB"/>
    <w:rsid w:val="00D767DF"/>
    <w:rsid w:val="00D76905"/>
    <w:rsid w:val="00D76EEA"/>
    <w:rsid w:val="00D76FCB"/>
    <w:rsid w:val="00D772DB"/>
    <w:rsid w:val="00D77923"/>
    <w:rsid w:val="00D77C6F"/>
    <w:rsid w:val="00D805B6"/>
    <w:rsid w:val="00D80D8D"/>
    <w:rsid w:val="00D810C1"/>
    <w:rsid w:val="00D81167"/>
    <w:rsid w:val="00D8124D"/>
    <w:rsid w:val="00D815F1"/>
    <w:rsid w:val="00D81669"/>
    <w:rsid w:val="00D81994"/>
    <w:rsid w:val="00D81BD3"/>
    <w:rsid w:val="00D81E20"/>
    <w:rsid w:val="00D82563"/>
    <w:rsid w:val="00D825A6"/>
    <w:rsid w:val="00D825D0"/>
    <w:rsid w:val="00D826D0"/>
    <w:rsid w:val="00D828A4"/>
    <w:rsid w:val="00D82A8B"/>
    <w:rsid w:val="00D82CFC"/>
    <w:rsid w:val="00D83322"/>
    <w:rsid w:val="00D8336C"/>
    <w:rsid w:val="00D83D4A"/>
    <w:rsid w:val="00D84295"/>
    <w:rsid w:val="00D84542"/>
    <w:rsid w:val="00D845CA"/>
    <w:rsid w:val="00D84655"/>
    <w:rsid w:val="00D84669"/>
    <w:rsid w:val="00D848BD"/>
    <w:rsid w:val="00D848F8"/>
    <w:rsid w:val="00D84A6C"/>
    <w:rsid w:val="00D84AF3"/>
    <w:rsid w:val="00D84C1E"/>
    <w:rsid w:val="00D84E57"/>
    <w:rsid w:val="00D850B0"/>
    <w:rsid w:val="00D85455"/>
    <w:rsid w:val="00D85704"/>
    <w:rsid w:val="00D85A9C"/>
    <w:rsid w:val="00D85CC3"/>
    <w:rsid w:val="00D86451"/>
    <w:rsid w:val="00D8656F"/>
    <w:rsid w:val="00D866CF"/>
    <w:rsid w:val="00D86F19"/>
    <w:rsid w:val="00D87152"/>
    <w:rsid w:val="00D8726A"/>
    <w:rsid w:val="00D8731B"/>
    <w:rsid w:val="00D873DC"/>
    <w:rsid w:val="00D87A9E"/>
    <w:rsid w:val="00D87D7E"/>
    <w:rsid w:val="00D908C2"/>
    <w:rsid w:val="00D90A63"/>
    <w:rsid w:val="00D90F7E"/>
    <w:rsid w:val="00D91078"/>
    <w:rsid w:val="00D91E6F"/>
    <w:rsid w:val="00D91F83"/>
    <w:rsid w:val="00D91F89"/>
    <w:rsid w:val="00D92650"/>
    <w:rsid w:val="00D9287E"/>
    <w:rsid w:val="00D929B1"/>
    <w:rsid w:val="00D92DD4"/>
    <w:rsid w:val="00D93435"/>
    <w:rsid w:val="00D936E3"/>
    <w:rsid w:val="00D937EF"/>
    <w:rsid w:val="00D93957"/>
    <w:rsid w:val="00D93DFE"/>
    <w:rsid w:val="00D9402E"/>
    <w:rsid w:val="00D94449"/>
    <w:rsid w:val="00D947E8"/>
    <w:rsid w:val="00D947E9"/>
    <w:rsid w:val="00D95120"/>
    <w:rsid w:val="00D9584F"/>
    <w:rsid w:val="00D95FF6"/>
    <w:rsid w:val="00D960DA"/>
    <w:rsid w:val="00D96191"/>
    <w:rsid w:val="00D9698A"/>
    <w:rsid w:val="00D96DDA"/>
    <w:rsid w:val="00D96F65"/>
    <w:rsid w:val="00D9719F"/>
    <w:rsid w:val="00D97472"/>
    <w:rsid w:val="00D978A8"/>
    <w:rsid w:val="00D9797C"/>
    <w:rsid w:val="00D97BB8"/>
    <w:rsid w:val="00D97E37"/>
    <w:rsid w:val="00DA00AA"/>
    <w:rsid w:val="00DA0187"/>
    <w:rsid w:val="00DA03B5"/>
    <w:rsid w:val="00DA0D46"/>
    <w:rsid w:val="00DA0EC4"/>
    <w:rsid w:val="00DA15AB"/>
    <w:rsid w:val="00DA16F1"/>
    <w:rsid w:val="00DA179A"/>
    <w:rsid w:val="00DA1A3F"/>
    <w:rsid w:val="00DA1FFB"/>
    <w:rsid w:val="00DA251E"/>
    <w:rsid w:val="00DA2755"/>
    <w:rsid w:val="00DA3096"/>
    <w:rsid w:val="00DA36D9"/>
    <w:rsid w:val="00DA36ED"/>
    <w:rsid w:val="00DA37B8"/>
    <w:rsid w:val="00DA3A67"/>
    <w:rsid w:val="00DA4039"/>
    <w:rsid w:val="00DA4174"/>
    <w:rsid w:val="00DA429A"/>
    <w:rsid w:val="00DA453C"/>
    <w:rsid w:val="00DA46BA"/>
    <w:rsid w:val="00DA47FE"/>
    <w:rsid w:val="00DA48A3"/>
    <w:rsid w:val="00DA49F6"/>
    <w:rsid w:val="00DA4F7D"/>
    <w:rsid w:val="00DA4FCC"/>
    <w:rsid w:val="00DA518D"/>
    <w:rsid w:val="00DA546C"/>
    <w:rsid w:val="00DA554A"/>
    <w:rsid w:val="00DA5592"/>
    <w:rsid w:val="00DA5ABD"/>
    <w:rsid w:val="00DA5F65"/>
    <w:rsid w:val="00DA6574"/>
    <w:rsid w:val="00DA667A"/>
    <w:rsid w:val="00DA6A2A"/>
    <w:rsid w:val="00DA6D41"/>
    <w:rsid w:val="00DA7630"/>
    <w:rsid w:val="00DA7D27"/>
    <w:rsid w:val="00DB033C"/>
    <w:rsid w:val="00DB035A"/>
    <w:rsid w:val="00DB0373"/>
    <w:rsid w:val="00DB03E1"/>
    <w:rsid w:val="00DB03E2"/>
    <w:rsid w:val="00DB0678"/>
    <w:rsid w:val="00DB074F"/>
    <w:rsid w:val="00DB0F4E"/>
    <w:rsid w:val="00DB1056"/>
    <w:rsid w:val="00DB15A2"/>
    <w:rsid w:val="00DB1681"/>
    <w:rsid w:val="00DB1DF4"/>
    <w:rsid w:val="00DB1FE2"/>
    <w:rsid w:val="00DB2225"/>
    <w:rsid w:val="00DB28B6"/>
    <w:rsid w:val="00DB29D1"/>
    <w:rsid w:val="00DB2CB1"/>
    <w:rsid w:val="00DB2ED8"/>
    <w:rsid w:val="00DB3779"/>
    <w:rsid w:val="00DB39B0"/>
    <w:rsid w:val="00DB40AB"/>
    <w:rsid w:val="00DB40F1"/>
    <w:rsid w:val="00DB4206"/>
    <w:rsid w:val="00DB43A3"/>
    <w:rsid w:val="00DB4C1E"/>
    <w:rsid w:val="00DB53EE"/>
    <w:rsid w:val="00DB57DA"/>
    <w:rsid w:val="00DB599D"/>
    <w:rsid w:val="00DB5F66"/>
    <w:rsid w:val="00DB664C"/>
    <w:rsid w:val="00DB6676"/>
    <w:rsid w:val="00DB68B6"/>
    <w:rsid w:val="00DB6A0B"/>
    <w:rsid w:val="00DB6E7C"/>
    <w:rsid w:val="00DB6E8C"/>
    <w:rsid w:val="00DB6E94"/>
    <w:rsid w:val="00DB73A9"/>
    <w:rsid w:val="00DB77D4"/>
    <w:rsid w:val="00DB7F1E"/>
    <w:rsid w:val="00DB7FF6"/>
    <w:rsid w:val="00DC0157"/>
    <w:rsid w:val="00DC03D4"/>
    <w:rsid w:val="00DC0450"/>
    <w:rsid w:val="00DC0533"/>
    <w:rsid w:val="00DC05DD"/>
    <w:rsid w:val="00DC0783"/>
    <w:rsid w:val="00DC094B"/>
    <w:rsid w:val="00DC09AF"/>
    <w:rsid w:val="00DC0C38"/>
    <w:rsid w:val="00DC1269"/>
    <w:rsid w:val="00DC1354"/>
    <w:rsid w:val="00DC1774"/>
    <w:rsid w:val="00DC1BEC"/>
    <w:rsid w:val="00DC1F16"/>
    <w:rsid w:val="00DC25EE"/>
    <w:rsid w:val="00DC27AF"/>
    <w:rsid w:val="00DC29F6"/>
    <w:rsid w:val="00DC2E74"/>
    <w:rsid w:val="00DC2EE1"/>
    <w:rsid w:val="00DC320C"/>
    <w:rsid w:val="00DC3562"/>
    <w:rsid w:val="00DC356B"/>
    <w:rsid w:val="00DC370F"/>
    <w:rsid w:val="00DC3DE3"/>
    <w:rsid w:val="00DC42CA"/>
    <w:rsid w:val="00DC4334"/>
    <w:rsid w:val="00DC49F0"/>
    <w:rsid w:val="00DC4B23"/>
    <w:rsid w:val="00DC4E5C"/>
    <w:rsid w:val="00DC5165"/>
    <w:rsid w:val="00DC5514"/>
    <w:rsid w:val="00DC56FE"/>
    <w:rsid w:val="00DC5A77"/>
    <w:rsid w:val="00DC5AB1"/>
    <w:rsid w:val="00DC5D4B"/>
    <w:rsid w:val="00DC6224"/>
    <w:rsid w:val="00DC628D"/>
    <w:rsid w:val="00DC74FF"/>
    <w:rsid w:val="00DC7762"/>
    <w:rsid w:val="00DC79EE"/>
    <w:rsid w:val="00DC7F81"/>
    <w:rsid w:val="00DD0157"/>
    <w:rsid w:val="00DD03D1"/>
    <w:rsid w:val="00DD045A"/>
    <w:rsid w:val="00DD0771"/>
    <w:rsid w:val="00DD07B8"/>
    <w:rsid w:val="00DD07CA"/>
    <w:rsid w:val="00DD09D7"/>
    <w:rsid w:val="00DD16BF"/>
    <w:rsid w:val="00DD1AA0"/>
    <w:rsid w:val="00DD1BBB"/>
    <w:rsid w:val="00DD1FF7"/>
    <w:rsid w:val="00DD2410"/>
    <w:rsid w:val="00DD246A"/>
    <w:rsid w:val="00DD2957"/>
    <w:rsid w:val="00DD2C92"/>
    <w:rsid w:val="00DD320A"/>
    <w:rsid w:val="00DD3654"/>
    <w:rsid w:val="00DD377A"/>
    <w:rsid w:val="00DD3A0B"/>
    <w:rsid w:val="00DD3EAD"/>
    <w:rsid w:val="00DD484F"/>
    <w:rsid w:val="00DD489A"/>
    <w:rsid w:val="00DD4F68"/>
    <w:rsid w:val="00DD54C2"/>
    <w:rsid w:val="00DD5CE4"/>
    <w:rsid w:val="00DD5E34"/>
    <w:rsid w:val="00DD672F"/>
    <w:rsid w:val="00DD6787"/>
    <w:rsid w:val="00DD6EB1"/>
    <w:rsid w:val="00DD6FDF"/>
    <w:rsid w:val="00DD70DE"/>
    <w:rsid w:val="00DD71BB"/>
    <w:rsid w:val="00DD7715"/>
    <w:rsid w:val="00DD776A"/>
    <w:rsid w:val="00DD7985"/>
    <w:rsid w:val="00DD7B80"/>
    <w:rsid w:val="00DE0131"/>
    <w:rsid w:val="00DE050D"/>
    <w:rsid w:val="00DE0580"/>
    <w:rsid w:val="00DE0665"/>
    <w:rsid w:val="00DE0E53"/>
    <w:rsid w:val="00DE11DE"/>
    <w:rsid w:val="00DE1354"/>
    <w:rsid w:val="00DE13FF"/>
    <w:rsid w:val="00DE14CD"/>
    <w:rsid w:val="00DE1C3A"/>
    <w:rsid w:val="00DE1DAB"/>
    <w:rsid w:val="00DE1EB5"/>
    <w:rsid w:val="00DE2038"/>
    <w:rsid w:val="00DE218E"/>
    <w:rsid w:val="00DE27D3"/>
    <w:rsid w:val="00DE27E1"/>
    <w:rsid w:val="00DE2AED"/>
    <w:rsid w:val="00DE2C08"/>
    <w:rsid w:val="00DE37CD"/>
    <w:rsid w:val="00DE3D4E"/>
    <w:rsid w:val="00DE3DC2"/>
    <w:rsid w:val="00DE4465"/>
    <w:rsid w:val="00DE4576"/>
    <w:rsid w:val="00DE4D03"/>
    <w:rsid w:val="00DE5107"/>
    <w:rsid w:val="00DE517E"/>
    <w:rsid w:val="00DE5C39"/>
    <w:rsid w:val="00DE5D95"/>
    <w:rsid w:val="00DE6673"/>
    <w:rsid w:val="00DE7525"/>
    <w:rsid w:val="00DE76EA"/>
    <w:rsid w:val="00DE771C"/>
    <w:rsid w:val="00DE7986"/>
    <w:rsid w:val="00DE79E2"/>
    <w:rsid w:val="00DE7A50"/>
    <w:rsid w:val="00DF0109"/>
    <w:rsid w:val="00DF0BBC"/>
    <w:rsid w:val="00DF0BCB"/>
    <w:rsid w:val="00DF1091"/>
    <w:rsid w:val="00DF139D"/>
    <w:rsid w:val="00DF13AC"/>
    <w:rsid w:val="00DF1497"/>
    <w:rsid w:val="00DF1509"/>
    <w:rsid w:val="00DF1E77"/>
    <w:rsid w:val="00DF1E9D"/>
    <w:rsid w:val="00DF2071"/>
    <w:rsid w:val="00DF2074"/>
    <w:rsid w:val="00DF23B5"/>
    <w:rsid w:val="00DF2EAB"/>
    <w:rsid w:val="00DF30E6"/>
    <w:rsid w:val="00DF325D"/>
    <w:rsid w:val="00DF33A2"/>
    <w:rsid w:val="00DF35F4"/>
    <w:rsid w:val="00DF3C7D"/>
    <w:rsid w:val="00DF44BB"/>
    <w:rsid w:val="00DF4BD0"/>
    <w:rsid w:val="00DF4E36"/>
    <w:rsid w:val="00DF52F0"/>
    <w:rsid w:val="00DF565A"/>
    <w:rsid w:val="00DF5696"/>
    <w:rsid w:val="00DF5864"/>
    <w:rsid w:val="00DF5C6A"/>
    <w:rsid w:val="00DF5D98"/>
    <w:rsid w:val="00DF671A"/>
    <w:rsid w:val="00DF69B6"/>
    <w:rsid w:val="00DF6B9A"/>
    <w:rsid w:val="00DF6E29"/>
    <w:rsid w:val="00DF6E5C"/>
    <w:rsid w:val="00DF6F96"/>
    <w:rsid w:val="00DF6FF8"/>
    <w:rsid w:val="00DF717F"/>
    <w:rsid w:val="00DF7435"/>
    <w:rsid w:val="00DF7495"/>
    <w:rsid w:val="00DF7AF8"/>
    <w:rsid w:val="00DF7C89"/>
    <w:rsid w:val="00DF7CA8"/>
    <w:rsid w:val="00E00035"/>
    <w:rsid w:val="00E000A2"/>
    <w:rsid w:val="00E002FE"/>
    <w:rsid w:val="00E00485"/>
    <w:rsid w:val="00E00EC6"/>
    <w:rsid w:val="00E01456"/>
    <w:rsid w:val="00E022D8"/>
    <w:rsid w:val="00E02BC6"/>
    <w:rsid w:val="00E03447"/>
    <w:rsid w:val="00E0363E"/>
    <w:rsid w:val="00E037DC"/>
    <w:rsid w:val="00E03BCA"/>
    <w:rsid w:val="00E03E0D"/>
    <w:rsid w:val="00E0434C"/>
    <w:rsid w:val="00E043D8"/>
    <w:rsid w:val="00E0445D"/>
    <w:rsid w:val="00E047A1"/>
    <w:rsid w:val="00E04ADD"/>
    <w:rsid w:val="00E04E01"/>
    <w:rsid w:val="00E058AA"/>
    <w:rsid w:val="00E05BE5"/>
    <w:rsid w:val="00E06650"/>
    <w:rsid w:val="00E06866"/>
    <w:rsid w:val="00E06C9C"/>
    <w:rsid w:val="00E06F0C"/>
    <w:rsid w:val="00E071AE"/>
    <w:rsid w:val="00E0742C"/>
    <w:rsid w:val="00E074A5"/>
    <w:rsid w:val="00E07579"/>
    <w:rsid w:val="00E0777D"/>
    <w:rsid w:val="00E07936"/>
    <w:rsid w:val="00E07F1A"/>
    <w:rsid w:val="00E104AF"/>
    <w:rsid w:val="00E105E9"/>
    <w:rsid w:val="00E10C8B"/>
    <w:rsid w:val="00E111B2"/>
    <w:rsid w:val="00E11418"/>
    <w:rsid w:val="00E116BF"/>
    <w:rsid w:val="00E11727"/>
    <w:rsid w:val="00E11742"/>
    <w:rsid w:val="00E1181A"/>
    <w:rsid w:val="00E11A2C"/>
    <w:rsid w:val="00E127A6"/>
    <w:rsid w:val="00E128A8"/>
    <w:rsid w:val="00E1298F"/>
    <w:rsid w:val="00E12E6B"/>
    <w:rsid w:val="00E13573"/>
    <w:rsid w:val="00E137E3"/>
    <w:rsid w:val="00E13B1E"/>
    <w:rsid w:val="00E13B2E"/>
    <w:rsid w:val="00E14071"/>
    <w:rsid w:val="00E1443C"/>
    <w:rsid w:val="00E144FA"/>
    <w:rsid w:val="00E149CB"/>
    <w:rsid w:val="00E14A70"/>
    <w:rsid w:val="00E14AC0"/>
    <w:rsid w:val="00E151BA"/>
    <w:rsid w:val="00E15999"/>
    <w:rsid w:val="00E15E6A"/>
    <w:rsid w:val="00E15F0B"/>
    <w:rsid w:val="00E1629D"/>
    <w:rsid w:val="00E16373"/>
    <w:rsid w:val="00E16CCA"/>
    <w:rsid w:val="00E16DEA"/>
    <w:rsid w:val="00E1730B"/>
    <w:rsid w:val="00E175A2"/>
    <w:rsid w:val="00E17B3D"/>
    <w:rsid w:val="00E17CFD"/>
    <w:rsid w:val="00E17F22"/>
    <w:rsid w:val="00E17F82"/>
    <w:rsid w:val="00E206E8"/>
    <w:rsid w:val="00E20906"/>
    <w:rsid w:val="00E2123D"/>
    <w:rsid w:val="00E2169A"/>
    <w:rsid w:val="00E216FD"/>
    <w:rsid w:val="00E21B6A"/>
    <w:rsid w:val="00E21C51"/>
    <w:rsid w:val="00E222D6"/>
    <w:rsid w:val="00E227EF"/>
    <w:rsid w:val="00E22D3D"/>
    <w:rsid w:val="00E23344"/>
    <w:rsid w:val="00E233B0"/>
    <w:rsid w:val="00E2369F"/>
    <w:rsid w:val="00E23A5F"/>
    <w:rsid w:val="00E23CB8"/>
    <w:rsid w:val="00E23D56"/>
    <w:rsid w:val="00E245FF"/>
    <w:rsid w:val="00E247B8"/>
    <w:rsid w:val="00E248A6"/>
    <w:rsid w:val="00E249E8"/>
    <w:rsid w:val="00E24A80"/>
    <w:rsid w:val="00E24E76"/>
    <w:rsid w:val="00E2512F"/>
    <w:rsid w:val="00E25315"/>
    <w:rsid w:val="00E254D7"/>
    <w:rsid w:val="00E254FE"/>
    <w:rsid w:val="00E25841"/>
    <w:rsid w:val="00E25B13"/>
    <w:rsid w:val="00E25DDB"/>
    <w:rsid w:val="00E25F38"/>
    <w:rsid w:val="00E2615A"/>
    <w:rsid w:val="00E2615C"/>
    <w:rsid w:val="00E261E2"/>
    <w:rsid w:val="00E268E1"/>
    <w:rsid w:val="00E26A6A"/>
    <w:rsid w:val="00E26B67"/>
    <w:rsid w:val="00E27386"/>
    <w:rsid w:val="00E2746F"/>
    <w:rsid w:val="00E274C6"/>
    <w:rsid w:val="00E274C8"/>
    <w:rsid w:val="00E27753"/>
    <w:rsid w:val="00E27B6D"/>
    <w:rsid w:val="00E27DE7"/>
    <w:rsid w:val="00E27F84"/>
    <w:rsid w:val="00E306EA"/>
    <w:rsid w:val="00E306F4"/>
    <w:rsid w:val="00E30814"/>
    <w:rsid w:val="00E30F8D"/>
    <w:rsid w:val="00E31022"/>
    <w:rsid w:val="00E31541"/>
    <w:rsid w:val="00E31B55"/>
    <w:rsid w:val="00E31D12"/>
    <w:rsid w:val="00E31F2D"/>
    <w:rsid w:val="00E32471"/>
    <w:rsid w:val="00E326B4"/>
    <w:rsid w:val="00E32BC1"/>
    <w:rsid w:val="00E332A7"/>
    <w:rsid w:val="00E33614"/>
    <w:rsid w:val="00E3380D"/>
    <w:rsid w:val="00E33874"/>
    <w:rsid w:val="00E33C05"/>
    <w:rsid w:val="00E340BC"/>
    <w:rsid w:val="00E3475E"/>
    <w:rsid w:val="00E349C4"/>
    <w:rsid w:val="00E34A0C"/>
    <w:rsid w:val="00E34A9F"/>
    <w:rsid w:val="00E359AC"/>
    <w:rsid w:val="00E35A6D"/>
    <w:rsid w:val="00E35D22"/>
    <w:rsid w:val="00E35D86"/>
    <w:rsid w:val="00E361FC"/>
    <w:rsid w:val="00E364A7"/>
    <w:rsid w:val="00E364E2"/>
    <w:rsid w:val="00E367BE"/>
    <w:rsid w:val="00E37811"/>
    <w:rsid w:val="00E37860"/>
    <w:rsid w:val="00E37B8A"/>
    <w:rsid w:val="00E37D56"/>
    <w:rsid w:val="00E40406"/>
    <w:rsid w:val="00E404C5"/>
    <w:rsid w:val="00E4061B"/>
    <w:rsid w:val="00E40657"/>
    <w:rsid w:val="00E4066C"/>
    <w:rsid w:val="00E40998"/>
    <w:rsid w:val="00E409C6"/>
    <w:rsid w:val="00E40C8A"/>
    <w:rsid w:val="00E40CB8"/>
    <w:rsid w:val="00E40D6D"/>
    <w:rsid w:val="00E41138"/>
    <w:rsid w:val="00E41242"/>
    <w:rsid w:val="00E41421"/>
    <w:rsid w:val="00E414BB"/>
    <w:rsid w:val="00E41793"/>
    <w:rsid w:val="00E41F56"/>
    <w:rsid w:val="00E422D1"/>
    <w:rsid w:val="00E423E4"/>
    <w:rsid w:val="00E42B8C"/>
    <w:rsid w:val="00E42CC0"/>
    <w:rsid w:val="00E42E3A"/>
    <w:rsid w:val="00E43154"/>
    <w:rsid w:val="00E43237"/>
    <w:rsid w:val="00E43362"/>
    <w:rsid w:val="00E433A8"/>
    <w:rsid w:val="00E439F4"/>
    <w:rsid w:val="00E43E8F"/>
    <w:rsid w:val="00E44064"/>
    <w:rsid w:val="00E44130"/>
    <w:rsid w:val="00E44429"/>
    <w:rsid w:val="00E444BE"/>
    <w:rsid w:val="00E4484F"/>
    <w:rsid w:val="00E44B3D"/>
    <w:rsid w:val="00E44BFE"/>
    <w:rsid w:val="00E44C9A"/>
    <w:rsid w:val="00E44F8F"/>
    <w:rsid w:val="00E45471"/>
    <w:rsid w:val="00E45B24"/>
    <w:rsid w:val="00E45DA9"/>
    <w:rsid w:val="00E45E5B"/>
    <w:rsid w:val="00E465A7"/>
    <w:rsid w:val="00E4670B"/>
    <w:rsid w:val="00E46761"/>
    <w:rsid w:val="00E4679F"/>
    <w:rsid w:val="00E46898"/>
    <w:rsid w:val="00E46B38"/>
    <w:rsid w:val="00E46EFF"/>
    <w:rsid w:val="00E473C2"/>
    <w:rsid w:val="00E4782F"/>
    <w:rsid w:val="00E47AEA"/>
    <w:rsid w:val="00E47DD9"/>
    <w:rsid w:val="00E47F0C"/>
    <w:rsid w:val="00E47F7E"/>
    <w:rsid w:val="00E5004C"/>
    <w:rsid w:val="00E50151"/>
    <w:rsid w:val="00E501D7"/>
    <w:rsid w:val="00E505B3"/>
    <w:rsid w:val="00E5080E"/>
    <w:rsid w:val="00E50887"/>
    <w:rsid w:val="00E508ED"/>
    <w:rsid w:val="00E509D5"/>
    <w:rsid w:val="00E50D3D"/>
    <w:rsid w:val="00E51179"/>
    <w:rsid w:val="00E51615"/>
    <w:rsid w:val="00E51E0A"/>
    <w:rsid w:val="00E523D2"/>
    <w:rsid w:val="00E52DD4"/>
    <w:rsid w:val="00E531F0"/>
    <w:rsid w:val="00E533CA"/>
    <w:rsid w:val="00E534C5"/>
    <w:rsid w:val="00E53786"/>
    <w:rsid w:val="00E53924"/>
    <w:rsid w:val="00E53EC1"/>
    <w:rsid w:val="00E54584"/>
    <w:rsid w:val="00E54861"/>
    <w:rsid w:val="00E55A8F"/>
    <w:rsid w:val="00E56669"/>
    <w:rsid w:val="00E569FA"/>
    <w:rsid w:val="00E56CD7"/>
    <w:rsid w:val="00E56E12"/>
    <w:rsid w:val="00E57003"/>
    <w:rsid w:val="00E571A1"/>
    <w:rsid w:val="00E572B9"/>
    <w:rsid w:val="00E57402"/>
    <w:rsid w:val="00E57571"/>
    <w:rsid w:val="00E57822"/>
    <w:rsid w:val="00E57AB6"/>
    <w:rsid w:val="00E57CA0"/>
    <w:rsid w:val="00E57E6A"/>
    <w:rsid w:val="00E6003C"/>
    <w:rsid w:val="00E6065C"/>
    <w:rsid w:val="00E60E8D"/>
    <w:rsid w:val="00E60F8C"/>
    <w:rsid w:val="00E61258"/>
    <w:rsid w:val="00E61570"/>
    <w:rsid w:val="00E61753"/>
    <w:rsid w:val="00E61760"/>
    <w:rsid w:val="00E61987"/>
    <w:rsid w:val="00E619FE"/>
    <w:rsid w:val="00E61B33"/>
    <w:rsid w:val="00E62062"/>
    <w:rsid w:val="00E6257B"/>
    <w:rsid w:val="00E62604"/>
    <w:rsid w:val="00E62DDB"/>
    <w:rsid w:val="00E637A4"/>
    <w:rsid w:val="00E639ED"/>
    <w:rsid w:val="00E63C66"/>
    <w:rsid w:val="00E63E4E"/>
    <w:rsid w:val="00E63FFE"/>
    <w:rsid w:val="00E6449E"/>
    <w:rsid w:val="00E64895"/>
    <w:rsid w:val="00E6509B"/>
    <w:rsid w:val="00E6516D"/>
    <w:rsid w:val="00E652E1"/>
    <w:rsid w:val="00E65ACA"/>
    <w:rsid w:val="00E65C9B"/>
    <w:rsid w:val="00E65DE8"/>
    <w:rsid w:val="00E65F53"/>
    <w:rsid w:val="00E66018"/>
    <w:rsid w:val="00E66369"/>
    <w:rsid w:val="00E6646D"/>
    <w:rsid w:val="00E66571"/>
    <w:rsid w:val="00E66657"/>
    <w:rsid w:val="00E666A0"/>
    <w:rsid w:val="00E66891"/>
    <w:rsid w:val="00E668E3"/>
    <w:rsid w:val="00E66BCC"/>
    <w:rsid w:val="00E66D60"/>
    <w:rsid w:val="00E66E26"/>
    <w:rsid w:val="00E67026"/>
    <w:rsid w:val="00E671D0"/>
    <w:rsid w:val="00E673BD"/>
    <w:rsid w:val="00E674B1"/>
    <w:rsid w:val="00E67C6A"/>
    <w:rsid w:val="00E70259"/>
    <w:rsid w:val="00E7036A"/>
    <w:rsid w:val="00E703DF"/>
    <w:rsid w:val="00E70D6A"/>
    <w:rsid w:val="00E7196F"/>
    <w:rsid w:val="00E71996"/>
    <w:rsid w:val="00E719B6"/>
    <w:rsid w:val="00E71D73"/>
    <w:rsid w:val="00E724A5"/>
    <w:rsid w:val="00E72583"/>
    <w:rsid w:val="00E726C2"/>
    <w:rsid w:val="00E72A38"/>
    <w:rsid w:val="00E72D35"/>
    <w:rsid w:val="00E73302"/>
    <w:rsid w:val="00E73362"/>
    <w:rsid w:val="00E735B8"/>
    <w:rsid w:val="00E7390A"/>
    <w:rsid w:val="00E739C4"/>
    <w:rsid w:val="00E73B81"/>
    <w:rsid w:val="00E73C46"/>
    <w:rsid w:val="00E73D3C"/>
    <w:rsid w:val="00E743FB"/>
    <w:rsid w:val="00E74509"/>
    <w:rsid w:val="00E74951"/>
    <w:rsid w:val="00E74B33"/>
    <w:rsid w:val="00E751AE"/>
    <w:rsid w:val="00E7564D"/>
    <w:rsid w:val="00E7578F"/>
    <w:rsid w:val="00E758F6"/>
    <w:rsid w:val="00E7604C"/>
    <w:rsid w:val="00E760B3"/>
    <w:rsid w:val="00E763E7"/>
    <w:rsid w:val="00E7684A"/>
    <w:rsid w:val="00E76995"/>
    <w:rsid w:val="00E769F9"/>
    <w:rsid w:val="00E76A49"/>
    <w:rsid w:val="00E76C6F"/>
    <w:rsid w:val="00E76C7B"/>
    <w:rsid w:val="00E76E66"/>
    <w:rsid w:val="00E76FF0"/>
    <w:rsid w:val="00E77C81"/>
    <w:rsid w:val="00E77DB4"/>
    <w:rsid w:val="00E77F99"/>
    <w:rsid w:val="00E77FAF"/>
    <w:rsid w:val="00E8007E"/>
    <w:rsid w:val="00E80219"/>
    <w:rsid w:val="00E80240"/>
    <w:rsid w:val="00E8038B"/>
    <w:rsid w:val="00E8039E"/>
    <w:rsid w:val="00E803C5"/>
    <w:rsid w:val="00E809BD"/>
    <w:rsid w:val="00E80BE5"/>
    <w:rsid w:val="00E812F6"/>
    <w:rsid w:val="00E8139A"/>
    <w:rsid w:val="00E81798"/>
    <w:rsid w:val="00E818BD"/>
    <w:rsid w:val="00E8191C"/>
    <w:rsid w:val="00E81A89"/>
    <w:rsid w:val="00E81AAD"/>
    <w:rsid w:val="00E81E90"/>
    <w:rsid w:val="00E82186"/>
    <w:rsid w:val="00E82722"/>
    <w:rsid w:val="00E8290F"/>
    <w:rsid w:val="00E82BA1"/>
    <w:rsid w:val="00E82C6B"/>
    <w:rsid w:val="00E82D92"/>
    <w:rsid w:val="00E82FB2"/>
    <w:rsid w:val="00E83486"/>
    <w:rsid w:val="00E8411F"/>
    <w:rsid w:val="00E84993"/>
    <w:rsid w:val="00E84BC2"/>
    <w:rsid w:val="00E84E9A"/>
    <w:rsid w:val="00E84F77"/>
    <w:rsid w:val="00E84FED"/>
    <w:rsid w:val="00E85172"/>
    <w:rsid w:val="00E851F3"/>
    <w:rsid w:val="00E85201"/>
    <w:rsid w:val="00E85238"/>
    <w:rsid w:val="00E852C3"/>
    <w:rsid w:val="00E853BC"/>
    <w:rsid w:val="00E855B8"/>
    <w:rsid w:val="00E85904"/>
    <w:rsid w:val="00E86162"/>
    <w:rsid w:val="00E86A14"/>
    <w:rsid w:val="00E86E6C"/>
    <w:rsid w:val="00E86FB0"/>
    <w:rsid w:val="00E87423"/>
    <w:rsid w:val="00E875EE"/>
    <w:rsid w:val="00E87862"/>
    <w:rsid w:val="00E87878"/>
    <w:rsid w:val="00E8789A"/>
    <w:rsid w:val="00E8793E"/>
    <w:rsid w:val="00E9037C"/>
    <w:rsid w:val="00E904DF"/>
    <w:rsid w:val="00E90820"/>
    <w:rsid w:val="00E90D57"/>
    <w:rsid w:val="00E90DA1"/>
    <w:rsid w:val="00E9107E"/>
    <w:rsid w:val="00E9125B"/>
    <w:rsid w:val="00E912EB"/>
    <w:rsid w:val="00E91463"/>
    <w:rsid w:val="00E915ED"/>
    <w:rsid w:val="00E91C72"/>
    <w:rsid w:val="00E91CC2"/>
    <w:rsid w:val="00E91D2E"/>
    <w:rsid w:val="00E91F1C"/>
    <w:rsid w:val="00E92B66"/>
    <w:rsid w:val="00E92F5C"/>
    <w:rsid w:val="00E93727"/>
    <w:rsid w:val="00E93788"/>
    <w:rsid w:val="00E93AE0"/>
    <w:rsid w:val="00E93AFF"/>
    <w:rsid w:val="00E93DCB"/>
    <w:rsid w:val="00E9479C"/>
    <w:rsid w:val="00E94DFF"/>
    <w:rsid w:val="00E95355"/>
    <w:rsid w:val="00E955A3"/>
    <w:rsid w:val="00E956DF"/>
    <w:rsid w:val="00E95B39"/>
    <w:rsid w:val="00E95BBB"/>
    <w:rsid w:val="00E95D2C"/>
    <w:rsid w:val="00E96921"/>
    <w:rsid w:val="00E96C75"/>
    <w:rsid w:val="00E9729E"/>
    <w:rsid w:val="00E97564"/>
    <w:rsid w:val="00E97694"/>
    <w:rsid w:val="00E97B1F"/>
    <w:rsid w:val="00EA03C3"/>
    <w:rsid w:val="00EA04C8"/>
    <w:rsid w:val="00EA0876"/>
    <w:rsid w:val="00EA09AA"/>
    <w:rsid w:val="00EA09B3"/>
    <w:rsid w:val="00EA0A86"/>
    <w:rsid w:val="00EA0EF7"/>
    <w:rsid w:val="00EA1630"/>
    <w:rsid w:val="00EA19D5"/>
    <w:rsid w:val="00EA1E01"/>
    <w:rsid w:val="00EA1F18"/>
    <w:rsid w:val="00EA20EF"/>
    <w:rsid w:val="00EA21F0"/>
    <w:rsid w:val="00EA2493"/>
    <w:rsid w:val="00EA250C"/>
    <w:rsid w:val="00EA254F"/>
    <w:rsid w:val="00EA28FC"/>
    <w:rsid w:val="00EA29B3"/>
    <w:rsid w:val="00EA2B8A"/>
    <w:rsid w:val="00EA2F41"/>
    <w:rsid w:val="00EA34B4"/>
    <w:rsid w:val="00EA490B"/>
    <w:rsid w:val="00EA4D13"/>
    <w:rsid w:val="00EA4DBE"/>
    <w:rsid w:val="00EA4E88"/>
    <w:rsid w:val="00EA53B8"/>
    <w:rsid w:val="00EA53CA"/>
    <w:rsid w:val="00EA58CB"/>
    <w:rsid w:val="00EA5A2C"/>
    <w:rsid w:val="00EA5AAC"/>
    <w:rsid w:val="00EA5C90"/>
    <w:rsid w:val="00EA61D2"/>
    <w:rsid w:val="00EA6330"/>
    <w:rsid w:val="00EA6531"/>
    <w:rsid w:val="00EA67E9"/>
    <w:rsid w:val="00EA6853"/>
    <w:rsid w:val="00EA6C4E"/>
    <w:rsid w:val="00EA7419"/>
    <w:rsid w:val="00EA7C82"/>
    <w:rsid w:val="00EA7D92"/>
    <w:rsid w:val="00EB03A8"/>
    <w:rsid w:val="00EB05F7"/>
    <w:rsid w:val="00EB078C"/>
    <w:rsid w:val="00EB0BFB"/>
    <w:rsid w:val="00EB1332"/>
    <w:rsid w:val="00EB16EC"/>
    <w:rsid w:val="00EB1CE4"/>
    <w:rsid w:val="00EB1E0D"/>
    <w:rsid w:val="00EB2095"/>
    <w:rsid w:val="00EB25F7"/>
    <w:rsid w:val="00EB2640"/>
    <w:rsid w:val="00EB2681"/>
    <w:rsid w:val="00EB2E47"/>
    <w:rsid w:val="00EB3189"/>
    <w:rsid w:val="00EB3426"/>
    <w:rsid w:val="00EB34F6"/>
    <w:rsid w:val="00EB3632"/>
    <w:rsid w:val="00EB39A1"/>
    <w:rsid w:val="00EB3A40"/>
    <w:rsid w:val="00EB3A70"/>
    <w:rsid w:val="00EB4706"/>
    <w:rsid w:val="00EB4F2B"/>
    <w:rsid w:val="00EB4F4E"/>
    <w:rsid w:val="00EB556E"/>
    <w:rsid w:val="00EB58EF"/>
    <w:rsid w:val="00EB5AAA"/>
    <w:rsid w:val="00EB5B85"/>
    <w:rsid w:val="00EB5E49"/>
    <w:rsid w:val="00EB5F2C"/>
    <w:rsid w:val="00EB666C"/>
    <w:rsid w:val="00EB6A81"/>
    <w:rsid w:val="00EB70B0"/>
    <w:rsid w:val="00EB73E7"/>
    <w:rsid w:val="00EB7574"/>
    <w:rsid w:val="00EB7707"/>
    <w:rsid w:val="00EB770D"/>
    <w:rsid w:val="00EB771B"/>
    <w:rsid w:val="00EB7F4C"/>
    <w:rsid w:val="00EB7FE5"/>
    <w:rsid w:val="00EC003B"/>
    <w:rsid w:val="00EC0B4A"/>
    <w:rsid w:val="00EC0D7B"/>
    <w:rsid w:val="00EC1119"/>
    <w:rsid w:val="00EC1232"/>
    <w:rsid w:val="00EC1378"/>
    <w:rsid w:val="00EC1879"/>
    <w:rsid w:val="00EC1A30"/>
    <w:rsid w:val="00EC1EF8"/>
    <w:rsid w:val="00EC20A3"/>
    <w:rsid w:val="00EC2170"/>
    <w:rsid w:val="00EC24CD"/>
    <w:rsid w:val="00EC24F9"/>
    <w:rsid w:val="00EC289D"/>
    <w:rsid w:val="00EC28F3"/>
    <w:rsid w:val="00EC29C0"/>
    <w:rsid w:val="00EC2D08"/>
    <w:rsid w:val="00EC2E79"/>
    <w:rsid w:val="00EC308A"/>
    <w:rsid w:val="00EC3397"/>
    <w:rsid w:val="00EC3724"/>
    <w:rsid w:val="00EC381E"/>
    <w:rsid w:val="00EC38F3"/>
    <w:rsid w:val="00EC3AD6"/>
    <w:rsid w:val="00EC3D3F"/>
    <w:rsid w:val="00EC42F7"/>
    <w:rsid w:val="00EC4396"/>
    <w:rsid w:val="00EC4D07"/>
    <w:rsid w:val="00EC4DAE"/>
    <w:rsid w:val="00EC5109"/>
    <w:rsid w:val="00EC560B"/>
    <w:rsid w:val="00EC5635"/>
    <w:rsid w:val="00EC57DD"/>
    <w:rsid w:val="00EC612E"/>
    <w:rsid w:val="00EC62B2"/>
    <w:rsid w:val="00EC699B"/>
    <w:rsid w:val="00EC699F"/>
    <w:rsid w:val="00EC7004"/>
    <w:rsid w:val="00EC71AB"/>
    <w:rsid w:val="00EC75CA"/>
    <w:rsid w:val="00EC7811"/>
    <w:rsid w:val="00EC7858"/>
    <w:rsid w:val="00EC78F2"/>
    <w:rsid w:val="00EC7D5C"/>
    <w:rsid w:val="00EC7E45"/>
    <w:rsid w:val="00EC7E94"/>
    <w:rsid w:val="00ED0118"/>
    <w:rsid w:val="00ED0375"/>
    <w:rsid w:val="00ED0A77"/>
    <w:rsid w:val="00ED0E35"/>
    <w:rsid w:val="00ED14C0"/>
    <w:rsid w:val="00ED168B"/>
    <w:rsid w:val="00ED16CB"/>
    <w:rsid w:val="00ED18D0"/>
    <w:rsid w:val="00ED1A39"/>
    <w:rsid w:val="00ED1DCB"/>
    <w:rsid w:val="00ED2216"/>
    <w:rsid w:val="00ED225C"/>
    <w:rsid w:val="00ED2776"/>
    <w:rsid w:val="00ED2F8D"/>
    <w:rsid w:val="00ED325F"/>
    <w:rsid w:val="00ED38B8"/>
    <w:rsid w:val="00ED3A5A"/>
    <w:rsid w:val="00ED3C3E"/>
    <w:rsid w:val="00ED3CAD"/>
    <w:rsid w:val="00ED43C6"/>
    <w:rsid w:val="00ED4820"/>
    <w:rsid w:val="00ED4C52"/>
    <w:rsid w:val="00ED4E37"/>
    <w:rsid w:val="00ED50BF"/>
    <w:rsid w:val="00ED517B"/>
    <w:rsid w:val="00ED53AF"/>
    <w:rsid w:val="00ED5475"/>
    <w:rsid w:val="00ED561B"/>
    <w:rsid w:val="00ED5E45"/>
    <w:rsid w:val="00ED6156"/>
    <w:rsid w:val="00ED6658"/>
    <w:rsid w:val="00ED68EA"/>
    <w:rsid w:val="00ED6ED7"/>
    <w:rsid w:val="00ED6FCA"/>
    <w:rsid w:val="00ED724E"/>
    <w:rsid w:val="00ED74E7"/>
    <w:rsid w:val="00ED7967"/>
    <w:rsid w:val="00ED79C6"/>
    <w:rsid w:val="00ED79DF"/>
    <w:rsid w:val="00ED7AD7"/>
    <w:rsid w:val="00ED7EE6"/>
    <w:rsid w:val="00EE00E3"/>
    <w:rsid w:val="00EE0311"/>
    <w:rsid w:val="00EE06D2"/>
    <w:rsid w:val="00EE095E"/>
    <w:rsid w:val="00EE0AA7"/>
    <w:rsid w:val="00EE0EF9"/>
    <w:rsid w:val="00EE1253"/>
    <w:rsid w:val="00EE1578"/>
    <w:rsid w:val="00EE1960"/>
    <w:rsid w:val="00EE196B"/>
    <w:rsid w:val="00EE19DF"/>
    <w:rsid w:val="00EE1A12"/>
    <w:rsid w:val="00EE1B7B"/>
    <w:rsid w:val="00EE2060"/>
    <w:rsid w:val="00EE20CB"/>
    <w:rsid w:val="00EE2291"/>
    <w:rsid w:val="00EE2E14"/>
    <w:rsid w:val="00EE2F25"/>
    <w:rsid w:val="00EE2FBF"/>
    <w:rsid w:val="00EE32CE"/>
    <w:rsid w:val="00EE3630"/>
    <w:rsid w:val="00EE3D35"/>
    <w:rsid w:val="00EE3F57"/>
    <w:rsid w:val="00EE4296"/>
    <w:rsid w:val="00EE4AA5"/>
    <w:rsid w:val="00EE4DC2"/>
    <w:rsid w:val="00EE5033"/>
    <w:rsid w:val="00EE58D3"/>
    <w:rsid w:val="00EE5B53"/>
    <w:rsid w:val="00EE5DA5"/>
    <w:rsid w:val="00EE5EA4"/>
    <w:rsid w:val="00EE5EA8"/>
    <w:rsid w:val="00EE6130"/>
    <w:rsid w:val="00EE6701"/>
    <w:rsid w:val="00EE67B2"/>
    <w:rsid w:val="00EE6A25"/>
    <w:rsid w:val="00EE6AC9"/>
    <w:rsid w:val="00EE6EA3"/>
    <w:rsid w:val="00EE7A55"/>
    <w:rsid w:val="00EE7C6D"/>
    <w:rsid w:val="00EF031C"/>
    <w:rsid w:val="00EF0693"/>
    <w:rsid w:val="00EF0E6C"/>
    <w:rsid w:val="00EF11C3"/>
    <w:rsid w:val="00EF1306"/>
    <w:rsid w:val="00EF15BA"/>
    <w:rsid w:val="00EF1AE0"/>
    <w:rsid w:val="00EF1B4B"/>
    <w:rsid w:val="00EF1D9E"/>
    <w:rsid w:val="00EF1E49"/>
    <w:rsid w:val="00EF242B"/>
    <w:rsid w:val="00EF27B1"/>
    <w:rsid w:val="00EF2934"/>
    <w:rsid w:val="00EF293C"/>
    <w:rsid w:val="00EF2FE3"/>
    <w:rsid w:val="00EF31DC"/>
    <w:rsid w:val="00EF35BE"/>
    <w:rsid w:val="00EF35D2"/>
    <w:rsid w:val="00EF3762"/>
    <w:rsid w:val="00EF3BE6"/>
    <w:rsid w:val="00EF4B76"/>
    <w:rsid w:val="00EF4C67"/>
    <w:rsid w:val="00EF4D0B"/>
    <w:rsid w:val="00EF518B"/>
    <w:rsid w:val="00EF51B3"/>
    <w:rsid w:val="00EF51E0"/>
    <w:rsid w:val="00EF540C"/>
    <w:rsid w:val="00EF5510"/>
    <w:rsid w:val="00EF576A"/>
    <w:rsid w:val="00EF5A33"/>
    <w:rsid w:val="00EF5B0A"/>
    <w:rsid w:val="00EF5BF7"/>
    <w:rsid w:val="00EF63CA"/>
    <w:rsid w:val="00EF64D1"/>
    <w:rsid w:val="00EF69A8"/>
    <w:rsid w:val="00EF6B34"/>
    <w:rsid w:val="00EF7377"/>
    <w:rsid w:val="00EF73A3"/>
    <w:rsid w:val="00EF7B21"/>
    <w:rsid w:val="00EF7EEB"/>
    <w:rsid w:val="00F006E8"/>
    <w:rsid w:val="00F009BA"/>
    <w:rsid w:val="00F00D53"/>
    <w:rsid w:val="00F012CC"/>
    <w:rsid w:val="00F013AE"/>
    <w:rsid w:val="00F01B42"/>
    <w:rsid w:val="00F01BCB"/>
    <w:rsid w:val="00F01F52"/>
    <w:rsid w:val="00F025CE"/>
    <w:rsid w:val="00F02C60"/>
    <w:rsid w:val="00F02C9F"/>
    <w:rsid w:val="00F030E6"/>
    <w:rsid w:val="00F0327C"/>
    <w:rsid w:val="00F03345"/>
    <w:rsid w:val="00F03423"/>
    <w:rsid w:val="00F038B4"/>
    <w:rsid w:val="00F03CA5"/>
    <w:rsid w:val="00F046FB"/>
    <w:rsid w:val="00F048A5"/>
    <w:rsid w:val="00F04A37"/>
    <w:rsid w:val="00F04BDC"/>
    <w:rsid w:val="00F04EB9"/>
    <w:rsid w:val="00F05AC2"/>
    <w:rsid w:val="00F05B38"/>
    <w:rsid w:val="00F05DCB"/>
    <w:rsid w:val="00F0632E"/>
    <w:rsid w:val="00F06D8C"/>
    <w:rsid w:val="00F06F76"/>
    <w:rsid w:val="00F07221"/>
    <w:rsid w:val="00F07446"/>
    <w:rsid w:val="00F0744E"/>
    <w:rsid w:val="00F0750D"/>
    <w:rsid w:val="00F07737"/>
    <w:rsid w:val="00F07799"/>
    <w:rsid w:val="00F07C2F"/>
    <w:rsid w:val="00F102DF"/>
    <w:rsid w:val="00F10450"/>
    <w:rsid w:val="00F10906"/>
    <w:rsid w:val="00F10925"/>
    <w:rsid w:val="00F10954"/>
    <w:rsid w:val="00F10AE7"/>
    <w:rsid w:val="00F10BC0"/>
    <w:rsid w:val="00F11199"/>
    <w:rsid w:val="00F116C6"/>
    <w:rsid w:val="00F11736"/>
    <w:rsid w:val="00F11C0B"/>
    <w:rsid w:val="00F11E70"/>
    <w:rsid w:val="00F1228C"/>
    <w:rsid w:val="00F12E45"/>
    <w:rsid w:val="00F130B1"/>
    <w:rsid w:val="00F132FD"/>
    <w:rsid w:val="00F1371E"/>
    <w:rsid w:val="00F137DF"/>
    <w:rsid w:val="00F13894"/>
    <w:rsid w:val="00F13A4A"/>
    <w:rsid w:val="00F13BCD"/>
    <w:rsid w:val="00F13C6C"/>
    <w:rsid w:val="00F13E7A"/>
    <w:rsid w:val="00F14156"/>
    <w:rsid w:val="00F1456C"/>
    <w:rsid w:val="00F14707"/>
    <w:rsid w:val="00F14777"/>
    <w:rsid w:val="00F14AB1"/>
    <w:rsid w:val="00F15302"/>
    <w:rsid w:val="00F15341"/>
    <w:rsid w:val="00F15539"/>
    <w:rsid w:val="00F1553D"/>
    <w:rsid w:val="00F157CE"/>
    <w:rsid w:val="00F15C81"/>
    <w:rsid w:val="00F15C92"/>
    <w:rsid w:val="00F15F0F"/>
    <w:rsid w:val="00F16B2C"/>
    <w:rsid w:val="00F16D8E"/>
    <w:rsid w:val="00F17394"/>
    <w:rsid w:val="00F175E4"/>
    <w:rsid w:val="00F17D15"/>
    <w:rsid w:val="00F17E17"/>
    <w:rsid w:val="00F17E48"/>
    <w:rsid w:val="00F2056E"/>
    <w:rsid w:val="00F206C5"/>
    <w:rsid w:val="00F20ACC"/>
    <w:rsid w:val="00F20E0C"/>
    <w:rsid w:val="00F20E4F"/>
    <w:rsid w:val="00F211BC"/>
    <w:rsid w:val="00F21208"/>
    <w:rsid w:val="00F21CAB"/>
    <w:rsid w:val="00F21ED7"/>
    <w:rsid w:val="00F220A6"/>
    <w:rsid w:val="00F220DD"/>
    <w:rsid w:val="00F2217A"/>
    <w:rsid w:val="00F221DD"/>
    <w:rsid w:val="00F22765"/>
    <w:rsid w:val="00F22770"/>
    <w:rsid w:val="00F22E54"/>
    <w:rsid w:val="00F23153"/>
    <w:rsid w:val="00F23337"/>
    <w:rsid w:val="00F2348B"/>
    <w:rsid w:val="00F23523"/>
    <w:rsid w:val="00F23CD4"/>
    <w:rsid w:val="00F23F23"/>
    <w:rsid w:val="00F24128"/>
    <w:rsid w:val="00F24553"/>
    <w:rsid w:val="00F24905"/>
    <w:rsid w:val="00F24A7B"/>
    <w:rsid w:val="00F25B53"/>
    <w:rsid w:val="00F26965"/>
    <w:rsid w:val="00F26D6A"/>
    <w:rsid w:val="00F271DB"/>
    <w:rsid w:val="00F2732F"/>
    <w:rsid w:val="00F2736F"/>
    <w:rsid w:val="00F273B8"/>
    <w:rsid w:val="00F27905"/>
    <w:rsid w:val="00F27CEA"/>
    <w:rsid w:val="00F27DB9"/>
    <w:rsid w:val="00F30308"/>
    <w:rsid w:val="00F30570"/>
    <w:rsid w:val="00F30C5D"/>
    <w:rsid w:val="00F313B0"/>
    <w:rsid w:val="00F31747"/>
    <w:rsid w:val="00F31F7C"/>
    <w:rsid w:val="00F32072"/>
    <w:rsid w:val="00F322ED"/>
    <w:rsid w:val="00F32456"/>
    <w:rsid w:val="00F3262E"/>
    <w:rsid w:val="00F32925"/>
    <w:rsid w:val="00F32AF8"/>
    <w:rsid w:val="00F3313C"/>
    <w:rsid w:val="00F3343A"/>
    <w:rsid w:val="00F3357B"/>
    <w:rsid w:val="00F337C5"/>
    <w:rsid w:val="00F33C02"/>
    <w:rsid w:val="00F33F17"/>
    <w:rsid w:val="00F340D8"/>
    <w:rsid w:val="00F3496E"/>
    <w:rsid w:val="00F34FA3"/>
    <w:rsid w:val="00F35315"/>
    <w:rsid w:val="00F3534C"/>
    <w:rsid w:val="00F35468"/>
    <w:rsid w:val="00F35A4B"/>
    <w:rsid w:val="00F35ABF"/>
    <w:rsid w:val="00F35E97"/>
    <w:rsid w:val="00F364AF"/>
    <w:rsid w:val="00F36AA8"/>
    <w:rsid w:val="00F36BAC"/>
    <w:rsid w:val="00F36C86"/>
    <w:rsid w:val="00F36DAA"/>
    <w:rsid w:val="00F36E72"/>
    <w:rsid w:val="00F370B3"/>
    <w:rsid w:val="00F3749A"/>
    <w:rsid w:val="00F40C31"/>
    <w:rsid w:val="00F40F64"/>
    <w:rsid w:val="00F4131E"/>
    <w:rsid w:val="00F416B3"/>
    <w:rsid w:val="00F41888"/>
    <w:rsid w:val="00F41BA2"/>
    <w:rsid w:val="00F41C77"/>
    <w:rsid w:val="00F41CB4"/>
    <w:rsid w:val="00F41D93"/>
    <w:rsid w:val="00F421D0"/>
    <w:rsid w:val="00F42CBA"/>
    <w:rsid w:val="00F4394B"/>
    <w:rsid w:val="00F4397C"/>
    <w:rsid w:val="00F43AF1"/>
    <w:rsid w:val="00F43CE1"/>
    <w:rsid w:val="00F43E41"/>
    <w:rsid w:val="00F4407E"/>
    <w:rsid w:val="00F44198"/>
    <w:rsid w:val="00F441D9"/>
    <w:rsid w:val="00F44425"/>
    <w:rsid w:val="00F4481B"/>
    <w:rsid w:val="00F44866"/>
    <w:rsid w:val="00F448AE"/>
    <w:rsid w:val="00F4498C"/>
    <w:rsid w:val="00F44B8A"/>
    <w:rsid w:val="00F44ECA"/>
    <w:rsid w:val="00F4556F"/>
    <w:rsid w:val="00F457C1"/>
    <w:rsid w:val="00F457CA"/>
    <w:rsid w:val="00F45815"/>
    <w:rsid w:val="00F4595D"/>
    <w:rsid w:val="00F45DD6"/>
    <w:rsid w:val="00F4609A"/>
    <w:rsid w:val="00F4614A"/>
    <w:rsid w:val="00F465A0"/>
    <w:rsid w:val="00F467CF"/>
    <w:rsid w:val="00F46BF9"/>
    <w:rsid w:val="00F46C9C"/>
    <w:rsid w:val="00F46E42"/>
    <w:rsid w:val="00F47075"/>
    <w:rsid w:val="00F47188"/>
    <w:rsid w:val="00F47621"/>
    <w:rsid w:val="00F47789"/>
    <w:rsid w:val="00F47D18"/>
    <w:rsid w:val="00F47FCF"/>
    <w:rsid w:val="00F501DD"/>
    <w:rsid w:val="00F50362"/>
    <w:rsid w:val="00F5037E"/>
    <w:rsid w:val="00F503FA"/>
    <w:rsid w:val="00F5083C"/>
    <w:rsid w:val="00F50AF9"/>
    <w:rsid w:val="00F50C20"/>
    <w:rsid w:val="00F5112C"/>
    <w:rsid w:val="00F5134D"/>
    <w:rsid w:val="00F51B66"/>
    <w:rsid w:val="00F51CFF"/>
    <w:rsid w:val="00F51EEB"/>
    <w:rsid w:val="00F52119"/>
    <w:rsid w:val="00F52E55"/>
    <w:rsid w:val="00F52E7A"/>
    <w:rsid w:val="00F53092"/>
    <w:rsid w:val="00F532B6"/>
    <w:rsid w:val="00F53542"/>
    <w:rsid w:val="00F5360F"/>
    <w:rsid w:val="00F53766"/>
    <w:rsid w:val="00F54747"/>
    <w:rsid w:val="00F54A69"/>
    <w:rsid w:val="00F54E7A"/>
    <w:rsid w:val="00F559FB"/>
    <w:rsid w:val="00F55FAF"/>
    <w:rsid w:val="00F56A50"/>
    <w:rsid w:val="00F56B7F"/>
    <w:rsid w:val="00F56E39"/>
    <w:rsid w:val="00F57197"/>
    <w:rsid w:val="00F5730D"/>
    <w:rsid w:val="00F57558"/>
    <w:rsid w:val="00F5763F"/>
    <w:rsid w:val="00F60416"/>
    <w:rsid w:val="00F6043C"/>
    <w:rsid w:val="00F60EAB"/>
    <w:rsid w:val="00F610F3"/>
    <w:rsid w:val="00F62028"/>
    <w:rsid w:val="00F62818"/>
    <w:rsid w:val="00F62E0F"/>
    <w:rsid w:val="00F62E27"/>
    <w:rsid w:val="00F62E48"/>
    <w:rsid w:val="00F6382B"/>
    <w:rsid w:val="00F63979"/>
    <w:rsid w:val="00F639EB"/>
    <w:rsid w:val="00F63C3A"/>
    <w:rsid w:val="00F63CAB"/>
    <w:rsid w:val="00F64D0F"/>
    <w:rsid w:val="00F64EA7"/>
    <w:rsid w:val="00F65D69"/>
    <w:rsid w:val="00F6681A"/>
    <w:rsid w:val="00F67858"/>
    <w:rsid w:val="00F67C7A"/>
    <w:rsid w:val="00F67D6A"/>
    <w:rsid w:val="00F7001D"/>
    <w:rsid w:val="00F70282"/>
    <w:rsid w:val="00F70583"/>
    <w:rsid w:val="00F70700"/>
    <w:rsid w:val="00F70BCB"/>
    <w:rsid w:val="00F713F7"/>
    <w:rsid w:val="00F71459"/>
    <w:rsid w:val="00F71620"/>
    <w:rsid w:val="00F71D11"/>
    <w:rsid w:val="00F72613"/>
    <w:rsid w:val="00F72948"/>
    <w:rsid w:val="00F72F8E"/>
    <w:rsid w:val="00F7300B"/>
    <w:rsid w:val="00F730BD"/>
    <w:rsid w:val="00F732B7"/>
    <w:rsid w:val="00F73FE6"/>
    <w:rsid w:val="00F745E4"/>
    <w:rsid w:val="00F7467A"/>
    <w:rsid w:val="00F74808"/>
    <w:rsid w:val="00F74A41"/>
    <w:rsid w:val="00F75262"/>
    <w:rsid w:val="00F754C0"/>
    <w:rsid w:val="00F755F9"/>
    <w:rsid w:val="00F75775"/>
    <w:rsid w:val="00F759DB"/>
    <w:rsid w:val="00F768EE"/>
    <w:rsid w:val="00F76C8C"/>
    <w:rsid w:val="00F77337"/>
    <w:rsid w:val="00F77DBA"/>
    <w:rsid w:val="00F80145"/>
    <w:rsid w:val="00F805DD"/>
    <w:rsid w:val="00F80BE0"/>
    <w:rsid w:val="00F81336"/>
    <w:rsid w:val="00F81A63"/>
    <w:rsid w:val="00F81D34"/>
    <w:rsid w:val="00F8261E"/>
    <w:rsid w:val="00F826B5"/>
    <w:rsid w:val="00F829B1"/>
    <w:rsid w:val="00F82A68"/>
    <w:rsid w:val="00F82B4A"/>
    <w:rsid w:val="00F82E7A"/>
    <w:rsid w:val="00F834FA"/>
    <w:rsid w:val="00F83B7B"/>
    <w:rsid w:val="00F83BFF"/>
    <w:rsid w:val="00F84318"/>
    <w:rsid w:val="00F844F5"/>
    <w:rsid w:val="00F84636"/>
    <w:rsid w:val="00F84EEF"/>
    <w:rsid w:val="00F854F3"/>
    <w:rsid w:val="00F85642"/>
    <w:rsid w:val="00F857CD"/>
    <w:rsid w:val="00F85AF6"/>
    <w:rsid w:val="00F85BE0"/>
    <w:rsid w:val="00F85E70"/>
    <w:rsid w:val="00F863C7"/>
    <w:rsid w:val="00F863D3"/>
    <w:rsid w:val="00F864DD"/>
    <w:rsid w:val="00F86DDB"/>
    <w:rsid w:val="00F8717F"/>
    <w:rsid w:val="00F874C2"/>
    <w:rsid w:val="00F87952"/>
    <w:rsid w:val="00F87A5B"/>
    <w:rsid w:val="00F87CC1"/>
    <w:rsid w:val="00F87F8B"/>
    <w:rsid w:val="00F901D2"/>
    <w:rsid w:val="00F9021A"/>
    <w:rsid w:val="00F90277"/>
    <w:rsid w:val="00F9118E"/>
    <w:rsid w:val="00F91267"/>
    <w:rsid w:val="00F9133B"/>
    <w:rsid w:val="00F914DA"/>
    <w:rsid w:val="00F915D4"/>
    <w:rsid w:val="00F916F6"/>
    <w:rsid w:val="00F91710"/>
    <w:rsid w:val="00F9171E"/>
    <w:rsid w:val="00F91955"/>
    <w:rsid w:val="00F91D4B"/>
    <w:rsid w:val="00F92240"/>
    <w:rsid w:val="00F9235C"/>
    <w:rsid w:val="00F923B6"/>
    <w:rsid w:val="00F928AE"/>
    <w:rsid w:val="00F92BD5"/>
    <w:rsid w:val="00F92C0F"/>
    <w:rsid w:val="00F936EE"/>
    <w:rsid w:val="00F93746"/>
    <w:rsid w:val="00F94C13"/>
    <w:rsid w:val="00F94C4B"/>
    <w:rsid w:val="00F94E27"/>
    <w:rsid w:val="00F94E9E"/>
    <w:rsid w:val="00F94EA2"/>
    <w:rsid w:val="00F95B72"/>
    <w:rsid w:val="00F95CC1"/>
    <w:rsid w:val="00F96029"/>
    <w:rsid w:val="00F96168"/>
    <w:rsid w:val="00F961A9"/>
    <w:rsid w:val="00F9637E"/>
    <w:rsid w:val="00F96628"/>
    <w:rsid w:val="00F96E0F"/>
    <w:rsid w:val="00F96F08"/>
    <w:rsid w:val="00F96F79"/>
    <w:rsid w:val="00F96FC5"/>
    <w:rsid w:val="00F9799B"/>
    <w:rsid w:val="00F97A56"/>
    <w:rsid w:val="00F97D99"/>
    <w:rsid w:val="00F97F10"/>
    <w:rsid w:val="00FA0169"/>
    <w:rsid w:val="00FA0548"/>
    <w:rsid w:val="00FA063A"/>
    <w:rsid w:val="00FA064D"/>
    <w:rsid w:val="00FA0AB6"/>
    <w:rsid w:val="00FA0AD1"/>
    <w:rsid w:val="00FA0BC4"/>
    <w:rsid w:val="00FA0D8B"/>
    <w:rsid w:val="00FA0F2D"/>
    <w:rsid w:val="00FA1198"/>
    <w:rsid w:val="00FA1207"/>
    <w:rsid w:val="00FA129C"/>
    <w:rsid w:val="00FA157F"/>
    <w:rsid w:val="00FA1E7E"/>
    <w:rsid w:val="00FA1FA0"/>
    <w:rsid w:val="00FA211B"/>
    <w:rsid w:val="00FA21DC"/>
    <w:rsid w:val="00FA21E4"/>
    <w:rsid w:val="00FA2F47"/>
    <w:rsid w:val="00FA3374"/>
    <w:rsid w:val="00FA34E3"/>
    <w:rsid w:val="00FA401E"/>
    <w:rsid w:val="00FA4250"/>
    <w:rsid w:val="00FA4271"/>
    <w:rsid w:val="00FA48B5"/>
    <w:rsid w:val="00FA4A48"/>
    <w:rsid w:val="00FA4AC0"/>
    <w:rsid w:val="00FA4DD8"/>
    <w:rsid w:val="00FA52B9"/>
    <w:rsid w:val="00FA52E6"/>
    <w:rsid w:val="00FA534B"/>
    <w:rsid w:val="00FA55A2"/>
    <w:rsid w:val="00FA5809"/>
    <w:rsid w:val="00FA5818"/>
    <w:rsid w:val="00FA5B6E"/>
    <w:rsid w:val="00FA5E70"/>
    <w:rsid w:val="00FA5EC2"/>
    <w:rsid w:val="00FA617D"/>
    <w:rsid w:val="00FA62CE"/>
    <w:rsid w:val="00FA653E"/>
    <w:rsid w:val="00FA6AB8"/>
    <w:rsid w:val="00FA6B3C"/>
    <w:rsid w:val="00FA6CCA"/>
    <w:rsid w:val="00FA6E46"/>
    <w:rsid w:val="00FA7040"/>
    <w:rsid w:val="00FA7055"/>
    <w:rsid w:val="00FA76D9"/>
    <w:rsid w:val="00FA77AB"/>
    <w:rsid w:val="00FA77D3"/>
    <w:rsid w:val="00FB0046"/>
    <w:rsid w:val="00FB00AD"/>
    <w:rsid w:val="00FB068F"/>
    <w:rsid w:val="00FB0851"/>
    <w:rsid w:val="00FB0D34"/>
    <w:rsid w:val="00FB118D"/>
    <w:rsid w:val="00FB19A6"/>
    <w:rsid w:val="00FB1A3D"/>
    <w:rsid w:val="00FB1FFC"/>
    <w:rsid w:val="00FB20B5"/>
    <w:rsid w:val="00FB2132"/>
    <w:rsid w:val="00FB2396"/>
    <w:rsid w:val="00FB2438"/>
    <w:rsid w:val="00FB29D7"/>
    <w:rsid w:val="00FB2C38"/>
    <w:rsid w:val="00FB2D60"/>
    <w:rsid w:val="00FB2E0C"/>
    <w:rsid w:val="00FB2F34"/>
    <w:rsid w:val="00FB32DE"/>
    <w:rsid w:val="00FB3919"/>
    <w:rsid w:val="00FB3E3B"/>
    <w:rsid w:val="00FB440B"/>
    <w:rsid w:val="00FB44C4"/>
    <w:rsid w:val="00FB45CD"/>
    <w:rsid w:val="00FB4A6F"/>
    <w:rsid w:val="00FB4A76"/>
    <w:rsid w:val="00FB4BC4"/>
    <w:rsid w:val="00FB4BE4"/>
    <w:rsid w:val="00FB4CFC"/>
    <w:rsid w:val="00FB4F89"/>
    <w:rsid w:val="00FB5382"/>
    <w:rsid w:val="00FB5453"/>
    <w:rsid w:val="00FB54F7"/>
    <w:rsid w:val="00FB5822"/>
    <w:rsid w:val="00FB654D"/>
    <w:rsid w:val="00FB6A75"/>
    <w:rsid w:val="00FB6E5C"/>
    <w:rsid w:val="00FB728C"/>
    <w:rsid w:val="00FB7400"/>
    <w:rsid w:val="00FC02BF"/>
    <w:rsid w:val="00FC02F1"/>
    <w:rsid w:val="00FC030D"/>
    <w:rsid w:val="00FC07AA"/>
    <w:rsid w:val="00FC0CCA"/>
    <w:rsid w:val="00FC0E69"/>
    <w:rsid w:val="00FC0EC5"/>
    <w:rsid w:val="00FC133D"/>
    <w:rsid w:val="00FC13CF"/>
    <w:rsid w:val="00FC1610"/>
    <w:rsid w:val="00FC1694"/>
    <w:rsid w:val="00FC19DD"/>
    <w:rsid w:val="00FC1BFF"/>
    <w:rsid w:val="00FC245C"/>
    <w:rsid w:val="00FC2951"/>
    <w:rsid w:val="00FC2B87"/>
    <w:rsid w:val="00FC3235"/>
    <w:rsid w:val="00FC32A5"/>
    <w:rsid w:val="00FC34F0"/>
    <w:rsid w:val="00FC3782"/>
    <w:rsid w:val="00FC39D9"/>
    <w:rsid w:val="00FC3C02"/>
    <w:rsid w:val="00FC3C2D"/>
    <w:rsid w:val="00FC432F"/>
    <w:rsid w:val="00FC46A6"/>
    <w:rsid w:val="00FC47BD"/>
    <w:rsid w:val="00FC4AEB"/>
    <w:rsid w:val="00FC4BB6"/>
    <w:rsid w:val="00FC548C"/>
    <w:rsid w:val="00FC57F7"/>
    <w:rsid w:val="00FC59BB"/>
    <w:rsid w:val="00FC5E89"/>
    <w:rsid w:val="00FC5FF4"/>
    <w:rsid w:val="00FC6694"/>
    <w:rsid w:val="00FC66CF"/>
    <w:rsid w:val="00FC6AEA"/>
    <w:rsid w:val="00FC6FB3"/>
    <w:rsid w:val="00FC6FE3"/>
    <w:rsid w:val="00FC737F"/>
    <w:rsid w:val="00FC799C"/>
    <w:rsid w:val="00FC7BC7"/>
    <w:rsid w:val="00FC7C2B"/>
    <w:rsid w:val="00FD0223"/>
    <w:rsid w:val="00FD0530"/>
    <w:rsid w:val="00FD07E4"/>
    <w:rsid w:val="00FD16E0"/>
    <w:rsid w:val="00FD16FF"/>
    <w:rsid w:val="00FD17B7"/>
    <w:rsid w:val="00FD1F8A"/>
    <w:rsid w:val="00FD1F8D"/>
    <w:rsid w:val="00FD200B"/>
    <w:rsid w:val="00FD29A1"/>
    <w:rsid w:val="00FD2AFD"/>
    <w:rsid w:val="00FD34E9"/>
    <w:rsid w:val="00FD3514"/>
    <w:rsid w:val="00FD3BC4"/>
    <w:rsid w:val="00FD3E58"/>
    <w:rsid w:val="00FD414C"/>
    <w:rsid w:val="00FD43F1"/>
    <w:rsid w:val="00FD43FB"/>
    <w:rsid w:val="00FD468A"/>
    <w:rsid w:val="00FD49DF"/>
    <w:rsid w:val="00FD4A9D"/>
    <w:rsid w:val="00FD4EFD"/>
    <w:rsid w:val="00FD4F0E"/>
    <w:rsid w:val="00FD4FD8"/>
    <w:rsid w:val="00FD5238"/>
    <w:rsid w:val="00FD560B"/>
    <w:rsid w:val="00FD56E9"/>
    <w:rsid w:val="00FD58F8"/>
    <w:rsid w:val="00FD5DA8"/>
    <w:rsid w:val="00FD5DEE"/>
    <w:rsid w:val="00FD618E"/>
    <w:rsid w:val="00FD6274"/>
    <w:rsid w:val="00FD6395"/>
    <w:rsid w:val="00FD663D"/>
    <w:rsid w:val="00FD685D"/>
    <w:rsid w:val="00FD685E"/>
    <w:rsid w:val="00FD7395"/>
    <w:rsid w:val="00FD75BB"/>
    <w:rsid w:val="00FD7985"/>
    <w:rsid w:val="00FD7D76"/>
    <w:rsid w:val="00FE00E1"/>
    <w:rsid w:val="00FE0316"/>
    <w:rsid w:val="00FE09E0"/>
    <w:rsid w:val="00FE0E5A"/>
    <w:rsid w:val="00FE1018"/>
    <w:rsid w:val="00FE164F"/>
    <w:rsid w:val="00FE1835"/>
    <w:rsid w:val="00FE1B81"/>
    <w:rsid w:val="00FE1DE2"/>
    <w:rsid w:val="00FE1F16"/>
    <w:rsid w:val="00FE1F70"/>
    <w:rsid w:val="00FE2548"/>
    <w:rsid w:val="00FE2E9C"/>
    <w:rsid w:val="00FE3009"/>
    <w:rsid w:val="00FE3209"/>
    <w:rsid w:val="00FE33CC"/>
    <w:rsid w:val="00FE3CAB"/>
    <w:rsid w:val="00FE409B"/>
    <w:rsid w:val="00FE42FC"/>
    <w:rsid w:val="00FE5D89"/>
    <w:rsid w:val="00FE6760"/>
    <w:rsid w:val="00FE6903"/>
    <w:rsid w:val="00FE699C"/>
    <w:rsid w:val="00FE69D5"/>
    <w:rsid w:val="00FE6A27"/>
    <w:rsid w:val="00FE6B2B"/>
    <w:rsid w:val="00FE6E9E"/>
    <w:rsid w:val="00FE787A"/>
    <w:rsid w:val="00FE7E98"/>
    <w:rsid w:val="00FE7FD6"/>
    <w:rsid w:val="00FF0272"/>
    <w:rsid w:val="00FF0358"/>
    <w:rsid w:val="00FF05FE"/>
    <w:rsid w:val="00FF0A64"/>
    <w:rsid w:val="00FF0C66"/>
    <w:rsid w:val="00FF0E5D"/>
    <w:rsid w:val="00FF1499"/>
    <w:rsid w:val="00FF14EC"/>
    <w:rsid w:val="00FF1762"/>
    <w:rsid w:val="00FF1A14"/>
    <w:rsid w:val="00FF1A50"/>
    <w:rsid w:val="00FF1B86"/>
    <w:rsid w:val="00FF1E4A"/>
    <w:rsid w:val="00FF1F77"/>
    <w:rsid w:val="00FF25EA"/>
    <w:rsid w:val="00FF26EE"/>
    <w:rsid w:val="00FF2799"/>
    <w:rsid w:val="00FF2883"/>
    <w:rsid w:val="00FF2B8C"/>
    <w:rsid w:val="00FF2CB5"/>
    <w:rsid w:val="00FF32A5"/>
    <w:rsid w:val="00FF39EE"/>
    <w:rsid w:val="00FF3EA2"/>
    <w:rsid w:val="00FF3F30"/>
    <w:rsid w:val="00FF4767"/>
    <w:rsid w:val="00FF4794"/>
    <w:rsid w:val="00FF49D3"/>
    <w:rsid w:val="00FF49DC"/>
    <w:rsid w:val="00FF4B98"/>
    <w:rsid w:val="00FF4C52"/>
    <w:rsid w:val="00FF54BE"/>
    <w:rsid w:val="00FF5610"/>
    <w:rsid w:val="00FF5700"/>
    <w:rsid w:val="00FF5A1E"/>
    <w:rsid w:val="00FF5A51"/>
    <w:rsid w:val="00FF5C65"/>
    <w:rsid w:val="00FF6A1B"/>
    <w:rsid w:val="00FF6AA9"/>
    <w:rsid w:val="00FF6EEA"/>
    <w:rsid w:val="00FF70A9"/>
    <w:rsid w:val="00FF78E9"/>
    <w:rsid w:val="00FF7BED"/>
    <w:rsid w:val="00FF7EC0"/>
    <w:rsid w:val="015A5C6F"/>
    <w:rsid w:val="016519C1"/>
    <w:rsid w:val="01964ADD"/>
    <w:rsid w:val="023A109F"/>
    <w:rsid w:val="02CD1F13"/>
    <w:rsid w:val="03143D09"/>
    <w:rsid w:val="03924180"/>
    <w:rsid w:val="03FA6D38"/>
    <w:rsid w:val="04887486"/>
    <w:rsid w:val="049C546C"/>
    <w:rsid w:val="04A66578"/>
    <w:rsid w:val="04B213C1"/>
    <w:rsid w:val="04F96FF0"/>
    <w:rsid w:val="05A41F03"/>
    <w:rsid w:val="06744454"/>
    <w:rsid w:val="06F9947A"/>
    <w:rsid w:val="077B85AD"/>
    <w:rsid w:val="07C136C9"/>
    <w:rsid w:val="07DE656A"/>
    <w:rsid w:val="082223BA"/>
    <w:rsid w:val="08945439"/>
    <w:rsid w:val="089A45BD"/>
    <w:rsid w:val="08DF02AB"/>
    <w:rsid w:val="08E32BEA"/>
    <w:rsid w:val="0921561F"/>
    <w:rsid w:val="09272073"/>
    <w:rsid w:val="096D58B6"/>
    <w:rsid w:val="0A1C72DC"/>
    <w:rsid w:val="0AEC7654"/>
    <w:rsid w:val="0B04125A"/>
    <w:rsid w:val="0B0A4727"/>
    <w:rsid w:val="0B221CE0"/>
    <w:rsid w:val="0B2428ED"/>
    <w:rsid w:val="0B2C354F"/>
    <w:rsid w:val="0BB24D5F"/>
    <w:rsid w:val="0BB6665E"/>
    <w:rsid w:val="0BBA6DAD"/>
    <w:rsid w:val="0C142961"/>
    <w:rsid w:val="0C210BDA"/>
    <w:rsid w:val="0C403756"/>
    <w:rsid w:val="0C432202"/>
    <w:rsid w:val="0CB70374"/>
    <w:rsid w:val="0D3C2AD5"/>
    <w:rsid w:val="0DCE08EE"/>
    <w:rsid w:val="0DE23E9E"/>
    <w:rsid w:val="0E990EFC"/>
    <w:rsid w:val="0EAA2CCE"/>
    <w:rsid w:val="0EBF5FA6"/>
    <w:rsid w:val="0EBFB886"/>
    <w:rsid w:val="0EDF2395"/>
    <w:rsid w:val="0FA979F3"/>
    <w:rsid w:val="0FB936FA"/>
    <w:rsid w:val="0FF77CF7"/>
    <w:rsid w:val="109E0DDB"/>
    <w:rsid w:val="10D275FA"/>
    <w:rsid w:val="10E41782"/>
    <w:rsid w:val="10E57054"/>
    <w:rsid w:val="116475AA"/>
    <w:rsid w:val="117264E2"/>
    <w:rsid w:val="11C91AF8"/>
    <w:rsid w:val="12192A7F"/>
    <w:rsid w:val="1255711F"/>
    <w:rsid w:val="125A638A"/>
    <w:rsid w:val="12841C92"/>
    <w:rsid w:val="12CD1ABC"/>
    <w:rsid w:val="12D341F0"/>
    <w:rsid w:val="13496622"/>
    <w:rsid w:val="134A6C68"/>
    <w:rsid w:val="138A3509"/>
    <w:rsid w:val="13A10F7E"/>
    <w:rsid w:val="142C45C0"/>
    <w:rsid w:val="1534372C"/>
    <w:rsid w:val="154F31DA"/>
    <w:rsid w:val="15BB3E4D"/>
    <w:rsid w:val="15EF515D"/>
    <w:rsid w:val="167D7355"/>
    <w:rsid w:val="1708629B"/>
    <w:rsid w:val="17671DD7"/>
    <w:rsid w:val="17BD5136"/>
    <w:rsid w:val="17BF225F"/>
    <w:rsid w:val="17F2B1B3"/>
    <w:rsid w:val="185ECD2B"/>
    <w:rsid w:val="18B84674"/>
    <w:rsid w:val="18C06581"/>
    <w:rsid w:val="18C70B28"/>
    <w:rsid w:val="19532DE0"/>
    <w:rsid w:val="19560231"/>
    <w:rsid w:val="19B320D1"/>
    <w:rsid w:val="1A27460E"/>
    <w:rsid w:val="1A3908C0"/>
    <w:rsid w:val="1A4E5290"/>
    <w:rsid w:val="1A7043B7"/>
    <w:rsid w:val="1A9D7FC6"/>
    <w:rsid w:val="1AD8BE28"/>
    <w:rsid w:val="1B7B0307"/>
    <w:rsid w:val="1BA11C54"/>
    <w:rsid w:val="1BA809D0"/>
    <w:rsid w:val="1BC603C9"/>
    <w:rsid w:val="1BCC8468"/>
    <w:rsid w:val="1BDB37F6"/>
    <w:rsid w:val="1BF53244"/>
    <w:rsid w:val="1D02521F"/>
    <w:rsid w:val="1D1F2F14"/>
    <w:rsid w:val="1D4961E3"/>
    <w:rsid w:val="1DB16262"/>
    <w:rsid w:val="1E2F4472"/>
    <w:rsid w:val="1E4802FC"/>
    <w:rsid w:val="1E601A36"/>
    <w:rsid w:val="1EB564E3"/>
    <w:rsid w:val="1ECF18FD"/>
    <w:rsid w:val="1EFFDC89"/>
    <w:rsid w:val="1F461BDC"/>
    <w:rsid w:val="1F9145A4"/>
    <w:rsid w:val="1FC63C95"/>
    <w:rsid w:val="1FCE5684"/>
    <w:rsid w:val="1FCF8565"/>
    <w:rsid w:val="1FD0F7E8"/>
    <w:rsid w:val="1FEF32B9"/>
    <w:rsid w:val="1FEFF644"/>
    <w:rsid w:val="200A6A16"/>
    <w:rsid w:val="201468C8"/>
    <w:rsid w:val="204A3B16"/>
    <w:rsid w:val="20D64231"/>
    <w:rsid w:val="211D59BC"/>
    <w:rsid w:val="21695DB8"/>
    <w:rsid w:val="21902632"/>
    <w:rsid w:val="219FF84E"/>
    <w:rsid w:val="221072CF"/>
    <w:rsid w:val="22357073"/>
    <w:rsid w:val="229D6DB5"/>
    <w:rsid w:val="22A30143"/>
    <w:rsid w:val="233967EA"/>
    <w:rsid w:val="2357177E"/>
    <w:rsid w:val="23AC4114"/>
    <w:rsid w:val="23D75E28"/>
    <w:rsid w:val="23E045EC"/>
    <w:rsid w:val="23ED1183"/>
    <w:rsid w:val="243E6375"/>
    <w:rsid w:val="25675458"/>
    <w:rsid w:val="258129BE"/>
    <w:rsid w:val="25B0124C"/>
    <w:rsid w:val="25D0C37C"/>
    <w:rsid w:val="26937A49"/>
    <w:rsid w:val="26BB2858"/>
    <w:rsid w:val="26C04305"/>
    <w:rsid w:val="26CE5DA6"/>
    <w:rsid w:val="26D27249"/>
    <w:rsid w:val="2737C9D5"/>
    <w:rsid w:val="275FB3A5"/>
    <w:rsid w:val="27BE6F0E"/>
    <w:rsid w:val="27D7AA13"/>
    <w:rsid w:val="28AE6A00"/>
    <w:rsid w:val="292F31DC"/>
    <w:rsid w:val="29E8692E"/>
    <w:rsid w:val="29FC31E9"/>
    <w:rsid w:val="2A0F02AA"/>
    <w:rsid w:val="2A3A138D"/>
    <w:rsid w:val="2A6401B8"/>
    <w:rsid w:val="2A842608"/>
    <w:rsid w:val="2A9D36CA"/>
    <w:rsid w:val="2B2D7144"/>
    <w:rsid w:val="2B7B2006"/>
    <w:rsid w:val="2B807273"/>
    <w:rsid w:val="2B870602"/>
    <w:rsid w:val="2B8A6344"/>
    <w:rsid w:val="2BA271EA"/>
    <w:rsid w:val="2BBB6A1A"/>
    <w:rsid w:val="2BD15D21"/>
    <w:rsid w:val="2C7491BC"/>
    <w:rsid w:val="2CC367CF"/>
    <w:rsid w:val="2D6329A9"/>
    <w:rsid w:val="2D6B1F69"/>
    <w:rsid w:val="2D991DB5"/>
    <w:rsid w:val="2DC93154"/>
    <w:rsid w:val="2DFD4BDF"/>
    <w:rsid w:val="2E7FE873"/>
    <w:rsid w:val="2E8157DC"/>
    <w:rsid w:val="2E93AD60"/>
    <w:rsid w:val="2E9E62F8"/>
    <w:rsid w:val="2EBCEE13"/>
    <w:rsid w:val="2EBF4557"/>
    <w:rsid w:val="2EF04BB8"/>
    <w:rsid w:val="2F754C15"/>
    <w:rsid w:val="2F7EAA88"/>
    <w:rsid w:val="2FA20339"/>
    <w:rsid w:val="2FBE024D"/>
    <w:rsid w:val="2FBFF125"/>
    <w:rsid w:val="2FD11B1A"/>
    <w:rsid w:val="2FE77653"/>
    <w:rsid w:val="2FED5668"/>
    <w:rsid w:val="30074987"/>
    <w:rsid w:val="30B71989"/>
    <w:rsid w:val="31CA7ED3"/>
    <w:rsid w:val="32075FF9"/>
    <w:rsid w:val="32B53DA9"/>
    <w:rsid w:val="33291F9F"/>
    <w:rsid w:val="33D95773"/>
    <w:rsid w:val="34607C42"/>
    <w:rsid w:val="347E631A"/>
    <w:rsid w:val="34A6677F"/>
    <w:rsid w:val="34AB37F8"/>
    <w:rsid w:val="34C91C8B"/>
    <w:rsid w:val="35705C5B"/>
    <w:rsid w:val="35DD01CE"/>
    <w:rsid w:val="3600792F"/>
    <w:rsid w:val="36213401"/>
    <w:rsid w:val="367E4057"/>
    <w:rsid w:val="3682043E"/>
    <w:rsid w:val="36F7327C"/>
    <w:rsid w:val="370F76FD"/>
    <w:rsid w:val="373F48C8"/>
    <w:rsid w:val="373F5934"/>
    <w:rsid w:val="37BC2B2A"/>
    <w:rsid w:val="37D42E21"/>
    <w:rsid w:val="37DA04C4"/>
    <w:rsid w:val="37DE30C1"/>
    <w:rsid w:val="37F3BAC6"/>
    <w:rsid w:val="39B23C6D"/>
    <w:rsid w:val="39E3559D"/>
    <w:rsid w:val="3A017816"/>
    <w:rsid w:val="3A125E82"/>
    <w:rsid w:val="3A272D2D"/>
    <w:rsid w:val="3A2B6F44"/>
    <w:rsid w:val="3A4A561C"/>
    <w:rsid w:val="3AA32E3B"/>
    <w:rsid w:val="3AB34B6C"/>
    <w:rsid w:val="3AC63721"/>
    <w:rsid w:val="3AD3CF65"/>
    <w:rsid w:val="3B4200A1"/>
    <w:rsid w:val="3B5EF9BE"/>
    <w:rsid w:val="3BA91293"/>
    <w:rsid w:val="3BF7BB73"/>
    <w:rsid w:val="3BFE6A40"/>
    <w:rsid w:val="3C553E04"/>
    <w:rsid w:val="3CF90C34"/>
    <w:rsid w:val="3D0B737C"/>
    <w:rsid w:val="3D33108F"/>
    <w:rsid w:val="3D5FC57C"/>
    <w:rsid w:val="3D6B3F6D"/>
    <w:rsid w:val="3D7986B6"/>
    <w:rsid w:val="3D7AA333"/>
    <w:rsid w:val="3DC2196D"/>
    <w:rsid w:val="3DE51B71"/>
    <w:rsid w:val="3DFD6502"/>
    <w:rsid w:val="3DFE63BB"/>
    <w:rsid w:val="3DFFBFA2"/>
    <w:rsid w:val="3E4FF6BC"/>
    <w:rsid w:val="3EBE549C"/>
    <w:rsid w:val="3EF99264"/>
    <w:rsid w:val="3F1C50AD"/>
    <w:rsid w:val="3F266765"/>
    <w:rsid w:val="3F626F64"/>
    <w:rsid w:val="3F68F2D9"/>
    <w:rsid w:val="3F87AD8D"/>
    <w:rsid w:val="3F9F3686"/>
    <w:rsid w:val="3FB805D0"/>
    <w:rsid w:val="3FBF9607"/>
    <w:rsid w:val="3FDDD889"/>
    <w:rsid w:val="3FE725B5"/>
    <w:rsid w:val="3FEF6C02"/>
    <w:rsid w:val="3FF7A5B9"/>
    <w:rsid w:val="3FF7E19B"/>
    <w:rsid w:val="3FFF081A"/>
    <w:rsid w:val="3FFF2255"/>
    <w:rsid w:val="3FFF82F4"/>
    <w:rsid w:val="3FFFDE4C"/>
    <w:rsid w:val="401F2997"/>
    <w:rsid w:val="402406BD"/>
    <w:rsid w:val="40267414"/>
    <w:rsid w:val="403574A8"/>
    <w:rsid w:val="40EB4F64"/>
    <w:rsid w:val="40EC7FEC"/>
    <w:rsid w:val="414F6FA0"/>
    <w:rsid w:val="41555A1D"/>
    <w:rsid w:val="41562AF9"/>
    <w:rsid w:val="416B1449"/>
    <w:rsid w:val="41FD12E0"/>
    <w:rsid w:val="425A6618"/>
    <w:rsid w:val="4339622E"/>
    <w:rsid w:val="4374370A"/>
    <w:rsid w:val="43A11385"/>
    <w:rsid w:val="43FA3C0F"/>
    <w:rsid w:val="441615CD"/>
    <w:rsid w:val="442A1A5C"/>
    <w:rsid w:val="443D1266"/>
    <w:rsid w:val="446C6E51"/>
    <w:rsid w:val="450A0B8C"/>
    <w:rsid w:val="453B44DF"/>
    <w:rsid w:val="458F0387"/>
    <w:rsid w:val="45C12DB2"/>
    <w:rsid w:val="45FD7797"/>
    <w:rsid w:val="46033947"/>
    <w:rsid w:val="465CE026"/>
    <w:rsid w:val="46D339E6"/>
    <w:rsid w:val="46DE09BA"/>
    <w:rsid w:val="46EB42D7"/>
    <w:rsid w:val="47694C08"/>
    <w:rsid w:val="476F68D6"/>
    <w:rsid w:val="47B583B3"/>
    <w:rsid w:val="48360F8E"/>
    <w:rsid w:val="48E1539E"/>
    <w:rsid w:val="49C7E269"/>
    <w:rsid w:val="4A0B4D22"/>
    <w:rsid w:val="4A563B69"/>
    <w:rsid w:val="4AAC19DB"/>
    <w:rsid w:val="4AD625B4"/>
    <w:rsid w:val="4B03281C"/>
    <w:rsid w:val="4B04252C"/>
    <w:rsid w:val="4B5E9BC3"/>
    <w:rsid w:val="4C481290"/>
    <w:rsid w:val="4D3AD74A"/>
    <w:rsid w:val="4D4B33B6"/>
    <w:rsid w:val="4D6D1FE8"/>
    <w:rsid w:val="4D7F000B"/>
    <w:rsid w:val="4D902EEE"/>
    <w:rsid w:val="4E70120C"/>
    <w:rsid w:val="4EFF9C3C"/>
    <w:rsid w:val="4F50502B"/>
    <w:rsid w:val="4F6C5EFF"/>
    <w:rsid w:val="4F919C0B"/>
    <w:rsid w:val="4FADE2CD"/>
    <w:rsid w:val="4FBFF0BE"/>
    <w:rsid w:val="4FDBE09B"/>
    <w:rsid w:val="4FED2098"/>
    <w:rsid w:val="4FF73C72"/>
    <w:rsid w:val="4FFB296D"/>
    <w:rsid w:val="4FFE3463"/>
    <w:rsid w:val="4FFEF649"/>
    <w:rsid w:val="4FFF0B9B"/>
    <w:rsid w:val="4FFF3F2C"/>
    <w:rsid w:val="4FFFDF02"/>
    <w:rsid w:val="4FFFF364"/>
    <w:rsid w:val="50566671"/>
    <w:rsid w:val="5057E0E9"/>
    <w:rsid w:val="505B1C40"/>
    <w:rsid w:val="51079D66"/>
    <w:rsid w:val="51894824"/>
    <w:rsid w:val="519C360D"/>
    <w:rsid w:val="51EFE723"/>
    <w:rsid w:val="52662470"/>
    <w:rsid w:val="529F2249"/>
    <w:rsid w:val="52B69BF2"/>
    <w:rsid w:val="536C23EF"/>
    <w:rsid w:val="53C64537"/>
    <w:rsid w:val="53D566E2"/>
    <w:rsid w:val="53EBFB8C"/>
    <w:rsid w:val="53FF4CCA"/>
    <w:rsid w:val="540B2CB1"/>
    <w:rsid w:val="5424776F"/>
    <w:rsid w:val="54EA7A52"/>
    <w:rsid w:val="551243EF"/>
    <w:rsid w:val="555D2250"/>
    <w:rsid w:val="55CA49EA"/>
    <w:rsid w:val="55E72D14"/>
    <w:rsid w:val="560721BC"/>
    <w:rsid w:val="562A3F77"/>
    <w:rsid w:val="564D42E4"/>
    <w:rsid w:val="5676E0C8"/>
    <w:rsid w:val="56876E58"/>
    <w:rsid w:val="56BF8193"/>
    <w:rsid w:val="56F32AE2"/>
    <w:rsid w:val="570F4FD4"/>
    <w:rsid w:val="575B80F7"/>
    <w:rsid w:val="575FC41A"/>
    <w:rsid w:val="57662BD9"/>
    <w:rsid w:val="577C8594"/>
    <w:rsid w:val="579F384A"/>
    <w:rsid w:val="57EC66E5"/>
    <w:rsid w:val="57FF0EC7"/>
    <w:rsid w:val="57FFE204"/>
    <w:rsid w:val="5808743E"/>
    <w:rsid w:val="58156E12"/>
    <w:rsid w:val="58913FBE"/>
    <w:rsid w:val="589F50D4"/>
    <w:rsid w:val="58B959EF"/>
    <w:rsid w:val="58CD149A"/>
    <w:rsid w:val="590B5B1F"/>
    <w:rsid w:val="590D5D3B"/>
    <w:rsid w:val="591E5852"/>
    <w:rsid w:val="591F1DDF"/>
    <w:rsid w:val="59A55F73"/>
    <w:rsid w:val="5A2C67E3"/>
    <w:rsid w:val="5A882BDD"/>
    <w:rsid w:val="5A8F6584"/>
    <w:rsid w:val="5AA6AA66"/>
    <w:rsid w:val="5AC16DDD"/>
    <w:rsid w:val="5AC1CE80"/>
    <w:rsid w:val="5ADB7D3A"/>
    <w:rsid w:val="5AF3A792"/>
    <w:rsid w:val="5AF96E0A"/>
    <w:rsid w:val="5B1668E4"/>
    <w:rsid w:val="5B6E2C07"/>
    <w:rsid w:val="5B6FE2A1"/>
    <w:rsid w:val="5B751975"/>
    <w:rsid w:val="5B7B3430"/>
    <w:rsid w:val="5B7D8833"/>
    <w:rsid w:val="5B9F1334"/>
    <w:rsid w:val="5BAD55B3"/>
    <w:rsid w:val="5BDF6F21"/>
    <w:rsid w:val="5BEEA735"/>
    <w:rsid w:val="5BF38223"/>
    <w:rsid w:val="5BF39E88"/>
    <w:rsid w:val="5BFAD608"/>
    <w:rsid w:val="5BFED610"/>
    <w:rsid w:val="5BFFBCD6"/>
    <w:rsid w:val="5C6B23D2"/>
    <w:rsid w:val="5C6C2D78"/>
    <w:rsid w:val="5C8C5700"/>
    <w:rsid w:val="5CB744DD"/>
    <w:rsid w:val="5CE34EF1"/>
    <w:rsid w:val="5CFF62D6"/>
    <w:rsid w:val="5D6B3B23"/>
    <w:rsid w:val="5DBE13B2"/>
    <w:rsid w:val="5DBEB6B1"/>
    <w:rsid w:val="5DDB52E8"/>
    <w:rsid w:val="5DE71A05"/>
    <w:rsid w:val="5DEBD85B"/>
    <w:rsid w:val="5DEC21C1"/>
    <w:rsid w:val="5E5F3B7A"/>
    <w:rsid w:val="5E77C0AC"/>
    <w:rsid w:val="5E7FD433"/>
    <w:rsid w:val="5EBF641A"/>
    <w:rsid w:val="5ECFAC45"/>
    <w:rsid w:val="5ED50A30"/>
    <w:rsid w:val="5EE594E2"/>
    <w:rsid w:val="5EEA7F10"/>
    <w:rsid w:val="5EEFD66D"/>
    <w:rsid w:val="5EF06C4F"/>
    <w:rsid w:val="5EFEB1D4"/>
    <w:rsid w:val="5F3F30A9"/>
    <w:rsid w:val="5F5D4BFA"/>
    <w:rsid w:val="5F6735DD"/>
    <w:rsid w:val="5F6DC47A"/>
    <w:rsid w:val="5F7C7BCE"/>
    <w:rsid w:val="5F8B1768"/>
    <w:rsid w:val="5F9D3C46"/>
    <w:rsid w:val="5F9E9F87"/>
    <w:rsid w:val="5FA73DBC"/>
    <w:rsid w:val="5FAF360F"/>
    <w:rsid w:val="5FB6584D"/>
    <w:rsid w:val="5FBF61F1"/>
    <w:rsid w:val="5FCFC833"/>
    <w:rsid w:val="5FDA3DFF"/>
    <w:rsid w:val="5FDDEEE5"/>
    <w:rsid w:val="5FE74144"/>
    <w:rsid w:val="5FEF2E70"/>
    <w:rsid w:val="5FEF3854"/>
    <w:rsid w:val="5FEF91CC"/>
    <w:rsid w:val="5FFB141B"/>
    <w:rsid w:val="5FFD326B"/>
    <w:rsid w:val="5FFE39D0"/>
    <w:rsid w:val="5FFF4F56"/>
    <w:rsid w:val="5FFFB76B"/>
    <w:rsid w:val="5FFFD3FF"/>
    <w:rsid w:val="606721D5"/>
    <w:rsid w:val="60B93769"/>
    <w:rsid w:val="60FFD58D"/>
    <w:rsid w:val="610C3698"/>
    <w:rsid w:val="619F774C"/>
    <w:rsid w:val="61DF5656"/>
    <w:rsid w:val="623A1909"/>
    <w:rsid w:val="624D71A8"/>
    <w:rsid w:val="62712E97"/>
    <w:rsid w:val="629D1EDE"/>
    <w:rsid w:val="62F15D85"/>
    <w:rsid w:val="636B88C1"/>
    <w:rsid w:val="637A400B"/>
    <w:rsid w:val="63DF4E77"/>
    <w:rsid w:val="65000502"/>
    <w:rsid w:val="65744E99"/>
    <w:rsid w:val="657729EC"/>
    <w:rsid w:val="65DA7E11"/>
    <w:rsid w:val="65ED709C"/>
    <w:rsid w:val="65FCA6FE"/>
    <w:rsid w:val="65FD0D04"/>
    <w:rsid w:val="66476DFB"/>
    <w:rsid w:val="665D1AE1"/>
    <w:rsid w:val="6695111E"/>
    <w:rsid w:val="66BE2423"/>
    <w:rsid w:val="66E75E1D"/>
    <w:rsid w:val="66EF7B55"/>
    <w:rsid w:val="66F7A9DD"/>
    <w:rsid w:val="66FF7273"/>
    <w:rsid w:val="671724C6"/>
    <w:rsid w:val="67705E13"/>
    <w:rsid w:val="679F2254"/>
    <w:rsid w:val="67C80950"/>
    <w:rsid w:val="67E797F2"/>
    <w:rsid w:val="67F73C9E"/>
    <w:rsid w:val="67FB7C66"/>
    <w:rsid w:val="67FDC937"/>
    <w:rsid w:val="67FF6124"/>
    <w:rsid w:val="69196618"/>
    <w:rsid w:val="692D6394"/>
    <w:rsid w:val="693D1D24"/>
    <w:rsid w:val="69CC12FA"/>
    <w:rsid w:val="6A1C1E78"/>
    <w:rsid w:val="6A5F651E"/>
    <w:rsid w:val="6A626954"/>
    <w:rsid w:val="6AE06991"/>
    <w:rsid w:val="6AFF3A66"/>
    <w:rsid w:val="6B142F59"/>
    <w:rsid w:val="6B5E4044"/>
    <w:rsid w:val="6BB7FF21"/>
    <w:rsid w:val="6BBB33D4"/>
    <w:rsid w:val="6BCE135A"/>
    <w:rsid w:val="6BCF0C2E"/>
    <w:rsid w:val="6BDB0B85"/>
    <w:rsid w:val="6BF7DCC0"/>
    <w:rsid w:val="6CEB7366"/>
    <w:rsid w:val="6D3716D3"/>
    <w:rsid w:val="6D3FB684"/>
    <w:rsid w:val="6D7D3B77"/>
    <w:rsid w:val="6D7E7267"/>
    <w:rsid w:val="6D7EA1A0"/>
    <w:rsid w:val="6D7F032E"/>
    <w:rsid w:val="6DA2260E"/>
    <w:rsid w:val="6DDF65CD"/>
    <w:rsid w:val="6DE31196"/>
    <w:rsid w:val="6DE54DB4"/>
    <w:rsid w:val="6DE6DA7C"/>
    <w:rsid w:val="6DF93403"/>
    <w:rsid w:val="6DFE09A0"/>
    <w:rsid w:val="6DFE6BE3"/>
    <w:rsid w:val="6E1798D8"/>
    <w:rsid w:val="6E378A50"/>
    <w:rsid w:val="6E533D98"/>
    <w:rsid w:val="6E7F3B1B"/>
    <w:rsid w:val="6EA52E3A"/>
    <w:rsid w:val="6ED00F45"/>
    <w:rsid w:val="6EF6E751"/>
    <w:rsid w:val="6EFFC3BD"/>
    <w:rsid w:val="6EFFC911"/>
    <w:rsid w:val="6F202E72"/>
    <w:rsid w:val="6F307C36"/>
    <w:rsid w:val="6F377FDD"/>
    <w:rsid w:val="6F6EB526"/>
    <w:rsid w:val="6F774938"/>
    <w:rsid w:val="6F77AFE0"/>
    <w:rsid w:val="6F7E64A1"/>
    <w:rsid w:val="6F7FE2BA"/>
    <w:rsid w:val="6F8DA8B4"/>
    <w:rsid w:val="6FBF7124"/>
    <w:rsid w:val="6FD5B38E"/>
    <w:rsid w:val="6FDA0A25"/>
    <w:rsid w:val="6FDF41F7"/>
    <w:rsid w:val="6FDFCF81"/>
    <w:rsid w:val="6FEB1066"/>
    <w:rsid w:val="6FEF7082"/>
    <w:rsid w:val="6FFE7246"/>
    <w:rsid w:val="6FFF833E"/>
    <w:rsid w:val="70431CCB"/>
    <w:rsid w:val="705F8BB4"/>
    <w:rsid w:val="70727D9A"/>
    <w:rsid w:val="70871AD7"/>
    <w:rsid w:val="70F3C1BD"/>
    <w:rsid w:val="71F20D32"/>
    <w:rsid w:val="71F7057F"/>
    <w:rsid w:val="727631AA"/>
    <w:rsid w:val="72867483"/>
    <w:rsid w:val="72B56DCF"/>
    <w:rsid w:val="72FA2A34"/>
    <w:rsid w:val="7349251B"/>
    <w:rsid w:val="7390D080"/>
    <w:rsid w:val="7393ADEE"/>
    <w:rsid w:val="7399BC86"/>
    <w:rsid w:val="73A97971"/>
    <w:rsid w:val="73E84F83"/>
    <w:rsid w:val="73EF0ED7"/>
    <w:rsid w:val="73FC7DE6"/>
    <w:rsid w:val="73FF1D12"/>
    <w:rsid w:val="740943C8"/>
    <w:rsid w:val="7436D73D"/>
    <w:rsid w:val="74493C73"/>
    <w:rsid w:val="74876408"/>
    <w:rsid w:val="7497219C"/>
    <w:rsid w:val="74B61B4D"/>
    <w:rsid w:val="74C21944"/>
    <w:rsid w:val="74D710B3"/>
    <w:rsid w:val="74FE7372"/>
    <w:rsid w:val="757D34C8"/>
    <w:rsid w:val="758CFE31"/>
    <w:rsid w:val="759EF08A"/>
    <w:rsid w:val="759FB25C"/>
    <w:rsid w:val="75BEC2D7"/>
    <w:rsid w:val="75BF1D13"/>
    <w:rsid w:val="75DD1229"/>
    <w:rsid w:val="75EF460B"/>
    <w:rsid w:val="75EF4EFD"/>
    <w:rsid w:val="75FBE5DC"/>
    <w:rsid w:val="75FFC3F5"/>
    <w:rsid w:val="765D0D82"/>
    <w:rsid w:val="76A13747"/>
    <w:rsid w:val="76C71D81"/>
    <w:rsid w:val="76CF09A5"/>
    <w:rsid w:val="76D7D164"/>
    <w:rsid w:val="76EFE862"/>
    <w:rsid w:val="76F16640"/>
    <w:rsid w:val="76FA33B3"/>
    <w:rsid w:val="76FBC919"/>
    <w:rsid w:val="77385F6C"/>
    <w:rsid w:val="77422BFC"/>
    <w:rsid w:val="776AF45C"/>
    <w:rsid w:val="777DBD7D"/>
    <w:rsid w:val="77CE5715"/>
    <w:rsid w:val="77CEFACC"/>
    <w:rsid w:val="77E94584"/>
    <w:rsid w:val="77EDD9D1"/>
    <w:rsid w:val="77EF7A1F"/>
    <w:rsid w:val="77F66591"/>
    <w:rsid w:val="77F90131"/>
    <w:rsid w:val="77FB970C"/>
    <w:rsid w:val="77FFA6E5"/>
    <w:rsid w:val="77FFAED8"/>
    <w:rsid w:val="77FFB829"/>
    <w:rsid w:val="78C87131"/>
    <w:rsid w:val="78EDCB76"/>
    <w:rsid w:val="792B4A85"/>
    <w:rsid w:val="795A5BD6"/>
    <w:rsid w:val="796B643A"/>
    <w:rsid w:val="79AB75FD"/>
    <w:rsid w:val="79AFE932"/>
    <w:rsid w:val="79B7F2A7"/>
    <w:rsid w:val="79E9DC2C"/>
    <w:rsid w:val="79F76920"/>
    <w:rsid w:val="79FBE8C6"/>
    <w:rsid w:val="79FBEB85"/>
    <w:rsid w:val="79FCA2E3"/>
    <w:rsid w:val="79FE8D9C"/>
    <w:rsid w:val="7A371AE9"/>
    <w:rsid w:val="7A7F6C79"/>
    <w:rsid w:val="7AB77246"/>
    <w:rsid w:val="7ABABAEA"/>
    <w:rsid w:val="7AC475CF"/>
    <w:rsid w:val="7ADF10F4"/>
    <w:rsid w:val="7AEF7EE1"/>
    <w:rsid w:val="7AF7EE07"/>
    <w:rsid w:val="7B0869BE"/>
    <w:rsid w:val="7B160627"/>
    <w:rsid w:val="7B4079A0"/>
    <w:rsid w:val="7B6ED1F8"/>
    <w:rsid w:val="7B7B1F7E"/>
    <w:rsid w:val="7B9FDC6D"/>
    <w:rsid w:val="7BD7F70B"/>
    <w:rsid w:val="7BE12148"/>
    <w:rsid w:val="7BE74D18"/>
    <w:rsid w:val="7BF4A915"/>
    <w:rsid w:val="7BF6BF13"/>
    <w:rsid w:val="7BFB5897"/>
    <w:rsid w:val="7BFB7F0E"/>
    <w:rsid w:val="7BFBAB12"/>
    <w:rsid w:val="7BFDA395"/>
    <w:rsid w:val="7BFECBF7"/>
    <w:rsid w:val="7BFF18BD"/>
    <w:rsid w:val="7BFFDD40"/>
    <w:rsid w:val="7BFFE557"/>
    <w:rsid w:val="7C5A1B3C"/>
    <w:rsid w:val="7C5CD326"/>
    <w:rsid w:val="7C5EF668"/>
    <w:rsid w:val="7C7BDBCD"/>
    <w:rsid w:val="7CB939D4"/>
    <w:rsid w:val="7CBD6A0F"/>
    <w:rsid w:val="7CD31865"/>
    <w:rsid w:val="7CD741E4"/>
    <w:rsid w:val="7CE04A49"/>
    <w:rsid w:val="7CFE2B0C"/>
    <w:rsid w:val="7CFFA756"/>
    <w:rsid w:val="7D0C088F"/>
    <w:rsid w:val="7D3F5670"/>
    <w:rsid w:val="7D67986B"/>
    <w:rsid w:val="7D67B962"/>
    <w:rsid w:val="7D7F2115"/>
    <w:rsid w:val="7DB23EEF"/>
    <w:rsid w:val="7DB53425"/>
    <w:rsid w:val="7DB703ED"/>
    <w:rsid w:val="7DBF4FA6"/>
    <w:rsid w:val="7DCF6ECC"/>
    <w:rsid w:val="7DDC2F25"/>
    <w:rsid w:val="7DDFFC86"/>
    <w:rsid w:val="7DE329DC"/>
    <w:rsid w:val="7DEFBAEA"/>
    <w:rsid w:val="7DF6029C"/>
    <w:rsid w:val="7DF9A756"/>
    <w:rsid w:val="7DFF6A2F"/>
    <w:rsid w:val="7DFFAEB0"/>
    <w:rsid w:val="7E3C665D"/>
    <w:rsid w:val="7E3EF8E3"/>
    <w:rsid w:val="7E5E656D"/>
    <w:rsid w:val="7E731F93"/>
    <w:rsid w:val="7E75D856"/>
    <w:rsid w:val="7E7B4662"/>
    <w:rsid w:val="7E7BA509"/>
    <w:rsid w:val="7EAF3B9A"/>
    <w:rsid w:val="7EBD3F15"/>
    <w:rsid w:val="7EBD97B1"/>
    <w:rsid w:val="7EBEB901"/>
    <w:rsid w:val="7EBF10E9"/>
    <w:rsid w:val="7EBF9671"/>
    <w:rsid w:val="7ECF02AB"/>
    <w:rsid w:val="7ECFFCCB"/>
    <w:rsid w:val="7EDF9BDA"/>
    <w:rsid w:val="7EE9E74B"/>
    <w:rsid w:val="7EF38C80"/>
    <w:rsid w:val="7EF46ED2"/>
    <w:rsid w:val="7EF871E1"/>
    <w:rsid w:val="7EFC7B34"/>
    <w:rsid w:val="7EFE74D6"/>
    <w:rsid w:val="7EFF5AF9"/>
    <w:rsid w:val="7EFFE10F"/>
    <w:rsid w:val="7F01514B"/>
    <w:rsid w:val="7F2DB845"/>
    <w:rsid w:val="7F3758D8"/>
    <w:rsid w:val="7F3FB96E"/>
    <w:rsid w:val="7F4F294F"/>
    <w:rsid w:val="7F53D9AE"/>
    <w:rsid w:val="7F570764"/>
    <w:rsid w:val="7F5A3F31"/>
    <w:rsid w:val="7F5D6CB7"/>
    <w:rsid w:val="7F679074"/>
    <w:rsid w:val="7F6B0601"/>
    <w:rsid w:val="7F6B0C7A"/>
    <w:rsid w:val="7F6B4A65"/>
    <w:rsid w:val="7F6DED6E"/>
    <w:rsid w:val="7F6F3DB4"/>
    <w:rsid w:val="7F79B867"/>
    <w:rsid w:val="7F7B0578"/>
    <w:rsid w:val="7F7D3F50"/>
    <w:rsid w:val="7F7E3A5F"/>
    <w:rsid w:val="7F7E4AFC"/>
    <w:rsid w:val="7F7EF885"/>
    <w:rsid w:val="7F820039"/>
    <w:rsid w:val="7F961F86"/>
    <w:rsid w:val="7F9DC46E"/>
    <w:rsid w:val="7F9F492F"/>
    <w:rsid w:val="7F9F564A"/>
    <w:rsid w:val="7FA5659C"/>
    <w:rsid w:val="7FB2E0CD"/>
    <w:rsid w:val="7FB71351"/>
    <w:rsid w:val="7FBD5480"/>
    <w:rsid w:val="7FBF0D7F"/>
    <w:rsid w:val="7FBF6C70"/>
    <w:rsid w:val="7FBF8106"/>
    <w:rsid w:val="7FBFD4A4"/>
    <w:rsid w:val="7FCC8807"/>
    <w:rsid w:val="7FCE7796"/>
    <w:rsid w:val="7FD1800E"/>
    <w:rsid w:val="7FD21C83"/>
    <w:rsid w:val="7FD599A7"/>
    <w:rsid w:val="7FD616B7"/>
    <w:rsid w:val="7FDDDA2D"/>
    <w:rsid w:val="7FDF0D06"/>
    <w:rsid w:val="7FE50B85"/>
    <w:rsid w:val="7FE51C33"/>
    <w:rsid w:val="7FE7D91D"/>
    <w:rsid w:val="7FEF1EC8"/>
    <w:rsid w:val="7FEFA358"/>
    <w:rsid w:val="7FF16325"/>
    <w:rsid w:val="7FF34FD5"/>
    <w:rsid w:val="7FF6AFF7"/>
    <w:rsid w:val="7FF6E715"/>
    <w:rsid w:val="7FF6E9E2"/>
    <w:rsid w:val="7FF7419D"/>
    <w:rsid w:val="7FF75022"/>
    <w:rsid w:val="7FF8BEBB"/>
    <w:rsid w:val="7FF95BCD"/>
    <w:rsid w:val="7FF9B439"/>
    <w:rsid w:val="7FFADCBD"/>
    <w:rsid w:val="7FFB8DB6"/>
    <w:rsid w:val="7FFB9AE2"/>
    <w:rsid w:val="7FFC8059"/>
    <w:rsid w:val="7FFD7AE2"/>
    <w:rsid w:val="7FFD864A"/>
    <w:rsid w:val="7FFDE8C3"/>
    <w:rsid w:val="7FFF031C"/>
    <w:rsid w:val="7FFF3242"/>
    <w:rsid w:val="7FFF5C4B"/>
    <w:rsid w:val="7FFF7269"/>
    <w:rsid w:val="7FFF89E9"/>
    <w:rsid w:val="7FFFCFB0"/>
    <w:rsid w:val="8BFB8AB0"/>
    <w:rsid w:val="8DAFA10F"/>
    <w:rsid w:val="8DFFDD55"/>
    <w:rsid w:val="91FE172B"/>
    <w:rsid w:val="96D7ECD1"/>
    <w:rsid w:val="97B859F8"/>
    <w:rsid w:val="97EBEE7B"/>
    <w:rsid w:val="9CFD20F5"/>
    <w:rsid w:val="9DFF81EE"/>
    <w:rsid w:val="9EC39359"/>
    <w:rsid w:val="9EE727B4"/>
    <w:rsid w:val="9EFB2097"/>
    <w:rsid w:val="9F45D995"/>
    <w:rsid w:val="9F5F1593"/>
    <w:rsid w:val="9F7F007B"/>
    <w:rsid w:val="9F7F5F24"/>
    <w:rsid w:val="9FBA8467"/>
    <w:rsid w:val="9FF75382"/>
    <w:rsid w:val="9FFD5FA0"/>
    <w:rsid w:val="A1D6DCB2"/>
    <w:rsid w:val="A5FE8370"/>
    <w:rsid w:val="A6D7AE12"/>
    <w:rsid w:val="A73BFA36"/>
    <w:rsid w:val="A7DE02FC"/>
    <w:rsid w:val="A7F5D851"/>
    <w:rsid w:val="A8BDECAC"/>
    <w:rsid w:val="A8FF6147"/>
    <w:rsid w:val="A95715D7"/>
    <w:rsid w:val="A97F312E"/>
    <w:rsid w:val="AB539E7D"/>
    <w:rsid w:val="ABF1782A"/>
    <w:rsid w:val="ABFD436C"/>
    <w:rsid w:val="ABFF6516"/>
    <w:rsid w:val="AC735985"/>
    <w:rsid w:val="ACFB862A"/>
    <w:rsid w:val="ADDF1CAF"/>
    <w:rsid w:val="ADEF52AA"/>
    <w:rsid w:val="AE7B4CA6"/>
    <w:rsid w:val="AE7DBEF6"/>
    <w:rsid w:val="AE7F0BA5"/>
    <w:rsid w:val="AEEA5E79"/>
    <w:rsid w:val="AEF9B92A"/>
    <w:rsid w:val="AEFFFB66"/>
    <w:rsid w:val="AF95CE04"/>
    <w:rsid w:val="AF9F990C"/>
    <w:rsid w:val="AFBFB540"/>
    <w:rsid w:val="AFE7CA98"/>
    <w:rsid w:val="AFEB4AF5"/>
    <w:rsid w:val="AFEF2C60"/>
    <w:rsid w:val="B0F567C9"/>
    <w:rsid w:val="B0FF2E9F"/>
    <w:rsid w:val="B1F7F6D9"/>
    <w:rsid w:val="B2EBF5F6"/>
    <w:rsid w:val="B2FE28DE"/>
    <w:rsid w:val="B33F6218"/>
    <w:rsid w:val="B5FBC549"/>
    <w:rsid w:val="B5FF130C"/>
    <w:rsid w:val="B6ACBAA6"/>
    <w:rsid w:val="B6FA21E1"/>
    <w:rsid w:val="B735BAD8"/>
    <w:rsid w:val="B7644F38"/>
    <w:rsid w:val="B77F289B"/>
    <w:rsid w:val="B7BFE27B"/>
    <w:rsid w:val="B7BFFCCA"/>
    <w:rsid w:val="B7DF8FA3"/>
    <w:rsid w:val="B7ECCD00"/>
    <w:rsid w:val="B7FF8517"/>
    <w:rsid w:val="B93FCCBB"/>
    <w:rsid w:val="B9F8461B"/>
    <w:rsid w:val="BA3FCE4D"/>
    <w:rsid w:val="BAF7A6B6"/>
    <w:rsid w:val="BB2FDAEF"/>
    <w:rsid w:val="BB3A8873"/>
    <w:rsid w:val="BB5A4A2D"/>
    <w:rsid w:val="BB5FB5FC"/>
    <w:rsid w:val="BB77F6C7"/>
    <w:rsid w:val="BBB95037"/>
    <w:rsid w:val="BBBF43C1"/>
    <w:rsid w:val="BBD6275C"/>
    <w:rsid w:val="BBE3A1AA"/>
    <w:rsid w:val="BBE74EC4"/>
    <w:rsid w:val="BBED3AC5"/>
    <w:rsid w:val="BBFB6D3A"/>
    <w:rsid w:val="BBFFC111"/>
    <w:rsid w:val="BC67E05F"/>
    <w:rsid w:val="BCDB7EE7"/>
    <w:rsid w:val="BD159064"/>
    <w:rsid w:val="BD345470"/>
    <w:rsid w:val="BD7547C3"/>
    <w:rsid w:val="BDCB16D0"/>
    <w:rsid w:val="BE7F423B"/>
    <w:rsid w:val="BEBE8293"/>
    <w:rsid w:val="BEBF7044"/>
    <w:rsid w:val="BEDFE99D"/>
    <w:rsid w:val="BEEF0ECA"/>
    <w:rsid w:val="BEFE8960"/>
    <w:rsid w:val="BF0FC7CA"/>
    <w:rsid w:val="BF2F6CAC"/>
    <w:rsid w:val="BF750A2B"/>
    <w:rsid w:val="BF7E1C98"/>
    <w:rsid w:val="BF8B29BB"/>
    <w:rsid w:val="BFAF1EA1"/>
    <w:rsid w:val="BFBDAC65"/>
    <w:rsid w:val="BFD7952F"/>
    <w:rsid w:val="BFE792A6"/>
    <w:rsid w:val="BFEF2BFC"/>
    <w:rsid w:val="BFF72B9F"/>
    <w:rsid w:val="BFFB5AAB"/>
    <w:rsid w:val="BFFDC824"/>
    <w:rsid w:val="BFFEA2A0"/>
    <w:rsid w:val="BFFF6EC3"/>
    <w:rsid w:val="BFFF74CD"/>
    <w:rsid w:val="C1F32D56"/>
    <w:rsid w:val="C2BB546D"/>
    <w:rsid w:val="C67B7281"/>
    <w:rsid w:val="C6FEEB1A"/>
    <w:rsid w:val="C7DE6458"/>
    <w:rsid w:val="C7ED3CCB"/>
    <w:rsid w:val="C7EFB79D"/>
    <w:rsid w:val="C8DE844A"/>
    <w:rsid w:val="C9DC9A1D"/>
    <w:rsid w:val="CB0FFBA1"/>
    <w:rsid w:val="CBBF3EDC"/>
    <w:rsid w:val="CBFDE978"/>
    <w:rsid w:val="CD73FF50"/>
    <w:rsid w:val="CDDFDAC8"/>
    <w:rsid w:val="CEFDCB4F"/>
    <w:rsid w:val="CFF5ED24"/>
    <w:rsid w:val="CFFF437E"/>
    <w:rsid w:val="CFFFDF50"/>
    <w:rsid w:val="D17BE39E"/>
    <w:rsid w:val="D2BF8002"/>
    <w:rsid w:val="D33FF193"/>
    <w:rsid w:val="D3F4B5F2"/>
    <w:rsid w:val="D3FD8A23"/>
    <w:rsid w:val="D5DF23E6"/>
    <w:rsid w:val="D68E8ED5"/>
    <w:rsid w:val="D6F2F205"/>
    <w:rsid w:val="D6F96885"/>
    <w:rsid w:val="D72E16EC"/>
    <w:rsid w:val="D74F3226"/>
    <w:rsid w:val="D7B5799A"/>
    <w:rsid w:val="D7EAB541"/>
    <w:rsid w:val="D865AC45"/>
    <w:rsid w:val="D8F726F2"/>
    <w:rsid w:val="D997E0F4"/>
    <w:rsid w:val="D9EFE638"/>
    <w:rsid w:val="D9F94DC6"/>
    <w:rsid w:val="D9FAA998"/>
    <w:rsid w:val="DA4CB70B"/>
    <w:rsid w:val="DB1CEB08"/>
    <w:rsid w:val="DB7B2336"/>
    <w:rsid w:val="DBA762D9"/>
    <w:rsid w:val="DBD3D555"/>
    <w:rsid w:val="DBDD2BC6"/>
    <w:rsid w:val="DBEF2E08"/>
    <w:rsid w:val="DBF7CF3C"/>
    <w:rsid w:val="DBFF3FAE"/>
    <w:rsid w:val="DC169E98"/>
    <w:rsid w:val="DC7B4795"/>
    <w:rsid w:val="DCDB93DD"/>
    <w:rsid w:val="DCF71C2C"/>
    <w:rsid w:val="DCFED6B2"/>
    <w:rsid w:val="DD1FE1AB"/>
    <w:rsid w:val="DD7E247C"/>
    <w:rsid w:val="DDD00529"/>
    <w:rsid w:val="DDD51562"/>
    <w:rsid w:val="DDDE9A38"/>
    <w:rsid w:val="DDE2B055"/>
    <w:rsid w:val="DDFE50E9"/>
    <w:rsid w:val="DDFEDFAE"/>
    <w:rsid w:val="DDFFEA4F"/>
    <w:rsid w:val="DE3D4F65"/>
    <w:rsid w:val="DE6F21B0"/>
    <w:rsid w:val="DED7FE00"/>
    <w:rsid w:val="DEDF0226"/>
    <w:rsid w:val="DEEF981D"/>
    <w:rsid w:val="DEFCCCC3"/>
    <w:rsid w:val="DEFF4B96"/>
    <w:rsid w:val="DF2A0193"/>
    <w:rsid w:val="DF2DB31A"/>
    <w:rsid w:val="DF47EB57"/>
    <w:rsid w:val="DF4C6E26"/>
    <w:rsid w:val="DF4CBD1B"/>
    <w:rsid w:val="DF672EB9"/>
    <w:rsid w:val="DF770788"/>
    <w:rsid w:val="DF7CDDF4"/>
    <w:rsid w:val="DF7E0C44"/>
    <w:rsid w:val="DF7E1E6F"/>
    <w:rsid w:val="DF7E9EA5"/>
    <w:rsid w:val="DFA50208"/>
    <w:rsid w:val="DFCDAE05"/>
    <w:rsid w:val="DFE53DC7"/>
    <w:rsid w:val="DFEB735A"/>
    <w:rsid w:val="DFEF0F0B"/>
    <w:rsid w:val="DFEFE9C5"/>
    <w:rsid w:val="DFFB5F14"/>
    <w:rsid w:val="DFFB98E9"/>
    <w:rsid w:val="DFFEB368"/>
    <w:rsid w:val="DFFEE54F"/>
    <w:rsid w:val="DFFF0388"/>
    <w:rsid w:val="DFFFCD27"/>
    <w:rsid w:val="E13F9922"/>
    <w:rsid w:val="E174F3C2"/>
    <w:rsid w:val="E1775A80"/>
    <w:rsid w:val="E19EE8E6"/>
    <w:rsid w:val="E1FD16C5"/>
    <w:rsid w:val="E3FF6802"/>
    <w:rsid w:val="E46D414B"/>
    <w:rsid w:val="E5673825"/>
    <w:rsid w:val="E5B7D89E"/>
    <w:rsid w:val="E5D44FBB"/>
    <w:rsid w:val="E5E7D65F"/>
    <w:rsid w:val="E6FB5C3E"/>
    <w:rsid w:val="E73F241C"/>
    <w:rsid w:val="E77E3625"/>
    <w:rsid w:val="E7A91688"/>
    <w:rsid w:val="E7E7BED9"/>
    <w:rsid w:val="E7EF54E5"/>
    <w:rsid w:val="E7FFE625"/>
    <w:rsid w:val="E8FDD0B1"/>
    <w:rsid w:val="E9FE5FC7"/>
    <w:rsid w:val="EA9FC12B"/>
    <w:rsid w:val="EAFFCC2C"/>
    <w:rsid w:val="EB7BA11A"/>
    <w:rsid w:val="EB9BEB5A"/>
    <w:rsid w:val="EBA70985"/>
    <w:rsid w:val="EBCB4ACE"/>
    <w:rsid w:val="EBEFD793"/>
    <w:rsid w:val="EC5DE5C5"/>
    <w:rsid w:val="ECBF962B"/>
    <w:rsid w:val="ED9EE651"/>
    <w:rsid w:val="EDBB7130"/>
    <w:rsid w:val="EDBF2BFA"/>
    <w:rsid w:val="EDEF77DF"/>
    <w:rsid w:val="EDF50049"/>
    <w:rsid w:val="EDFF0F9E"/>
    <w:rsid w:val="EDFF1A4B"/>
    <w:rsid w:val="EE6B6D84"/>
    <w:rsid w:val="EE7C0494"/>
    <w:rsid w:val="EE8FE18D"/>
    <w:rsid w:val="EEDF1026"/>
    <w:rsid w:val="EEE4D12F"/>
    <w:rsid w:val="EEFE4911"/>
    <w:rsid w:val="EEFF21A0"/>
    <w:rsid w:val="EEFF53A8"/>
    <w:rsid w:val="EF3F9441"/>
    <w:rsid w:val="EF3FB8E6"/>
    <w:rsid w:val="EF55BAB0"/>
    <w:rsid w:val="EF5FAEC2"/>
    <w:rsid w:val="EF9FCF9D"/>
    <w:rsid w:val="EFB41ED2"/>
    <w:rsid w:val="EFC7FB79"/>
    <w:rsid w:val="EFEEDC3F"/>
    <w:rsid w:val="EFF2AA82"/>
    <w:rsid w:val="EFF688D5"/>
    <w:rsid w:val="EFFBAD09"/>
    <w:rsid w:val="EFFE3F31"/>
    <w:rsid w:val="F29FF1E4"/>
    <w:rsid w:val="F2BB8800"/>
    <w:rsid w:val="F2F6633D"/>
    <w:rsid w:val="F37FC383"/>
    <w:rsid w:val="F37FF4F3"/>
    <w:rsid w:val="F3BF792A"/>
    <w:rsid w:val="F3DFB231"/>
    <w:rsid w:val="F3DFCC0B"/>
    <w:rsid w:val="F3F5456C"/>
    <w:rsid w:val="F3F751B5"/>
    <w:rsid w:val="F3FB9225"/>
    <w:rsid w:val="F4EFC9CB"/>
    <w:rsid w:val="F528AD74"/>
    <w:rsid w:val="F537D0C7"/>
    <w:rsid w:val="F55ED660"/>
    <w:rsid w:val="F577A52E"/>
    <w:rsid w:val="F5BE9304"/>
    <w:rsid w:val="F5BFE4CA"/>
    <w:rsid w:val="F5EC290C"/>
    <w:rsid w:val="F5EF9335"/>
    <w:rsid w:val="F5F77077"/>
    <w:rsid w:val="F5F8776A"/>
    <w:rsid w:val="F5FF9382"/>
    <w:rsid w:val="F60F650C"/>
    <w:rsid w:val="F67F000F"/>
    <w:rsid w:val="F6B6DBDA"/>
    <w:rsid w:val="F6BB45AC"/>
    <w:rsid w:val="F6BF9935"/>
    <w:rsid w:val="F6F94393"/>
    <w:rsid w:val="F6FA73D5"/>
    <w:rsid w:val="F6FF7101"/>
    <w:rsid w:val="F6FFDC9A"/>
    <w:rsid w:val="F727D80F"/>
    <w:rsid w:val="F73B3F8D"/>
    <w:rsid w:val="F75F9981"/>
    <w:rsid w:val="F76FF570"/>
    <w:rsid w:val="F773B877"/>
    <w:rsid w:val="F77B351C"/>
    <w:rsid w:val="F79B66A7"/>
    <w:rsid w:val="F7BAB2F3"/>
    <w:rsid w:val="F7BF1AC3"/>
    <w:rsid w:val="F7CFD4F2"/>
    <w:rsid w:val="F7D07B92"/>
    <w:rsid w:val="F7DE87B9"/>
    <w:rsid w:val="F7EF3724"/>
    <w:rsid w:val="F7F217BF"/>
    <w:rsid w:val="F7F2D35D"/>
    <w:rsid w:val="F7F3A416"/>
    <w:rsid w:val="F7F58CE8"/>
    <w:rsid w:val="F7F7770F"/>
    <w:rsid w:val="F7F9C298"/>
    <w:rsid w:val="F7FB7DA0"/>
    <w:rsid w:val="F7FE9199"/>
    <w:rsid w:val="F7FF21E4"/>
    <w:rsid w:val="F7FFF695"/>
    <w:rsid w:val="F88EAC25"/>
    <w:rsid w:val="F8CFCE42"/>
    <w:rsid w:val="F8F70E29"/>
    <w:rsid w:val="F8FF1345"/>
    <w:rsid w:val="F8FFD216"/>
    <w:rsid w:val="F9AF4DFD"/>
    <w:rsid w:val="F9CFCEEF"/>
    <w:rsid w:val="F9DE77A0"/>
    <w:rsid w:val="F9DFE947"/>
    <w:rsid w:val="F9EBB874"/>
    <w:rsid w:val="F9F89545"/>
    <w:rsid w:val="F9FEEE58"/>
    <w:rsid w:val="FA37672B"/>
    <w:rsid w:val="FA57F3FE"/>
    <w:rsid w:val="FA5D1A7C"/>
    <w:rsid w:val="FA7F3E0F"/>
    <w:rsid w:val="FAB9B604"/>
    <w:rsid w:val="FABB8968"/>
    <w:rsid w:val="FAD75ACE"/>
    <w:rsid w:val="FADF7CEE"/>
    <w:rsid w:val="FAFABD7F"/>
    <w:rsid w:val="FAFD95DE"/>
    <w:rsid w:val="FAFF12D0"/>
    <w:rsid w:val="FB3DA6E3"/>
    <w:rsid w:val="FB5E4552"/>
    <w:rsid w:val="FB9F4954"/>
    <w:rsid w:val="FBAF6133"/>
    <w:rsid w:val="FBB54C36"/>
    <w:rsid w:val="FBDB907E"/>
    <w:rsid w:val="FBDF4EC9"/>
    <w:rsid w:val="FBDFE5D2"/>
    <w:rsid w:val="FBEA67F9"/>
    <w:rsid w:val="FBEF7894"/>
    <w:rsid w:val="FBF30A6D"/>
    <w:rsid w:val="FBFA370A"/>
    <w:rsid w:val="FBFCA17A"/>
    <w:rsid w:val="FBFD85ED"/>
    <w:rsid w:val="FBFDE1FB"/>
    <w:rsid w:val="FBFDFD32"/>
    <w:rsid w:val="FBFE15A0"/>
    <w:rsid w:val="FBFEC52D"/>
    <w:rsid w:val="FBFFCD4C"/>
    <w:rsid w:val="FBFFEF79"/>
    <w:rsid w:val="FCB3A89E"/>
    <w:rsid w:val="FCCBA151"/>
    <w:rsid w:val="FCE77E0E"/>
    <w:rsid w:val="FCF4C6DC"/>
    <w:rsid w:val="FCF5C137"/>
    <w:rsid w:val="FCFF5E88"/>
    <w:rsid w:val="FD1F0708"/>
    <w:rsid w:val="FD5FCD5E"/>
    <w:rsid w:val="FD7C9D43"/>
    <w:rsid w:val="FD7D7B97"/>
    <w:rsid w:val="FDBFB6EE"/>
    <w:rsid w:val="FDD7193C"/>
    <w:rsid w:val="FDE8F7FD"/>
    <w:rsid w:val="FDEFA7EB"/>
    <w:rsid w:val="FDFACF1B"/>
    <w:rsid w:val="FDFB039A"/>
    <w:rsid w:val="FDFB8876"/>
    <w:rsid w:val="FE3F66FF"/>
    <w:rsid w:val="FE5B132E"/>
    <w:rsid w:val="FE5FDC6D"/>
    <w:rsid w:val="FE7C759C"/>
    <w:rsid w:val="FE7D178D"/>
    <w:rsid w:val="FEB7C2BA"/>
    <w:rsid w:val="FEDE20D6"/>
    <w:rsid w:val="FEF286D0"/>
    <w:rsid w:val="FEF51D49"/>
    <w:rsid w:val="FEF70A62"/>
    <w:rsid w:val="FEF87FC0"/>
    <w:rsid w:val="FEFBDCB7"/>
    <w:rsid w:val="FEFE0DA9"/>
    <w:rsid w:val="FEFEF125"/>
    <w:rsid w:val="FEFF32D5"/>
    <w:rsid w:val="FEFF3C66"/>
    <w:rsid w:val="FF05201E"/>
    <w:rsid w:val="FF0F4C92"/>
    <w:rsid w:val="FF2EADBA"/>
    <w:rsid w:val="FF2F001A"/>
    <w:rsid w:val="FF37CA4C"/>
    <w:rsid w:val="FF3FD008"/>
    <w:rsid w:val="FF566A9B"/>
    <w:rsid w:val="FF77A983"/>
    <w:rsid w:val="FF7F5E28"/>
    <w:rsid w:val="FF7F6349"/>
    <w:rsid w:val="FF917D53"/>
    <w:rsid w:val="FF974DA8"/>
    <w:rsid w:val="FFA385CC"/>
    <w:rsid w:val="FFABABAC"/>
    <w:rsid w:val="FFB7BA9A"/>
    <w:rsid w:val="FFBB0623"/>
    <w:rsid w:val="FFBB3311"/>
    <w:rsid w:val="FFBDC4A1"/>
    <w:rsid w:val="FFBDC602"/>
    <w:rsid w:val="FFBF8A75"/>
    <w:rsid w:val="FFBFB41B"/>
    <w:rsid w:val="FFD29C71"/>
    <w:rsid w:val="FFD3261A"/>
    <w:rsid w:val="FFD37EC1"/>
    <w:rsid w:val="FFD5D847"/>
    <w:rsid w:val="FFD6EAF3"/>
    <w:rsid w:val="FFD77A7D"/>
    <w:rsid w:val="FFD7DEA8"/>
    <w:rsid w:val="FFDB1CAC"/>
    <w:rsid w:val="FFDD1594"/>
    <w:rsid w:val="FFDD39A2"/>
    <w:rsid w:val="FFDDC972"/>
    <w:rsid w:val="FFDE67EE"/>
    <w:rsid w:val="FFDEE6D4"/>
    <w:rsid w:val="FFE6180A"/>
    <w:rsid w:val="FFEB04AA"/>
    <w:rsid w:val="FFEB250F"/>
    <w:rsid w:val="FFEF32D7"/>
    <w:rsid w:val="FFEF7437"/>
    <w:rsid w:val="FFEF7F2B"/>
    <w:rsid w:val="FFEF8E9E"/>
    <w:rsid w:val="FFF2C1B8"/>
    <w:rsid w:val="FFF33CB2"/>
    <w:rsid w:val="FFF56863"/>
    <w:rsid w:val="FFF74452"/>
    <w:rsid w:val="FFF74CEA"/>
    <w:rsid w:val="FFF7851D"/>
    <w:rsid w:val="FFF884CA"/>
    <w:rsid w:val="FFF8EFCA"/>
    <w:rsid w:val="FFFA2080"/>
    <w:rsid w:val="FFFC60C8"/>
    <w:rsid w:val="FFFD1D11"/>
    <w:rsid w:val="FFFD3206"/>
    <w:rsid w:val="FFFD9278"/>
    <w:rsid w:val="FFFF16ED"/>
    <w:rsid w:val="FFFF3016"/>
    <w:rsid w:val="FFFFBF64"/>
    <w:rsid w:val="FFFFD7E6"/>
    <w:rsid w:val="FFFFF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560" w:lineRule="exact"/>
      <w:ind w:firstLine="200" w:firstLineChars="200"/>
      <w:jc w:val="both"/>
    </w:pPr>
    <w:rPr>
      <w:rFonts w:ascii="仿宋_GB2312" w:hAnsi="Calibri" w:eastAsia="仿宋_GB2312" w:cs="Times New Roman"/>
      <w:kern w:val="2"/>
      <w:sz w:val="32"/>
      <w:szCs w:val="24"/>
      <w:lang w:val="en-US" w:eastAsia="zh-CN" w:bidi="ar-SA"/>
    </w:rPr>
  </w:style>
  <w:style w:type="paragraph" w:styleId="3">
    <w:name w:val="heading 1"/>
    <w:basedOn w:val="4"/>
    <w:next w:val="5"/>
    <w:link w:val="98"/>
    <w:qFormat/>
    <w:uiPriority w:val="0"/>
    <w:pPr>
      <w:keepNext/>
      <w:keepLines/>
      <w:spacing w:line="560" w:lineRule="exact"/>
      <w:ind w:firstLine="200" w:firstLineChars="200"/>
      <w:outlineLvl w:val="0"/>
    </w:pPr>
    <w:rPr>
      <w:rFonts w:ascii="黑体" w:eastAsia="黑体"/>
      <w:bCs/>
      <w:kern w:val="44"/>
      <w:sz w:val="32"/>
      <w:szCs w:val="44"/>
    </w:rPr>
  </w:style>
  <w:style w:type="paragraph" w:styleId="5">
    <w:name w:val="heading 2"/>
    <w:basedOn w:val="1"/>
    <w:next w:val="1"/>
    <w:link w:val="150"/>
    <w:qFormat/>
    <w:uiPriority w:val="9"/>
    <w:pPr>
      <w:keepNext/>
      <w:keepLines/>
      <w:outlineLvl w:val="1"/>
    </w:pPr>
    <w:rPr>
      <w:rFonts w:ascii="楷体_GB2312" w:hAnsi="Cambria" w:eastAsia="楷体_GB2312"/>
      <w:bCs/>
      <w:szCs w:val="32"/>
    </w:rPr>
  </w:style>
  <w:style w:type="paragraph" w:styleId="6">
    <w:name w:val="heading 3"/>
    <w:basedOn w:val="1"/>
    <w:next w:val="1"/>
    <w:link w:val="100"/>
    <w:qFormat/>
    <w:uiPriority w:val="0"/>
    <w:pPr>
      <w:keepNext/>
      <w:keepLines/>
      <w:outlineLvl w:val="2"/>
    </w:pPr>
    <w:rPr>
      <w:b/>
      <w:bCs/>
      <w:szCs w:val="32"/>
    </w:rPr>
  </w:style>
  <w:style w:type="paragraph" w:styleId="7">
    <w:name w:val="heading 4"/>
    <w:basedOn w:val="1"/>
    <w:next w:val="1"/>
    <w:link w:val="101"/>
    <w:qFormat/>
    <w:uiPriority w:val="0"/>
    <w:pPr>
      <w:keepNext/>
      <w:keepLines/>
      <w:spacing w:before="280" w:after="290" w:line="376" w:lineRule="atLeast"/>
      <w:outlineLvl w:val="3"/>
    </w:pPr>
    <w:rPr>
      <w:rFonts w:ascii="等线 Light" w:hAnsi="等线 Light" w:eastAsia="等线 Light"/>
      <w:b/>
      <w:bCs/>
      <w:sz w:val="28"/>
      <w:szCs w:val="28"/>
    </w:rPr>
  </w:style>
  <w:style w:type="paragraph" w:styleId="8">
    <w:name w:val="heading 5"/>
    <w:basedOn w:val="1"/>
    <w:next w:val="1"/>
    <w:link w:val="156"/>
    <w:semiHidden/>
    <w:unhideWhenUsed/>
    <w:qFormat/>
    <w:uiPriority w:val="0"/>
    <w:pPr>
      <w:keepNext/>
      <w:keepLines/>
      <w:spacing w:before="280" w:after="290" w:line="376" w:lineRule="atLeast"/>
      <w:outlineLvl w:val="4"/>
    </w:pPr>
    <w:rPr>
      <w:b/>
      <w:bCs/>
      <w:sz w:val="28"/>
      <w:szCs w:val="28"/>
    </w:rPr>
  </w:style>
  <w:style w:type="paragraph" w:styleId="9">
    <w:name w:val="heading 6"/>
    <w:basedOn w:val="1"/>
    <w:next w:val="1"/>
    <w:link w:val="157"/>
    <w:semiHidden/>
    <w:unhideWhenUsed/>
    <w:qFormat/>
    <w:uiPriority w:val="0"/>
    <w:pPr>
      <w:keepNext/>
      <w:keepLines/>
      <w:spacing w:before="240" w:after="64" w:line="320" w:lineRule="atLeast"/>
      <w:outlineLvl w:val="5"/>
    </w:pPr>
    <w:rPr>
      <w:rFonts w:asciiTheme="majorHAnsi" w:hAnsiTheme="majorHAnsi" w:eastAsiaTheme="majorEastAsia" w:cstheme="majorBidi"/>
      <w:b/>
      <w:bCs/>
      <w:sz w:val="24"/>
    </w:rPr>
  </w:style>
  <w:style w:type="paragraph" w:styleId="10">
    <w:name w:val="heading 7"/>
    <w:basedOn w:val="1"/>
    <w:next w:val="1"/>
    <w:link w:val="158"/>
    <w:semiHidden/>
    <w:unhideWhenUsed/>
    <w:qFormat/>
    <w:uiPriority w:val="0"/>
    <w:pPr>
      <w:keepNext/>
      <w:keepLines/>
      <w:spacing w:before="240" w:after="64" w:line="320" w:lineRule="atLeast"/>
      <w:outlineLvl w:val="6"/>
    </w:pPr>
    <w:rPr>
      <w:b/>
      <w:bCs/>
      <w:sz w:val="24"/>
    </w:rPr>
  </w:style>
  <w:style w:type="paragraph" w:styleId="11">
    <w:name w:val="heading 8"/>
    <w:basedOn w:val="1"/>
    <w:next w:val="1"/>
    <w:link w:val="159"/>
    <w:semiHidden/>
    <w:unhideWhenUsed/>
    <w:qFormat/>
    <w:uiPriority w:val="0"/>
    <w:pPr>
      <w:keepNext/>
      <w:keepLines/>
      <w:spacing w:before="240" w:after="64" w:line="320" w:lineRule="atLeast"/>
      <w:outlineLvl w:val="7"/>
    </w:pPr>
    <w:rPr>
      <w:rFonts w:asciiTheme="majorHAnsi" w:hAnsiTheme="majorHAnsi" w:eastAsiaTheme="majorEastAsia" w:cstheme="majorBidi"/>
      <w:sz w:val="24"/>
    </w:rPr>
  </w:style>
  <w:style w:type="paragraph" w:styleId="12">
    <w:name w:val="heading 9"/>
    <w:basedOn w:val="1"/>
    <w:next w:val="1"/>
    <w:link w:val="160"/>
    <w:semiHidden/>
    <w:unhideWhenUsed/>
    <w:qFormat/>
    <w:uiPriority w:val="0"/>
    <w:pPr>
      <w:keepNext/>
      <w:keepLines/>
      <w:spacing w:before="240" w:after="64" w:line="320" w:lineRule="atLeast"/>
      <w:outlineLvl w:val="8"/>
    </w:pPr>
    <w:rPr>
      <w:rFonts w:asciiTheme="majorHAnsi" w:hAnsiTheme="majorHAnsi" w:eastAsiaTheme="majorEastAsia" w:cstheme="majorBidi"/>
      <w:sz w:val="21"/>
      <w:szCs w:val="21"/>
    </w:r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64"/>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60"/>
      <w:ind w:firstLine="200" w:firstLineChars="200"/>
    </w:pPr>
    <w:rPr>
      <w:rFonts w:ascii="Courier New" w:hAnsi="Courier New" w:eastAsia="宋体" w:cs="Courier New"/>
      <w:kern w:val="2"/>
      <w:sz w:val="24"/>
      <w:szCs w:val="24"/>
      <w:lang w:val="en-US" w:eastAsia="zh-CN" w:bidi="ar-SA"/>
    </w:rPr>
  </w:style>
  <w:style w:type="paragraph" w:customStyle="1" w:styleId="4">
    <w:name w:val="正文_0"/>
    <w:next w:val="3"/>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13">
    <w:name w:val="List 3"/>
    <w:basedOn w:val="1"/>
    <w:qFormat/>
    <w:uiPriority w:val="0"/>
    <w:pPr>
      <w:ind w:left="100" w:leftChars="400" w:hanging="200" w:hangingChars="200"/>
      <w:contextualSpacing/>
    </w:p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contextualSpacing/>
    </w:pPr>
  </w:style>
  <w:style w:type="paragraph" w:styleId="16">
    <w:name w:val="table of authorities"/>
    <w:basedOn w:val="1"/>
    <w:next w:val="1"/>
    <w:qFormat/>
    <w:uiPriority w:val="0"/>
    <w:pPr>
      <w:ind w:left="420" w:leftChars="200" w:firstLine="0"/>
    </w:pPr>
  </w:style>
  <w:style w:type="paragraph" w:styleId="17">
    <w:name w:val="Note Heading"/>
    <w:basedOn w:val="1"/>
    <w:next w:val="1"/>
    <w:link w:val="181"/>
    <w:qFormat/>
    <w:uiPriority w:val="0"/>
    <w:pPr>
      <w:jc w:val="center"/>
    </w:pPr>
  </w:style>
  <w:style w:type="paragraph" w:styleId="18">
    <w:name w:val="List Bullet 4"/>
    <w:basedOn w:val="1"/>
    <w:qFormat/>
    <w:uiPriority w:val="0"/>
    <w:pPr>
      <w:numPr>
        <w:ilvl w:val="0"/>
        <w:numId w:val="2"/>
      </w:numPr>
      <w:contextualSpacing/>
    </w:pPr>
  </w:style>
  <w:style w:type="paragraph" w:styleId="19">
    <w:name w:val="index 8"/>
    <w:basedOn w:val="1"/>
    <w:next w:val="1"/>
    <w:qFormat/>
    <w:uiPriority w:val="0"/>
    <w:pPr>
      <w:ind w:left="2940"/>
    </w:pPr>
    <w:rPr>
      <w:rFonts w:ascii="Times New Roman" w:hAnsi="Times New Roman"/>
    </w:rPr>
  </w:style>
  <w:style w:type="paragraph" w:styleId="20">
    <w:name w:val="E-mail Signature"/>
    <w:basedOn w:val="1"/>
    <w:link w:val="162"/>
    <w:qFormat/>
    <w:uiPriority w:val="0"/>
  </w:style>
  <w:style w:type="paragraph" w:styleId="21">
    <w:name w:val="List Number"/>
    <w:basedOn w:val="1"/>
    <w:qFormat/>
    <w:uiPriority w:val="0"/>
    <w:pPr>
      <w:numPr>
        <w:ilvl w:val="0"/>
        <w:numId w:val="3"/>
      </w:numPr>
      <w:contextualSpacing/>
    </w:pPr>
  </w:style>
  <w:style w:type="paragraph" w:styleId="22">
    <w:name w:val="Normal Indent"/>
    <w:basedOn w:val="1"/>
    <w:unhideWhenUsed/>
    <w:qFormat/>
    <w:uiPriority w:val="0"/>
    <w:pPr>
      <w:ind w:firstLine="420"/>
    </w:pPr>
  </w:style>
  <w:style w:type="paragraph" w:styleId="23">
    <w:name w:val="caption"/>
    <w:basedOn w:val="1"/>
    <w:next w:val="1"/>
    <w:semiHidden/>
    <w:unhideWhenUsed/>
    <w:qFormat/>
    <w:uiPriority w:val="0"/>
    <w:rPr>
      <w:rFonts w:eastAsia="黑体" w:asciiTheme="majorHAnsi" w:hAnsiTheme="majorHAnsi" w:cstheme="majorBidi"/>
      <w:sz w:val="20"/>
      <w:szCs w:val="20"/>
    </w:rPr>
  </w:style>
  <w:style w:type="paragraph" w:styleId="24">
    <w:name w:val="index 5"/>
    <w:basedOn w:val="1"/>
    <w:next w:val="1"/>
    <w:qFormat/>
    <w:uiPriority w:val="0"/>
    <w:pPr>
      <w:ind w:left="800" w:leftChars="800" w:firstLine="0"/>
    </w:pPr>
  </w:style>
  <w:style w:type="paragraph" w:styleId="25">
    <w:name w:val="List Bullet"/>
    <w:basedOn w:val="1"/>
    <w:qFormat/>
    <w:uiPriority w:val="0"/>
    <w:pPr>
      <w:numPr>
        <w:ilvl w:val="0"/>
        <w:numId w:val="4"/>
      </w:numPr>
      <w:contextualSpacing/>
    </w:pPr>
  </w:style>
  <w:style w:type="paragraph" w:styleId="26">
    <w:name w:val="envelope address"/>
    <w:basedOn w:val="1"/>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27">
    <w:name w:val="Document Map"/>
    <w:basedOn w:val="1"/>
    <w:link w:val="173"/>
    <w:qFormat/>
    <w:uiPriority w:val="0"/>
    <w:rPr>
      <w:rFonts w:ascii="Microsoft YaHei UI" w:eastAsia="Microsoft YaHei UI"/>
      <w:sz w:val="18"/>
      <w:szCs w:val="18"/>
    </w:rPr>
  </w:style>
  <w:style w:type="paragraph" w:styleId="28">
    <w:name w:val="toa heading"/>
    <w:basedOn w:val="1"/>
    <w:next w:val="1"/>
    <w:qFormat/>
    <w:uiPriority w:val="0"/>
    <w:pPr>
      <w:spacing w:before="120"/>
    </w:pPr>
    <w:rPr>
      <w:rFonts w:asciiTheme="majorHAnsi" w:hAnsiTheme="majorHAnsi" w:eastAsiaTheme="majorEastAsia" w:cstheme="majorBidi"/>
      <w:sz w:val="24"/>
    </w:rPr>
  </w:style>
  <w:style w:type="paragraph" w:styleId="29">
    <w:name w:val="annotation text"/>
    <w:basedOn w:val="1"/>
    <w:link w:val="131"/>
    <w:qFormat/>
    <w:uiPriority w:val="0"/>
    <w:pPr>
      <w:jc w:val="left"/>
    </w:pPr>
  </w:style>
  <w:style w:type="paragraph" w:styleId="30">
    <w:name w:val="index 6"/>
    <w:basedOn w:val="1"/>
    <w:next w:val="1"/>
    <w:qFormat/>
    <w:uiPriority w:val="0"/>
    <w:pPr>
      <w:ind w:left="1000" w:leftChars="1000" w:firstLine="0"/>
    </w:pPr>
  </w:style>
  <w:style w:type="paragraph" w:styleId="31">
    <w:name w:val="Salutation"/>
    <w:basedOn w:val="1"/>
    <w:next w:val="1"/>
    <w:link w:val="161"/>
    <w:qFormat/>
    <w:uiPriority w:val="0"/>
  </w:style>
  <w:style w:type="paragraph" w:styleId="32">
    <w:name w:val="Body Text 3"/>
    <w:basedOn w:val="1"/>
    <w:link w:val="179"/>
    <w:qFormat/>
    <w:uiPriority w:val="0"/>
    <w:pPr>
      <w:spacing w:after="120"/>
    </w:pPr>
    <w:rPr>
      <w:sz w:val="16"/>
      <w:szCs w:val="16"/>
    </w:rPr>
  </w:style>
  <w:style w:type="paragraph" w:styleId="33">
    <w:name w:val="Closing"/>
    <w:basedOn w:val="1"/>
    <w:link w:val="166"/>
    <w:qFormat/>
    <w:uiPriority w:val="0"/>
    <w:pPr>
      <w:ind w:left="100" w:leftChars="2100"/>
    </w:pPr>
  </w:style>
  <w:style w:type="paragraph" w:styleId="34">
    <w:name w:val="List Bullet 3"/>
    <w:basedOn w:val="1"/>
    <w:qFormat/>
    <w:uiPriority w:val="0"/>
    <w:pPr>
      <w:numPr>
        <w:ilvl w:val="0"/>
        <w:numId w:val="5"/>
      </w:numPr>
      <w:contextualSpacing/>
    </w:pPr>
  </w:style>
  <w:style w:type="paragraph" w:styleId="35">
    <w:name w:val="Body Text"/>
    <w:basedOn w:val="1"/>
    <w:next w:val="36"/>
    <w:link w:val="133"/>
    <w:qFormat/>
    <w:uiPriority w:val="0"/>
    <w:pPr>
      <w:spacing w:after="120"/>
    </w:pPr>
    <w:rPr>
      <w:rFonts w:ascii="Times New Roman" w:hAnsi="Times New Roman" w:eastAsia="宋体"/>
    </w:rPr>
  </w:style>
  <w:style w:type="paragraph" w:styleId="36">
    <w:name w:val="Title"/>
    <w:basedOn w:val="1"/>
    <w:next w:val="1"/>
    <w:qFormat/>
    <w:uiPriority w:val="0"/>
    <w:pPr>
      <w:widowControl/>
      <w:spacing w:before="240" w:after="60"/>
      <w:jc w:val="center"/>
    </w:pPr>
    <w:rPr>
      <w:rFonts w:ascii="Cambria" w:hAnsi="Cambria" w:cs="Cambria"/>
      <w:b/>
      <w:bCs/>
      <w:szCs w:val="32"/>
    </w:rPr>
  </w:style>
  <w:style w:type="paragraph" w:styleId="37">
    <w:name w:val="Body Text Indent"/>
    <w:basedOn w:val="1"/>
    <w:next w:val="1"/>
    <w:link w:val="102"/>
    <w:qFormat/>
    <w:uiPriority w:val="99"/>
    <w:pPr>
      <w:spacing w:after="120"/>
      <w:ind w:left="420" w:leftChars="200"/>
    </w:pPr>
  </w:style>
  <w:style w:type="paragraph" w:styleId="38">
    <w:name w:val="List Number 3"/>
    <w:basedOn w:val="1"/>
    <w:qFormat/>
    <w:uiPriority w:val="0"/>
    <w:pPr>
      <w:numPr>
        <w:ilvl w:val="0"/>
        <w:numId w:val="6"/>
      </w:numPr>
      <w:contextualSpacing/>
    </w:pPr>
  </w:style>
  <w:style w:type="paragraph" w:styleId="39">
    <w:name w:val="List 2"/>
    <w:basedOn w:val="1"/>
    <w:qFormat/>
    <w:uiPriority w:val="0"/>
    <w:pPr>
      <w:ind w:left="100" w:leftChars="200" w:hanging="200" w:hangingChars="200"/>
      <w:contextualSpacing/>
    </w:pPr>
  </w:style>
  <w:style w:type="paragraph" w:styleId="40">
    <w:name w:val="List Continue"/>
    <w:basedOn w:val="1"/>
    <w:qFormat/>
    <w:uiPriority w:val="0"/>
    <w:pPr>
      <w:spacing w:after="120"/>
      <w:ind w:left="420" w:leftChars="200"/>
      <w:contextualSpacing/>
    </w:pPr>
  </w:style>
  <w:style w:type="paragraph" w:styleId="41">
    <w:name w:val="Block Text"/>
    <w:unhideWhenUsed/>
    <w:qFormat/>
    <w:uiPriority w:val="99"/>
    <w:pPr>
      <w:adjustRightInd w:val="0"/>
      <w:snapToGrid w:val="0"/>
      <w:spacing w:after="120" w:line="560" w:lineRule="exact"/>
      <w:ind w:left="1440" w:leftChars="700" w:right="1440" w:rightChars="700" w:firstLine="200" w:firstLineChars="200"/>
    </w:pPr>
    <w:rPr>
      <w:rFonts w:ascii="Calibri" w:hAnsi="Calibri" w:eastAsia="仿宋_GB2312" w:cs="Times New Roman"/>
      <w:sz w:val="32"/>
      <w:szCs w:val="22"/>
      <w:lang w:val="en-US" w:eastAsia="zh-CN" w:bidi="ar-SA"/>
    </w:rPr>
  </w:style>
  <w:style w:type="paragraph" w:styleId="42">
    <w:name w:val="List Bullet 2"/>
    <w:basedOn w:val="1"/>
    <w:qFormat/>
    <w:uiPriority w:val="0"/>
    <w:pPr>
      <w:numPr>
        <w:ilvl w:val="0"/>
        <w:numId w:val="7"/>
      </w:numPr>
      <w:contextualSpacing/>
    </w:pPr>
  </w:style>
  <w:style w:type="paragraph" w:styleId="43">
    <w:name w:val="HTML Address"/>
    <w:basedOn w:val="1"/>
    <w:link w:val="154"/>
    <w:qFormat/>
    <w:uiPriority w:val="0"/>
    <w:rPr>
      <w:i/>
      <w:iCs/>
    </w:rPr>
  </w:style>
  <w:style w:type="paragraph" w:styleId="44">
    <w:name w:val="index 4"/>
    <w:basedOn w:val="1"/>
    <w:next w:val="1"/>
    <w:qFormat/>
    <w:uiPriority w:val="0"/>
    <w:pPr>
      <w:ind w:left="600" w:leftChars="600" w:firstLine="0"/>
    </w:pPr>
  </w:style>
  <w:style w:type="paragraph" w:styleId="45">
    <w:name w:val="toc 5"/>
    <w:basedOn w:val="1"/>
    <w:next w:val="1"/>
    <w:qFormat/>
    <w:uiPriority w:val="0"/>
    <w:pPr>
      <w:ind w:left="1680" w:leftChars="800"/>
    </w:pPr>
  </w:style>
  <w:style w:type="paragraph" w:styleId="46">
    <w:name w:val="toc 3"/>
    <w:basedOn w:val="1"/>
    <w:next w:val="1"/>
    <w:qFormat/>
    <w:uiPriority w:val="39"/>
    <w:pPr>
      <w:ind w:left="840" w:leftChars="400"/>
    </w:pPr>
  </w:style>
  <w:style w:type="paragraph" w:styleId="47">
    <w:name w:val="Plain Text"/>
    <w:basedOn w:val="1"/>
    <w:next w:val="19"/>
    <w:link w:val="103"/>
    <w:qFormat/>
    <w:uiPriority w:val="0"/>
    <w:rPr>
      <w:rFonts w:ascii="宋体" w:hAnsi="Courier New"/>
      <w:szCs w:val="21"/>
    </w:rPr>
  </w:style>
  <w:style w:type="paragraph" w:styleId="48">
    <w:name w:val="List Bullet 5"/>
    <w:basedOn w:val="1"/>
    <w:qFormat/>
    <w:uiPriority w:val="0"/>
    <w:pPr>
      <w:numPr>
        <w:ilvl w:val="0"/>
        <w:numId w:val="8"/>
      </w:numPr>
      <w:contextualSpacing/>
    </w:pPr>
  </w:style>
  <w:style w:type="paragraph" w:styleId="49">
    <w:name w:val="List Number 4"/>
    <w:basedOn w:val="1"/>
    <w:qFormat/>
    <w:uiPriority w:val="0"/>
    <w:pPr>
      <w:numPr>
        <w:ilvl w:val="0"/>
        <w:numId w:val="9"/>
      </w:numPr>
      <w:contextualSpacing/>
    </w:pPr>
  </w:style>
  <w:style w:type="paragraph" w:styleId="50">
    <w:name w:val="toc 8"/>
    <w:basedOn w:val="1"/>
    <w:next w:val="1"/>
    <w:qFormat/>
    <w:uiPriority w:val="0"/>
    <w:pPr>
      <w:ind w:left="2940" w:leftChars="1400"/>
    </w:pPr>
  </w:style>
  <w:style w:type="paragraph" w:styleId="51">
    <w:name w:val="index 3"/>
    <w:basedOn w:val="1"/>
    <w:next w:val="1"/>
    <w:qFormat/>
    <w:uiPriority w:val="0"/>
    <w:pPr>
      <w:ind w:left="400" w:leftChars="400" w:firstLine="0"/>
    </w:pPr>
  </w:style>
  <w:style w:type="paragraph" w:styleId="52">
    <w:name w:val="Date"/>
    <w:basedOn w:val="1"/>
    <w:next w:val="1"/>
    <w:link w:val="104"/>
    <w:qFormat/>
    <w:uiPriority w:val="0"/>
    <w:pPr>
      <w:ind w:left="100" w:leftChars="2500"/>
    </w:pPr>
  </w:style>
  <w:style w:type="paragraph" w:styleId="53">
    <w:name w:val="Body Text Indent 2"/>
    <w:basedOn w:val="1"/>
    <w:link w:val="105"/>
    <w:qFormat/>
    <w:uiPriority w:val="0"/>
    <w:pPr>
      <w:ind w:firstLine="822" w:firstLineChars="257"/>
    </w:pPr>
    <w:rPr>
      <w:rFonts w:ascii="宋体" w:hAnsi="宋体"/>
    </w:rPr>
  </w:style>
  <w:style w:type="paragraph" w:styleId="54">
    <w:name w:val="endnote text"/>
    <w:basedOn w:val="1"/>
    <w:link w:val="172"/>
    <w:qFormat/>
    <w:uiPriority w:val="0"/>
    <w:pPr>
      <w:snapToGrid w:val="0"/>
      <w:jc w:val="left"/>
    </w:pPr>
  </w:style>
  <w:style w:type="paragraph" w:styleId="55">
    <w:name w:val="List Continue 5"/>
    <w:basedOn w:val="1"/>
    <w:qFormat/>
    <w:uiPriority w:val="0"/>
    <w:pPr>
      <w:spacing w:after="120"/>
      <w:ind w:left="2100" w:leftChars="1000"/>
      <w:contextualSpacing/>
    </w:pPr>
  </w:style>
  <w:style w:type="paragraph" w:styleId="56">
    <w:name w:val="Balloon Text"/>
    <w:basedOn w:val="1"/>
    <w:link w:val="169"/>
    <w:qFormat/>
    <w:uiPriority w:val="0"/>
    <w:pPr>
      <w:spacing w:after="0" w:line="240" w:lineRule="auto"/>
    </w:pPr>
    <w:rPr>
      <w:sz w:val="18"/>
      <w:szCs w:val="18"/>
    </w:rPr>
  </w:style>
  <w:style w:type="paragraph" w:styleId="57">
    <w:name w:val="footer"/>
    <w:basedOn w:val="1"/>
    <w:link w:val="106"/>
    <w:qFormat/>
    <w:uiPriority w:val="99"/>
    <w:pPr>
      <w:tabs>
        <w:tab w:val="center" w:pos="4153"/>
        <w:tab w:val="right" w:pos="8306"/>
      </w:tabs>
      <w:snapToGrid w:val="0"/>
      <w:jc w:val="left"/>
    </w:pPr>
    <w:rPr>
      <w:sz w:val="18"/>
      <w:szCs w:val="18"/>
    </w:rPr>
  </w:style>
  <w:style w:type="paragraph" w:styleId="58">
    <w:name w:val="envelope return"/>
    <w:basedOn w:val="1"/>
    <w:qFormat/>
    <w:uiPriority w:val="0"/>
    <w:pPr>
      <w:snapToGrid w:val="0"/>
    </w:pPr>
    <w:rPr>
      <w:rFonts w:asciiTheme="majorHAnsi" w:hAnsiTheme="majorHAnsi" w:eastAsiaTheme="majorEastAsia" w:cstheme="majorBidi"/>
    </w:rPr>
  </w:style>
  <w:style w:type="paragraph" w:styleId="59">
    <w:name w:val="header"/>
    <w:basedOn w:val="1"/>
    <w:link w:val="107"/>
    <w:qFormat/>
    <w:uiPriority w:val="0"/>
    <w:pPr>
      <w:pBdr>
        <w:bottom w:val="single" w:color="auto" w:sz="6" w:space="1"/>
      </w:pBdr>
      <w:tabs>
        <w:tab w:val="center" w:pos="4153"/>
        <w:tab w:val="right" w:pos="8306"/>
      </w:tabs>
      <w:snapToGrid w:val="0"/>
      <w:jc w:val="center"/>
    </w:pPr>
    <w:rPr>
      <w:sz w:val="18"/>
      <w:szCs w:val="18"/>
    </w:rPr>
  </w:style>
  <w:style w:type="paragraph" w:styleId="60">
    <w:name w:val="Signature"/>
    <w:basedOn w:val="1"/>
    <w:link w:val="170"/>
    <w:qFormat/>
    <w:uiPriority w:val="0"/>
    <w:pPr>
      <w:ind w:left="100" w:leftChars="2100"/>
    </w:pPr>
  </w:style>
  <w:style w:type="paragraph" w:styleId="61">
    <w:name w:val="toc 1"/>
    <w:basedOn w:val="1"/>
    <w:next w:val="1"/>
    <w:qFormat/>
    <w:uiPriority w:val="39"/>
    <w:pPr>
      <w:tabs>
        <w:tab w:val="right" w:leader="dot" w:pos="8835"/>
      </w:tabs>
      <w:ind w:firstLine="640"/>
    </w:pPr>
    <w:rPr>
      <w:rFonts w:ascii="黑体" w:hAnsi="黑体" w:eastAsia="黑体"/>
    </w:rPr>
  </w:style>
  <w:style w:type="paragraph" w:styleId="62">
    <w:name w:val="List Continue 4"/>
    <w:basedOn w:val="1"/>
    <w:qFormat/>
    <w:uiPriority w:val="0"/>
    <w:pPr>
      <w:spacing w:after="120"/>
      <w:ind w:left="1680" w:leftChars="800"/>
      <w:contextualSpacing/>
    </w:pPr>
  </w:style>
  <w:style w:type="paragraph" w:styleId="63">
    <w:name w:val="toc 4"/>
    <w:basedOn w:val="1"/>
    <w:next w:val="1"/>
    <w:qFormat/>
    <w:uiPriority w:val="0"/>
    <w:pPr>
      <w:ind w:left="1260" w:leftChars="600"/>
    </w:pPr>
  </w:style>
  <w:style w:type="paragraph" w:styleId="64">
    <w:name w:val="index heading"/>
    <w:basedOn w:val="1"/>
    <w:next w:val="65"/>
    <w:qFormat/>
    <w:uiPriority w:val="0"/>
    <w:rPr>
      <w:rFonts w:asciiTheme="majorHAnsi" w:hAnsiTheme="majorHAnsi" w:eastAsiaTheme="majorEastAsia" w:cstheme="majorBidi"/>
      <w:b/>
      <w:bCs/>
    </w:rPr>
  </w:style>
  <w:style w:type="paragraph" w:styleId="65">
    <w:name w:val="index 1"/>
    <w:basedOn w:val="1"/>
    <w:next w:val="1"/>
    <w:qFormat/>
    <w:uiPriority w:val="0"/>
    <w:pPr>
      <w:ind w:firstLine="0"/>
    </w:pPr>
  </w:style>
  <w:style w:type="paragraph" w:styleId="66">
    <w:name w:val="Subtitle"/>
    <w:basedOn w:val="1"/>
    <w:next w:val="1"/>
    <w:link w:val="163"/>
    <w:qFormat/>
    <w:uiPriority w:val="0"/>
    <w:pPr>
      <w:spacing w:before="240" w:after="60" w:line="312" w:lineRule="atLeast"/>
      <w:jc w:val="center"/>
      <w:outlineLvl w:val="1"/>
    </w:pPr>
    <w:rPr>
      <w:rFonts w:asciiTheme="minorHAnsi" w:hAnsiTheme="minorHAnsi" w:eastAsiaTheme="minorEastAsia" w:cstheme="minorBidi"/>
      <w:b/>
      <w:bCs/>
      <w:kern w:val="28"/>
      <w:szCs w:val="32"/>
    </w:rPr>
  </w:style>
  <w:style w:type="paragraph" w:styleId="67">
    <w:name w:val="List Number 5"/>
    <w:basedOn w:val="1"/>
    <w:qFormat/>
    <w:uiPriority w:val="0"/>
    <w:pPr>
      <w:numPr>
        <w:ilvl w:val="0"/>
        <w:numId w:val="10"/>
      </w:numPr>
      <w:contextualSpacing/>
    </w:pPr>
  </w:style>
  <w:style w:type="paragraph" w:styleId="68">
    <w:name w:val="List"/>
    <w:basedOn w:val="1"/>
    <w:qFormat/>
    <w:uiPriority w:val="0"/>
    <w:pPr>
      <w:ind w:left="200" w:hanging="200" w:hangingChars="200"/>
      <w:contextualSpacing/>
    </w:pPr>
  </w:style>
  <w:style w:type="paragraph" w:styleId="69">
    <w:name w:val="footnote text"/>
    <w:basedOn w:val="1"/>
    <w:link w:val="165"/>
    <w:qFormat/>
    <w:uiPriority w:val="0"/>
    <w:pPr>
      <w:snapToGrid w:val="0"/>
      <w:jc w:val="left"/>
    </w:pPr>
    <w:rPr>
      <w:sz w:val="18"/>
      <w:szCs w:val="18"/>
    </w:rPr>
  </w:style>
  <w:style w:type="paragraph" w:styleId="70">
    <w:name w:val="toc 6"/>
    <w:basedOn w:val="1"/>
    <w:next w:val="1"/>
    <w:qFormat/>
    <w:uiPriority w:val="0"/>
    <w:pPr>
      <w:ind w:left="2100" w:leftChars="1000"/>
    </w:pPr>
  </w:style>
  <w:style w:type="paragraph" w:styleId="71">
    <w:name w:val="List 5"/>
    <w:basedOn w:val="1"/>
    <w:qFormat/>
    <w:uiPriority w:val="0"/>
    <w:pPr>
      <w:ind w:left="100" w:leftChars="800" w:hanging="200" w:hangingChars="200"/>
      <w:contextualSpacing/>
    </w:pPr>
  </w:style>
  <w:style w:type="paragraph" w:styleId="72">
    <w:name w:val="Body Text Indent 3"/>
    <w:basedOn w:val="1"/>
    <w:link w:val="180"/>
    <w:qFormat/>
    <w:uiPriority w:val="0"/>
    <w:pPr>
      <w:spacing w:after="120"/>
      <w:ind w:left="420" w:leftChars="200"/>
    </w:pPr>
    <w:rPr>
      <w:sz w:val="16"/>
      <w:szCs w:val="16"/>
    </w:rPr>
  </w:style>
  <w:style w:type="paragraph" w:styleId="73">
    <w:name w:val="index 7"/>
    <w:basedOn w:val="1"/>
    <w:next w:val="1"/>
    <w:qFormat/>
    <w:uiPriority w:val="0"/>
    <w:pPr>
      <w:ind w:left="1200" w:leftChars="1200" w:firstLine="0"/>
    </w:pPr>
  </w:style>
  <w:style w:type="paragraph" w:styleId="74">
    <w:name w:val="index 9"/>
    <w:basedOn w:val="1"/>
    <w:next w:val="1"/>
    <w:qFormat/>
    <w:uiPriority w:val="0"/>
    <w:pPr>
      <w:ind w:left="1600" w:leftChars="1600" w:firstLine="0"/>
    </w:pPr>
  </w:style>
  <w:style w:type="paragraph" w:styleId="75">
    <w:name w:val="table of figures"/>
    <w:basedOn w:val="1"/>
    <w:next w:val="1"/>
    <w:qFormat/>
    <w:uiPriority w:val="0"/>
    <w:pPr>
      <w:ind w:left="200" w:leftChars="200" w:hanging="200" w:hangingChars="200"/>
    </w:pPr>
  </w:style>
  <w:style w:type="paragraph" w:styleId="76">
    <w:name w:val="toc 2"/>
    <w:basedOn w:val="1"/>
    <w:next w:val="1"/>
    <w:qFormat/>
    <w:uiPriority w:val="39"/>
    <w:pPr>
      <w:ind w:left="420" w:leftChars="200"/>
    </w:pPr>
  </w:style>
  <w:style w:type="paragraph" w:styleId="77">
    <w:name w:val="toc 9"/>
    <w:basedOn w:val="1"/>
    <w:next w:val="1"/>
    <w:qFormat/>
    <w:uiPriority w:val="0"/>
    <w:pPr>
      <w:ind w:left="3360" w:leftChars="1600"/>
    </w:pPr>
  </w:style>
  <w:style w:type="paragraph" w:styleId="78">
    <w:name w:val="Body Text 2"/>
    <w:basedOn w:val="1"/>
    <w:link w:val="178"/>
    <w:qFormat/>
    <w:uiPriority w:val="0"/>
    <w:pPr>
      <w:spacing w:after="120" w:line="480" w:lineRule="auto"/>
    </w:pPr>
  </w:style>
  <w:style w:type="paragraph" w:styleId="79">
    <w:name w:val="List 4"/>
    <w:basedOn w:val="1"/>
    <w:qFormat/>
    <w:uiPriority w:val="0"/>
    <w:pPr>
      <w:ind w:left="100" w:leftChars="600" w:hanging="200" w:hangingChars="200"/>
      <w:contextualSpacing/>
    </w:pPr>
  </w:style>
  <w:style w:type="paragraph" w:styleId="80">
    <w:name w:val="List Continue 2"/>
    <w:basedOn w:val="1"/>
    <w:qFormat/>
    <w:uiPriority w:val="0"/>
    <w:pPr>
      <w:spacing w:after="120"/>
      <w:ind w:left="840" w:leftChars="400"/>
      <w:contextualSpacing/>
    </w:pPr>
  </w:style>
  <w:style w:type="paragraph" w:styleId="81">
    <w:name w:val="Message Header"/>
    <w:basedOn w:val="1"/>
    <w:link w:val="17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2">
    <w:name w:val="HTML Preformatted"/>
    <w:basedOn w:val="1"/>
    <w:link w:val="14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83">
    <w:name w:val="Normal (Web)"/>
    <w:basedOn w:val="1"/>
    <w:qFormat/>
    <w:uiPriority w:val="0"/>
    <w:pPr>
      <w:spacing w:before="100" w:beforeAutospacing="1" w:after="100" w:afterAutospacing="1"/>
      <w:jc w:val="left"/>
    </w:pPr>
    <w:rPr>
      <w:kern w:val="0"/>
      <w:sz w:val="24"/>
    </w:rPr>
  </w:style>
  <w:style w:type="paragraph" w:styleId="84">
    <w:name w:val="List Continue 3"/>
    <w:basedOn w:val="1"/>
    <w:qFormat/>
    <w:uiPriority w:val="0"/>
    <w:pPr>
      <w:spacing w:after="120"/>
      <w:ind w:left="1260" w:leftChars="600"/>
      <w:contextualSpacing/>
    </w:pPr>
  </w:style>
  <w:style w:type="paragraph" w:styleId="85">
    <w:name w:val="index 2"/>
    <w:basedOn w:val="1"/>
    <w:next w:val="1"/>
    <w:qFormat/>
    <w:uiPriority w:val="0"/>
    <w:pPr>
      <w:ind w:left="200" w:leftChars="200" w:firstLine="0"/>
    </w:pPr>
  </w:style>
  <w:style w:type="paragraph" w:styleId="86">
    <w:name w:val="annotation subject"/>
    <w:basedOn w:val="29"/>
    <w:next w:val="29"/>
    <w:link w:val="132"/>
    <w:qFormat/>
    <w:uiPriority w:val="0"/>
    <w:rPr>
      <w:b/>
      <w:bCs/>
    </w:rPr>
  </w:style>
  <w:style w:type="paragraph" w:styleId="87">
    <w:name w:val="Body Text First Indent"/>
    <w:basedOn w:val="35"/>
    <w:next w:val="88"/>
    <w:qFormat/>
    <w:uiPriority w:val="0"/>
    <w:pPr>
      <w:ind w:firstLine="420" w:firstLineChars="100"/>
    </w:pPr>
  </w:style>
  <w:style w:type="paragraph" w:styleId="88">
    <w:name w:val="Body Text First Indent 2"/>
    <w:basedOn w:val="37"/>
    <w:link w:val="108"/>
    <w:qFormat/>
    <w:uiPriority w:val="0"/>
    <w:pPr>
      <w:spacing w:after="0"/>
      <w:ind w:left="0" w:leftChars="0"/>
    </w:pPr>
  </w:style>
  <w:style w:type="table" w:styleId="90">
    <w:name w:val="Table Grid"/>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basedOn w:val="91"/>
    <w:qFormat/>
    <w:uiPriority w:val="0"/>
    <w:rPr>
      <w:b/>
    </w:rPr>
  </w:style>
  <w:style w:type="character" w:styleId="93">
    <w:name w:val="Emphasis"/>
    <w:basedOn w:val="91"/>
    <w:qFormat/>
    <w:uiPriority w:val="0"/>
    <w:rPr>
      <w:i/>
    </w:rPr>
  </w:style>
  <w:style w:type="character" w:styleId="94">
    <w:name w:val="Hyperlink"/>
    <w:unhideWhenUsed/>
    <w:qFormat/>
    <w:uiPriority w:val="99"/>
    <w:rPr>
      <w:color w:val="0563C1"/>
      <w:u w:val="single"/>
    </w:rPr>
  </w:style>
  <w:style w:type="character" w:styleId="95">
    <w:name w:val="annotation reference"/>
    <w:basedOn w:val="91"/>
    <w:qFormat/>
    <w:uiPriority w:val="0"/>
    <w:rPr>
      <w:sz w:val="21"/>
      <w:szCs w:val="21"/>
    </w:rPr>
  </w:style>
  <w:style w:type="paragraph" w:customStyle="1" w:styleId="96">
    <w:name w:val="NormalIndent"/>
    <w:basedOn w:val="1"/>
    <w:qFormat/>
    <w:uiPriority w:val="0"/>
    <w:pPr>
      <w:spacing w:after="120"/>
      <w:ind w:firstLine="482"/>
    </w:pPr>
    <w:rPr>
      <w:rFonts w:ascii="Times New Roman" w:hAnsi="Times New Roman"/>
    </w:rPr>
  </w:style>
  <w:style w:type="paragraph" w:customStyle="1" w:styleId="97">
    <w:name w:val="BodyText"/>
    <w:basedOn w:val="1"/>
    <w:next w:val="36"/>
    <w:qFormat/>
    <w:uiPriority w:val="0"/>
    <w:pPr>
      <w:spacing w:after="120"/>
      <w:textAlignment w:val="baseline"/>
    </w:pPr>
  </w:style>
  <w:style w:type="character" w:customStyle="1" w:styleId="98">
    <w:name w:val="标题 1 字符"/>
    <w:link w:val="3"/>
    <w:qFormat/>
    <w:uiPriority w:val="0"/>
    <w:rPr>
      <w:rFonts w:ascii="黑体" w:hAnsi="Calibri" w:eastAsia="黑体"/>
      <w:bCs/>
      <w:kern w:val="44"/>
      <w:sz w:val="32"/>
      <w:szCs w:val="44"/>
    </w:rPr>
  </w:style>
  <w:style w:type="character" w:customStyle="1" w:styleId="99">
    <w:name w:val="标题 2 字符"/>
    <w:qFormat/>
    <w:uiPriority w:val="9"/>
    <w:rPr>
      <w:rFonts w:ascii="楷体_GB2312" w:hAnsi="Cambria" w:eastAsia="楷体_GB2312"/>
      <w:bCs/>
      <w:kern w:val="2"/>
      <w:sz w:val="32"/>
      <w:szCs w:val="32"/>
    </w:rPr>
  </w:style>
  <w:style w:type="character" w:customStyle="1" w:styleId="100">
    <w:name w:val="标题 3 字符"/>
    <w:link w:val="6"/>
    <w:qFormat/>
    <w:uiPriority w:val="0"/>
    <w:rPr>
      <w:rFonts w:ascii="仿宋_GB2312" w:hAnsi="Calibri" w:eastAsia="仿宋_GB2312"/>
      <w:b/>
      <w:bCs/>
      <w:kern w:val="2"/>
      <w:sz w:val="32"/>
      <w:szCs w:val="32"/>
    </w:rPr>
  </w:style>
  <w:style w:type="character" w:customStyle="1" w:styleId="101">
    <w:name w:val="标题 4 字符"/>
    <w:link w:val="7"/>
    <w:qFormat/>
    <w:uiPriority w:val="0"/>
    <w:rPr>
      <w:rFonts w:ascii="等线 Light" w:hAnsi="等线 Light" w:eastAsia="等线 Light"/>
      <w:b/>
      <w:bCs/>
      <w:kern w:val="2"/>
      <w:sz w:val="28"/>
      <w:szCs w:val="28"/>
    </w:rPr>
  </w:style>
  <w:style w:type="character" w:customStyle="1" w:styleId="102">
    <w:name w:val="正文文本缩进 字符"/>
    <w:link w:val="37"/>
    <w:qFormat/>
    <w:uiPriority w:val="99"/>
    <w:rPr>
      <w:rFonts w:ascii="仿宋_GB2312" w:hAnsi="Calibri" w:eastAsia="仿宋_GB2312"/>
      <w:kern w:val="2"/>
      <w:sz w:val="32"/>
      <w:szCs w:val="24"/>
    </w:rPr>
  </w:style>
  <w:style w:type="character" w:customStyle="1" w:styleId="103">
    <w:name w:val="纯文本 字符"/>
    <w:link w:val="47"/>
    <w:qFormat/>
    <w:uiPriority w:val="0"/>
    <w:rPr>
      <w:rFonts w:ascii="宋体" w:hAnsi="Courier New" w:eastAsia="仿宋_GB2312"/>
      <w:kern w:val="2"/>
      <w:sz w:val="32"/>
      <w:szCs w:val="21"/>
    </w:rPr>
  </w:style>
  <w:style w:type="character" w:customStyle="1" w:styleId="104">
    <w:name w:val="日期 字符"/>
    <w:link w:val="52"/>
    <w:qFormat/>
    <w:uiPriority w:val="0"/>
    <w:rPr>
      <w:rFonts w:ascii="仿宋_GB2312" w:hAnsi="Calibri" w:eastAsia="仿宋_GB2312"/>
      <w:kern w:val="2"/>
      <w:sz w:val="32"/>
      <w:szCs w:val="24"/>
    </w:rPr>
  </w:style>
  <w:style w:type="character" w:customStyle="1" w:styleId="105">
    <w:name w:val="正文文本缩进 2 字符"/>
    <w:link w:val="53"/>
    <w:qFormat/>
    <w:uiPriority w:val="0"/>
    <w:rPr>
      <w:rFonts w:ascii="宋体" w:hAnsi="宋体"/>
      <w:kern w:val="2"/>
      <w:sz w:val="32"/>
      <w:szCs w:val="24"/>
    </w:rPr>
  </w:style>
  <w:style w:type="character" w:customStyle="1" w:styleId="106">
    <w:name w:val="页脚 字符"/>
    <w:link w:val="57"/>
    <w:qFormat/>
    <w:uiPriority w:val="99"/>
    <w:rPr>
      <w:rFonts w:ascii="Calibri" w:hAnsi="Calibri"/>
      <w:kern w:val="2"/>
      <w:sz w:val="18"/>
      <w:szCs w:val="18"/>
    </w:rPr>
  </w:style>
  <w:style w:type="character" w:customStyle="1" w:styleId="107">
    <w:name w:val="页眉 字符"/>
    <w:link w:val="59"/>
    <w:qFormat/>
    <w:uiPriority w:val="0"/>
    <w:rPr>
      <w:rFonts w:ascii="Calibri" w:hAnsi="Calibri"/>
      <w:kern w:val="2"/>
      <w:sz w:val="18"/>
      <w:szCs w:val="18"/>
    </w:rPr>
  </w:style>
  <w:style w:type="character" w:customStyle="1" w:styleId="108">
    <w:name w:val="正文文本首行缩进 2 字符"/>
    <w:link w:val="88"/>
    <w:qFormat/>
    <w:uiPriority w:val="0"/>
    <w:rPr>
      <w:rFonts w:ascii="仿宋_GB2312" w:hAnsi="Calibri" w:eastAsia="仿宋_GB2312"/>
      <w:kern w:val="2"/>
      <w:sz w:val="32"/>
      <w:szCs w:val="24"/>
    </w:rPr>
  </w:style>
  <w:style w:type="character" w:customStyle="1" w:styleId="109">
    <w:name w:val="fontstyle11"/>
    <w:qFormat/>
    <w:uiPriority w:val="0"/>
    <w:rPr>
      <w:rFonts w:ascii="FSA" w:hAnsi="FSA" w:eastAsia="FSA" w:cs="FSA"/>
      <w:color w:val="000000"/>
      <w:sz w:val="32"/>
      <w:szCs w:val="32"/>
    </w:rPr>
  </w:style>
  <w:style w:type="character" w:customStyle="1" w:styleId="110">
    <w:name w:val="不明显强调1"/>
    <w:qFormat/>
    <w:uiPriority w:val="19"/>
    <w:rPr>
      <w:i/>
      <w:iCs/>
      <w:color w:val="404040"/>
    </w:rPr>
  </w:style>
  <w:style w:type="character" w:customStyle="1" w:styleId="111">
    <w:name w:val="fontstyle21"/>
    <w:qFormat/>
    <w:uiPriority w:val="0"/>
    <w:rPr>
      <w:rFonts w:ascii="仿宋_GB2312" w:hAnsi="仿宋_GB2312" w:eastAsia="仿宋_GB2312" w:cs="仿宋_GB2312"/>
      <w:color w:val="000000"/>
      <w:sz w:val="32"/>
      <w:szCs w:val="32"/>
    </w:rPr>
  </w:style>
  <w:style w:type="character" w:customStyle="1" w:styleId="112">
    <w:name w:val="标题2 字符"/>
    <w:link w:val="113"/>
    <w:qFormat/>
    <w:uiPriority w:val="0"/>
    <w:rPr>
      <w:rFonts w:ascii="楷体_GB2312" w:hAnsi="Calibri" w:eastAsia="楷体_GB2312"/>
      <w:bCs/>
      <w:kern w:val="2"/>
      <w:sz w:val="32"/>
      <w:szCs w:val="24"/>
    </w:rPr>
  </w:style>
  <w:style w:type="paragraph" w:customStyle="1" w:styleId="113">
    <w:name w:val="标题2"/>
    <w:basedOn w:val="88"/>
    <w:link w:val="112"/>
    <w:qFormat/>
    <w:uiPriority w:val="0"/>
    <w:rPr>
      <w:rFonts w:ascii="楷体_GB2312" w:eastAsia="楷体_GB2312"/>
      <w:bCs/>
    </w:rPr>
  </w:style>
  <w:style w:type="character" w:customStyle="1" w:styleId="114">
    <w:name w:val="NormalCharacter"/>
    <w:semiHidden/>
    <w:qFormat/>
    <w:uiPriority w:val="0"/>
    <w:rPr>
      <w:rFonts w:ascii="Calibri" w:hAnsi="Calibri" w:eastAsia="宋体" w:cs="Times New Roman"/>
      <w:color w:val="000000"/>
      <w:kern w:val="2"/>
      <w:sz w:val="32"/>
      <w:szCs w:val="32"/>
      <w:lang w:val="en-US" w:eastAsia="zh-CN" w:bidi="ar-SA"/>
    </w:rPr>
  </w:style>
  <w:style w:type="character" w:customStyle="1" w:styleId="115">
    <w:name w:val="fontstyle01"/>
    <w:qFormat/>
    <w:uiPriority w:val="0"/>
    <w:rPr>
      <w:rFonts w:hint="eastAsia" w:ascii="仿宋_GB2312" w:eastAsia="仿宋_GB2312"/>
      <w:color w:val="000000"/>
      <w:sz w:val="24"/>
      <w:szCs w:val="24"/>
    </w:rPr>
  </w:style>
  <w:style w:type="paragraph" w:customStyle="1" w:styleId="116">
    <w:name w:val="修订1"/>
    <w:unhideWhenUsed/>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117">
    <w:name w:val="方正小标宋_GBK"/>
    <w:basedOn w:val="1"/>
    <w:qFormat/>
    <w:uiPriority w:val="0"/>
    <w:rPr>
      <w:rFonts w:hint="eastAsia" w:ascii="方正小标宋_GBK”" w:hAnsi="方正小标宋_GBK”" w:eastAsia="方正小标宋_GBK”" w:cs="方正小标宋_GBK”"/>
    </w:rPr>
  </w:style>
  <w:style w:type="paragraph" w:customStyle="1" w:styleId="118">
    <w:name w:val="方正小标宋简体"/>
    <w:basedOn w:val="1"/>
    <w:qFormat/>
    <w:uiPriority w:val="0"/>
    <w:rPr>
      <w:rFonts w:hint="eastAsia" w:ascii="方正小标宋简体" w:hAnsi="方正小标宋简体" w:eastAsia="方正小标宋简体" w:cs="方正小标宋简体"/>
    </w:rPr>
  </w:style>
  <w:style w:type="paragraph" w:customStyle="1" w:styleId="119">
    <w:name w:val="_Style 1"/>
    <w:basedOn w:val="1"/>
    <w:next w:val="1"/>
    <w:qFormat/>
    <w:uiPriority w:val="99"/>
    <w:pPr>
      <w:ind w:firstLine="420"/>
    </w:pPr>
  </w:style>
  <w:style w:type="paragraph" w:customStyle="1" w:styleId="120">
    <w:name w:val="仿宋_GB2312"/>
    <w:basedOn w:val="1"/>
    <w:qFormat/>
    <w:uiPriority w:val="0"/>
    <w:rPr>
      <w:rFonts w:hint="eastAsia" w:hAnsi="仿宋_GB2312" w:cs="仿宋_GB2312"/>
    </w:rPr>
  </w:style>
  <w:style w:type="paragraph" w:customStyle="1" w:styleId="121">
    <w:name w:val="正文文本首行缩进 21"/>
    <w:basedOn w:val="122"/>
    <w:qFormat/>
    <w:uiPriority w:val="0"/>
    <w:pPr>
      <w:ind w:firstLine="420"/>
    </w:pPr>
  </w:style>
  <w:style w:type="paragraph" w:customStyle="1" w:styleId="122">
    <w:name w:val="正文文本缩进1"/>
    <w:basedOn w:val="1"/>
    <w:qFormat/>
    <w:uiPriority w:val="0"/>
    <w:pPr>
      <w:spacing w:after="120"/>
      <w:ind w:left="420" w:leftChars="200"/>
    </w:pPr>
  </w:style>
  <w:style w:type="paragraph" w:customStyle="1" w:styleId="123">
    <w:name w:val="黑体"/>
    <w:basedOn w:val="1"/>
    <w:qFormat/>
    <w:uiPriority w:val="0"/>
    <w:rPr>
      <w:rFonts w:hint="eastAsia" w:ascii="黑体" w:hAnsi="黑体" w:eastAsia="黑体" w:cs="黑体"/>
    </w:rPr>
  </w:style>
  <w:style w:type="paragraph" w:styleId="124">
    <w:name w:val="List Paragraph"/>
    <w:basedOn w:val="1"/>
    <w:qFormat/>
    <w:uiPriority w:val="34"/>
    <w:pPr>
      <w:ind w:firstLine="420"/>
    </w:pPr>
    <w:rPr>
      <w:rFonts w:ascii="Calibri" w:eastAsia="宋体"/>
    </w:rPr>
  </w:style>
  <w:style w:type="paragraph" w:customStyle="1" w:styleId="125">
    <w:name w:val="_Style 2"/>
    <w:basedOn w:val="1"/>
    <w:qFormat/>
    <w:uiPriority w:val="34"/>
    <w:pPr>
      <w:ind w:firstLine="420"/>
    </w:pPr>
  </w:style>
  <w:style w:type="paragraph" w:customStyle="1" w:styleId="126">
    <w:name w:val="楷体_GB2312"/>
    <w:basedOn w:val="1"/>
    <w:qFormat/>
    <w:uiPriority w:val="0"/>
    <w:rPr>
      <w:rFonts w:hint="eastAsia" w:ascii="楷体_GB2312" w:hAnsi="楷体_GB2312" w:eastAsia="楷体_GB2312" w:cs="楷体_GB2312"/>
    </w:rPr>
  </w:style>
  <w:style w:type="paragraph" w:customStyle="1" w:styleId="127">
    <w:name w:val="71e7dc79-1ff7-45e8-997d-0ebda3762b91"/>
    <w:basedOn w:val="5"/>
    <w:next w:val="128"/>
    <w:link w:val="129"/>
    <w:qFormat/>
    <w:uiPriority w:val="0"/>
    <w:pPr>
      <w:adjustRightInd w:val="0"/>
      <w:spacing w:line="288" w:lineRule="auto"/>
      <w:ind w:firstLine="0"/>
      <w:jc w:val="left"/>
    </w:pPr>
    <w:rPr>
      <w:rFonts w:ascii="微软雅黑" w:hAnsi="微软雅黑" w:eastAsia="微软雅黑" w:cs="方正小标宋简体"/>
      <w:b/>
      <w:color w:val="000000"/>
      <w:sz w:val="28"/>
      <w:szCs w:val="48"/>
    </w:rPr>
  </w:style>
  <w:style w:type="paragraph" w:customStyle="1" w:styleId="128">
    <w:name w:val="acbfdd8b-e11b-4d36-88ff-6049b138f862"/>
    <w:basedOn w:val="1"/>
    <w:link w:val="130"/>
    <w:qFormat/>
    <w:uiPriority w:val="0"/>
    <w:pPr>
      <w:adjustRightInd w:val="0"/>
      <w:spacing w:line="288" w:lineRule="auto"/>
      <w:ind w:firstLine="0"/>
      <w:jc w:val="left"/>
    </w:pPr>
    <w:rPr>
      <w:rFonts w:ascii="微软雅黑" w:hAnsi="微软雅黑" w:eastAsia="微软雅黑" w:cs="方正小标宋简体"/>
      <w:color w:val="000000"/>
      <w:sz w:val="22"/>
      <w:szCs w:val="48"/>
    </w:rPr>
  </w:style>
  <w:style w:type="character" w:customStyle="1" w:styleId="129">
    <w:name w:val="71e7dc79-1ff7-45e8-997d-0ebda3762b91 字符"/>
    <w:link w:val="127"/>
    <w:qFormat/>
    <w:uiPriority w:val="0"/>
    <w:rPr>
      <w:rFonts w:ascii="微软雅黑" w:hAnsi="微软雅黑" w:eastAsia="微软雅黑" w:cs="方正小标宋简体"/>
      <w:b/>
      <w:bCs/>
      <w:color w:val="000000"/>
      <w:kern w:val="2"/>
      <w:sz w:val="28"/>
      <w:szCs w:val="48"/>
    </w:rPr>
  </w:style>
  <w:style w:type="character" w:customStyle="1" w:styleId="130">
    <w:name w:val="acbfdd8b-e11b-4d36-88ff-6049b138f862 字符"/>
    <w:link w:val="128"/>
    <w:qFormat/>
    <w:uiPriority w:val="0"/>
    <w:rPr>
      <w:rFonts w:ascii="微软雅黑" w:hAnsi="微软雅黑" w:eastAsia="微软雅黑" w:cs="方正小标宋简体"/>
      <w:color w:val="000000"/>
      <w:kern w:val="2"/>
      <w:sz w:val="22"/>
      <w:szCs w:val="48"/>
    </w:rPr>
  </w:style>
  <w:style w:type="character" w:customStyle="1" w:styleId="131">
    <w:name w:val="批注文字 字符"/>
    <w:basedOn w:val="91"/>
    <w:link w:val="29"/>
    <w:qFormat/>
    <w:uiPriority w:val="0"/>
    <w:rPr>
      <w:rFonts w:ascii="仿宋_GB2312" w:hAnsi="Calibri" w:eastAsia="仿宋_GB2312"/>
      <w:kern w:val="2"/>
      <w:sz w:val="32"/>
      <w:szCs w:val="24"/>
    </w:rPr>
  </w:style>
  <w:style w:type="character" w:customStyle="1" w:styleId="132">
    <w:name w:val="批注主题 字符"/>
    <w:basedOn w:val="131"/>
    <w:link w:val="86"/>
    <w:qFormat/>
    <w:uiPriority w:val="0"/>
    <w:rPr>
      <w:rFonts w:ascii="仿宋_GB2312" w:hAnsi="Calibri" w:eastAsia="仿宋_GB2312"/>
      <w:b/>
      <w:bCs/>
      <w:kern w:val="2"/>
      <w:sz w:val="32"/>
      <w:szCs w:val="24"/>
    </w:rPr>
  </w:style>
  <w:style w:type="character" w:customStyle="1" w:styleId="133">
    <w:name w:val="正文文本 字符"/>
    <w:basedOn w:val="91"/>
    <w:link w:val="35"/>
    <w:qFormat/>
    <w:uiPriority w:val="0"/>
    <w:rPr>
      <w:kern w:val="2"/>
      <w:sz w:val="32"/>
      <w:szCs w:val="24"/>
    </w:rPr>
  </w:style>
  <w:style w:type="character" w:customStyle="1" w:styleId="134">
    <w:name w:val="未处理的提及1"/>
    <w:basedOn w:val="91"/>
    <w:semiHidden/>
    <w:unhideWhenUsed/>
    <w:qFormat/>
    <w:uiPriority w:val="99"/>
    <w:rPr>
      <w:color w:val="605E5C"/>
      <w:shd w:val="clear" w:color="auto" w:fill="E1DFDD"/>
    </w:rPr>
  </w:style>
  <w:style w:type="paragraph" w:customStyle="1" w:styleId="135">
    <w:name w:val="修订2"/>
    <w:hidden/>
    <w:unhideWhenUsed/>
    <w:qFormat/>
    <w:uiPriority w:val="99"/>
    <w:rPr>
      <w:rFonts w:ascii="仿宋_GB2312" w:hAnsi="Calibri" w:eastAsia="仿宋_GB2312" w:cs="Times New Roman"/>
      <w:kern w:val="2"/>
      <w:sz w:val="32"/>
      <w:szCs w:val="24"/>
      <w:lang w:val="en-US" w:eastAsia="zh-CN" w:bidi="ar-SA"/>
    </w:rPr>
  </w:style>
  <w:style w:type="paragraph" w:customStyle="1" w:styleId="136">
    <w:name w:val="修订3"/>
    <w:hidden/>
    <w:unhideWhenUsed/>
    <w:qFormat/>
    <w:uiPriority w:val="99"/>
    <w:rPr>
      <w:rFonts w:ascii="仿宋_GB2312" w:hAnsi="Calibri" w:eastAsia="仿宋_GB2312" w:cs="Times New Roman"/>
      <w:kern w:val="2"/>
      <w:sz w:val="32"/>
      <w:szCs w:val="24"/>
      <w:lang w:val="en-US" w:eastAsia="zh-CN" w:bidi="ar-SA"/>
    </w:rPr>
  </w:style>
  <w:style w:type="paragraph" w:customStyle="1" w:styleId="137">
    <w:name w:val="样式1"/>
    <w:basedOn w:val="1"/>
    <w:qFormat/>
    <w:uiPriority w:val="0"/>
    <w:pPr>
      <w:spacing w:line="600" w:lineRule="exact"/>
      <w:ind w:firstLine="643"/>
    </w:pPr>
    <w:rPr>
      <w:szCs w:val="32"/>
    </w:rPr>
  </w:style>
  <w:style w:type="paragraph" w:customStyle="1" w:styleId="138">
    <w:name w:val="修订4"/>
    <w:hidden/>
    <w:unhideWhenUsed/>
    <w:qFormat/>
    <w:uiPriority w:val="99"/>
    <w:rPr>
      <w:rFonts w:ascii="仿宋_GB2312" w:hAnsi="Calibri" w:eastAsia="仿宋_GB2312" w:cs="Times New Roman"/>
      <w:kern w:val="2"/>
      <w:sz w:val="32"/>
      <w:szCs w:val="24"/>
      <w:lang w:val="en-US" w:eastAsia="zh-CN" w:bidi="ar-SA"/>
    </w:rPr>
  </w:style>
  <w:style w:type="paragraph" w:customStyle="1" w:styleId="139">
    <w:name w:val="修订5"/>
    <w:hidden/>
    <w:unhideWhenUsed/>
    <w:qFormat/>
    <w:uiPriority w:val="99"/>
    <w:rPr>
      <w:rFonts w:ascii="仿宋_GB2312" w:hAnsi="Calibri" w:eastAsia="仿宋_GB2312" w:cs="Times New Roman"/>
      <w:kern w:val="2"/>
      <w:sz w:val="32"/>
      <w:szCs w:val="24"/>
      <w:lang w:val="en-US" w:eastAsia="zh-CN" w:bidi="ar-SA"/>
    </w:rPr>
  </w:style>
  <w:style w:type="paragraph" w:customStyle="1" w:styleId="140">
    <w:name w:val="修订6"/>
    <w:hidden/>
    <w:unhideWhenUsed/>
    <w:qFormat/>
    <w:uiPriority w:val="99"/>
    <w:rPr>
      <w:rFonts w:ascii="仿宋_GB2312" w:hAnsi="Calibri" w:eastAsia="仿宋_GB2312" w:cs="Times New Roman"/>
      <w:kern w:val="2"/>
      <w:sz w:val="32"/>
      <w:szCs w:val="24"/>
      <w:lang w:val="en-US" w:eastAsia="zh-CN" w:bidi="ar-SA"/>
    </w:rPr>
  </w:style>
  <w:style w:type="character" w:customStyle="1" w:styleId="141">
    <w:name w:val="HTML 预设格式 字符"/>
    <w:basedOn w:val="91"/>
    <w:link w:val="82"/>
    <w:qFormat/>
    <w:uiPriority w:val="0"/>
    <w:rPr>
      <w:rFonts w:ascii="宋体" w:hAnsi="宋体"/>
      <w:sz w:val="24"/>
      <w:szCs w:val="24"/>
    </w:rPr>
  </w:style>
  <w:style w:type="paragraph" w:customStyle="1" w:styleId="142">
    <w:name w:val="Default"/>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143">
    <w:name w:val="修订7"/>
    <w:hidden/>
    <w:unhideWhenUsed/>
    <w:qFormat/>
    <w:uiPriority w:val="99"/>
    <w:rPr>
      <w:rFonts w:ascii="仿宋_GB2312" w:hAnsi="Calibri" w:eastAsia="仿宋_GB2312" w:cs="Times New Roman"/>
      <w:kern w:val="2"/>
      <w:sz w:val="32"/>
      <w:szCs w:val="24"/>
      <w:lang w:val="en-US" w:eastAsia="zh-CN" w:bidi="ar-SA"/>
    </w:rPr>
  </w:style>
  <w:style w:type="paragraph" w:customStyle="1" w:styleId="144">
    <w:name w:val="修订8"/>
    <w:hidden/>
    <w:unhideWhenUsed/>
    <w:qFormat/>
    <w:uiPriority w:val="99"/>
    <w:rPr>
      <w:rFonts w:ascii="仿宋_GB2312" w:hAnsi="Calibri" w:eastAsia="仿宋_GB2312" w:cs="Times New Roman"/>
      <w:kern w:val="2"/>
      <w:sz w:val="32"/>
      <w:szCs w:val="24"/>
      <w:lang w:val="en-US" w:eastAsia="zh-CN" w:bidi="ar-SA"/>
    </w:rPr>
  </w:style>
  <w:style w:type="paragraph" w:customStyle="1" w:styleId="145">
    <w:name w:val="修订9"/>
    <w:hidden/>
    <w:unhideWhenUsed/>
    <w:qFormat/>
    <w:uiPriority w:val="99"/>
    <w:rPr>
      <w:rFonts w:ascii="仿宋_GB2312" w:hAnsi="Calibri" w:eastAsia="仿宋_GB2312" w:cs="Times New Roman"/>
      <w:kern w:val="2"/>
      <w:sz w:val="32"/>
      <w:szCs w:val="24"/>
      <w:lang w:val="en-US" w:eastAsia="zh-CN" w:bidi="ar-SA"/>
    </w:rPr>
  </w:style>
  <w:style w:type="paragraph" w:customStyle="1" w:styleId="146">
    <w:name w:val="修订10"/>
    <w:hidden/>
    <w:unhideWhenUsed/>
    <w:qFormat/>
    <w:uiPriority w:val="99"/>
    <w:rPr>
      <w:rFonts w:ascii="仿宋_GB2312" w:hAnsi="Calibri" w:eastAsia="仿宋_GB2312" w:cs="Times New Roman"/>
      <w:kern w:val="2"/>
      <w:sz w:val="32"/>
      <w:szCs w:val="24"/>
      <w:lang w:val="en-US" w:eastAsia="zh-CN" w:bidi="ar-SA"/>
    </w:rPr>
  </w:style>
  <w:style w:type="character" w:customStyle="1" w:styleId="147">
    <w:name w:val="标题 2 字符1"/>
    <w:qFormat/>
    <w:uiPriority w:val="0"/>
    <w:rPr>
      <w:rFonts w:ascii="楷体_GB2312" w:hAnsi="楷体_GB2312" w:eastAsia="楷体_GB2312"/>
      <w:b/>
      <w:sz w:val="32"/>
    </w:rPr>
  </w:style>
  <w:style w:type="paragraph" w:customStyle="1" w:styleId="148">
    <w:name w:val="修订11"/>
    <w:hidden/>
    <w:unhideWhenUsed/>
    <w:qFormat/>
    <w:uiPriority w:val="99"/>
    <w:rPr>
      <w:rFonts w:ascii="仿宋_GB2312" w:hAnsi="Calibri" w:eastAsia="仿宋_GB2312" w:cs="Times New Roman"/>
      <w:kern w:val="2"/>
      <w:sz w:val="32"/>
      <w:szCs w:val="24"/>
      <w:lang w:val="en-US" w:eastAsia="zh-CN" w:bidi="ar-SA"/>
    </w:rPr>
  </w:style>
  <w:style w:type="paragraph" w:customStyle="1" w:styleId="149">
    <w:name w:val="修订12"/>
    <w:hidden/>
    <w:unhideWhenUsed/>
    <w:qFormat/>
    <w:uiPriority w:val="99"/>
    <w:rPr>
      <w:rFonts w:ascii="仿宋_GB2312" w:hAnsi="Calibri" w:eastAsia="仿宋_GB2312" w:cs="Times New Roman"/>
      <w:kern w:val="2"/>
      <w:sz w:val="32"/>
      <w:szCs w:val="24"/>
      <w:lang w:val="en-US" w:eastAsia="zh-CN" w:bidi="ar-SA"/>
    </w:rPr>
  </w:style>
  <w:style w:type="character" w:customStyle="1" w:styleId="150">
    <w:name w:val="标题 2 字符2"/>
    <w:link w:val="5"/>
    <w:qFormat/>
    <w:uiPriority w:val="0"/>
    <w:rPr>
      <w:rFonts w:ascii="楷体_GB2312" w:hAnsi="楷体_GB2312" w:eastAsia="楷体_GB2312"/>
      <w:b/>
      <w:sz w:val="32"/>
    </w:rPr>
  </w:style>
  <w:style w:type="paragraph" w:customStyle="1" w:styleId="151">
    <w:name w:val="修订13"/>
    <w:hidden/>
    <w:unhideWhenUsed/>
    <w:qFormat/>
    <w:uiPriority w:val="99"/>
    <w:rPr>
      <w:rFonts w:ascii="仿宋_GB2312" w:hAnsi="Calibri" w:eastAsia="仿宋_GB2312" w:cs="Times New Roman"/>
      <w:kern w:val="2"/>
      <w:sz w:val="32"/>
      <w:szCs w:val="24"/>
      <w:lang w:val="en-US" w:eastAsia="zh-CN" w:bidi="ar-SA"/>
    </w:rPr>
  </w:style>
  <w:style w:type="paragraph" w:customStyle="1" w:styleId="152">
    <w:name w:val="修订14"/>
    <w:hidden/>
    <w:unhideWhenUsed/>
    <w:qFormat/>
    <w:uiPriority w:val="99"/>
    <w:rPr>
      <w:rFonts w:ascii="仿宋_GB2312" w:hAnsi="Calibri" w:eastAsia="仿宋_GB2312" w:cs="Times New Roman"/>
      <w:kern w:val="2"/>
      <w:sz w:val="32"/>
      <w:szCs w:val="24"/>
      <w:lang w:val="en-US" w:eastAsia="zh-CN" w:bidi="ar-SA"/>
    </w:rPr>
  </w:style>
  <w:style w:type="table" w:customStyle="1" w:styleId="153">
    <w:name w:val="网格型1"/>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4">
    <w:name w:val="HTML 地址 字符"/>
    <w:basedOn w:val="91"/>
    <w:link w:val="43"/>
    <w:qFormat/>
    <w:uiPriority w:val="0"/>
    <w:rPr>
      <w:rFonts w:ascii="仿宋_GB2312" w:hAnsi="Calibri" w:eastAsia="仿宋_GB2312"/>
      <w:i/>
      <w:iCs/>
      <w:kern w:val="2"/>
      <w:sz w:val="32"/>
      <w:szCs w:val="24"/>
    </w:rPr>
  </w:style>
  <w:style w:type="paragraph" w:customStyle="1" w:styleId="155">
    <w:name w:val="TOC 标题1"/>
    <w:basedOn w:val="3"/>
    <w:next w:val="1"/>
    <w:semiHidden/>
    <w:unhideWhenUsed/>
    <w:qFormat/>
    <w:uiPriority w:val="39"/>
    <w:pPr>
      <w:spacing w:before="340" w:after="330" w:line="578" w:lineRule="atLeast"/>
      <w:outlineLvl w:val="9"/>
    </w:pPr>
    <w:rPr>
      <w:rFonts w:ascii="仿宋_GB2312" w:eastAsia="仿宋_GB2312"/>
      <w:b/>
      <w:sz w:val="44"/>
    </w:rPr>
  </w:style>
  <w:style w:type="character" w:customStyle="1" w:styleId="156">
    <w:name w:val="标题 5 字符"/>
    <w:basedOn w:val="91"/>
    <w:link w:val="8"/>
    <w:semiHidden/>
    <w:qFormat/>
    <w:uiPriority w:val="0"/>
    <w:rPr>
      <w:rFonts w:ascii="仿宋_GB2312" w:hAnsi="Calibri" w:eastAsia="仿宋_GB2312"/>
      <w:b/>
      <w:bCs/>
      <w:kern w:val="2"/>
      <w:sz w:val="28"/>
      <w:szCs w:val="28"/>
    </w:rPr>
  </w:style>
  <w:style w:type="character" w:customStyle="1" w:styleId="157">
    <w:name w:val="标题 6 字符"/>
    <w:basedOn w:val="91"/>
    <w:link w:val="9"/>
    <w:semiHidden/>
    <w:qFormat/>
    <w:uiPriority w:val="0"/>
    <w:rPr>
      <w:rFonts w:asciiTheme="majorHAnsi" w:hAnsiTheme="majorHAnsi" w:eastAsiaTheme="majorEastAsia" w:cstheme="majorBidi"/>
      <w:b/>
      <w:bCs/>
      <w:kern w:val="2"/>
      <w:sz w:val="24"/>
      <w:szCs w:val="24"/>
    </w:rPr>
  </w:style>
  <w:style w:type="character" w:customStyle="1" w:styleId="158">
    <w:name w:val="标题 7 字符"/>
    <w:basedOn w:val="91"/>
    <w:link w:val="10"/>
    <w:semiHidden/>
    <w:qFormat/>
    <w:uiPriority w:val="0"/>
    <w:rPr>
      <w:rFonts w:ascii="仿宋_GB2312" w:hAnsi="Calibri" w:eastAsia="仿宋_GB2312"/>
      <w:b/>
      <w:bCs/>
      <w:kern w:val="2"/>
      <w:sz w:val="24"/>
      <w:szCs w:val="24"/>
    </w:rPr>
  </w:style>
  <w:style w:type="character" w:customStyle="1" w:styleId="159">
    <w:name w:val="标题 8 字符"/>
    <w:basedOn w:val="91"/>
    <w:link w:val="11"/>
    <w:semiHidden/>
    <w:qFormat/>
    <w:uiPriority w:val="0"/>
    <w:rPr>
      <w:rFonts w:asciiTheme="majorHAnsi" w:hAnsiTheme="majorHAnsi" w:eastAsiaTheme="majorEastAsia" w:cstheme="majorBidi"/>
      <w:kern w:val="2"/>
      <w:sz w:val="24"/>
      <w:szCs w:val="24"/>
    </w:rPr>
  </w:style>
  <w:style w:type="character" w:customStyle="1" w:styleId="160">
    <w:name w:val="标题 9 字符"/>
    <w:basedOn w:val="91"/>
    <w:link w:val="12"/>
    <w:semiHidden/>
    <w:qFormat/>
    <w:uiPriority w:val="0"/>
    <w:rPr>
      <w:rFonts w:asciiTheme="majorHAnsi" w:hAnsiTheme="majorHAnsi" w:eastAsiaTheme="majorEastAsia" w:cstheme="majorBidi"/>
      <w:kern w:val="2"/>
      <w:sz w:val="21"/>
      <w:szCs w:val="21"/>
    </w:rPr>
  </w:style>
  <w:style w:type="character" w:customStyle="1" w:styleId="161">
    <w:name w:val="称呼 字符"/>
    <w:basedOn w:val="91"/>
    <w:link w:val="31"/>
    <w:qFormat/>
    <w:uiPriority w:val="0"/>
    <w:rPr>
      <w:rFonts w:ascii="仿宋_GB2312" w:hAnsi="Calibri" w:eastAsia="仿宋_GB2312"/>
      <w:kern w:val="2"/>
      <w:sz w:val="32"/>
      <w:szCs w:val="24"/>
    </w:rPr>
  </w:style>
  <w:style w:type="character" w:customStyle="1" w:styleId="162">
    <w:name w:val="电子邮件签名 字符"/>
    <w:basedOn w:val="91"/>
    <w:link w:val="20"/>
    <w:qFormat/>
    <w:uiPriority w:val="0"/>
    <w:rPr>
      <w:rFonts w:ascii="仿宋_GB2312" w:hAnsi="Calibri" w:eastAsia="仿宋_GB2312"/>
      <w:kern w:val="2"/>
      <w:sz w:val="32"/>
      <w:szCs w:val="24"/>
    </w:rPr>
  </w:style>
  <w:style w:type="character" w:customStyle="1" w:styleId="163">
    <w:name w:val="副标题 字符"/>
    <w:basedOn w:val="91"/>
    <w:link w:val="66"/>
    <w:qFormat/>
    <w:uiPriority w:val="0"/>
    <w:rPr>
      <w:rFonts w:asciiTheme="minorHAnsi" w:hAnsiTheme="minorHAnsi" w:eastAsiaTheme="minorEastAsia" w:cstheme="minorBidi"/>
      <w:b/>
      <w:bCs/>
      <w:kern w:val="28"/>
      <w:sz w:val="32"/>
      <w:szCs w:val="32"/>
    </w:rPr>
  </w:style>
  <w:style w:type="character" w:customStyle="1" w:styleId="164">
    <w:name w:val="宏文本 字符"/>
    <w:basedOn w:val="91"/>
    <w:link w:val="2"/>
    <w:qFormat/>
    <w:uiPriority w:val="0"/>
    <w:rPr>
      <w:rFonts w:ascii="Courier New" w:hAnsi="Courier New" w:cs="Courier New"/>
      <w:kern w:val="2"/>
      <w:sz w:val="24"/>
      <w:szCs w:val="24"/>
    </w:rPr>
  </w:style>
  <w:style w:type="character" w:customStyle="1" w:styleId="165">
    <w:name w:val="脚注文本 字符"/>
    <w:basedOn w:val="91"/>
    <w:link w:val="69"/>
    <w:qFormat/>
    <w:uiPriority w:val="0"/>
    <w:rPr>
      <w:rFonts w:ascii="仿宋_GB2312" w:hAnsi="Calibri" w:eastAsia="仿宋_GB2312"/>
      <w:kern w:val="2"/>
      <w:sz w:val="18"/>
      <w:szCs w:val="18"/>
    </w:rPr>
  </w:style>
  <w:style w:type="character" w:customStyle="1" w:styleId="166">
    <w:name w:val="结束语 字符"/>
    <w:basedOn w:val="91"/>
    <w:link w:val="33"/>
    <w:qFormat/>
    <w:uiPriority w:val="0"/>
    <w:rPr>
      <w:rFonts w:ascii="仿宋_GB2312" w:hAnsi="Calibri" w:eastAsia="仿宋_GB2312"/>
      <w:kern w:val="2"/>
      <w:sz w:val="32"/>
      <w:szCs w:val="24"/>
    </w:rPr>
  </w:style>
  <w:style w:type="paragraph" w:styleId="167">
    <w:name w:val="Intense Quote"/>
    <w:basedOn w:val="1"/>
    <w:next w:val="1"/>
    <w:link w:val="168"/>
    <w:semiHidden/>
    <w:unhideWhenUsed/>
    <w:qFormat/>
    <w:uiPriority w:val="99"/>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68">
    <w:name w:val="明显引用 字符"/>
    <w:basedOn w:val="91"/>
    <w:link w:val="167"/>
    <w:semiHidden/>
    <w:qFormat/>
    <w:uiPriority w:val="99"/>
    <w:rPr>
      <w:rFonts w:ascii="仿宋_GB2312" w:hAnsi="Calibri" w:eastAsia="仿宋_GB2312"/>
      <w:i/>
      <w:iCs/>
      <w:color w:val="4472C4" w:themeColor="accent1"/>
      <w:kern w:val="2"/>
      <w:sz w:val="32"/>
      <w:szCs w:val="24"/>
      <w14:textFill>
        <w14:solidFill>
          <w14:schemeClr w14:val="accent1"/>
        </w14:solidFill>
      </w14:textFill>
    </w:rPr>
  </w:style>
  <w:style w:type="character" w:customStyle="1" w:styleId="169">
    <w:name w:val="批注框文本 字符"/>
    <w:basedOn w:val="91"/>
    <w:link w:val="56"/>
    <w:qFormat/>
    <w:uiPriority w:val="0"/>
    <w:rPr>
      <w:rFonts w:ascii="仿宋_GB2312" w:hAnsi="Calibri" w:eastAsia="仿宋_GB2312"/>
      <w:kern w:val="2"/>
      <w:sz w:val="18"/>
      <w:szCs w:val="18"/>
    </w:rPr>
  </w:style>
  <w:style w:type="character" w:customStyle="1" w:styleId="170">
    <w:name w:val="签名 字符"/>
    <w:basedOn w:val="91"/>
    <w:link w:val="60"/>
    <w:qFormat/>
    <w:uiPriority w:val="0"/>
    <w:rPr>
      <w:rFonts w:ascii="仿宋_GB2312" w:hAnsi="Calibri" w:eastAsia="仿宋_GB2312"/>
      <w:kern w:val="2"/>
      <w:sz w:val="32"/>
      <w:szCs w:val="24"/>
    </w:rPr>
  </w:style>
  <w:style w:type="paragraph" w:customStyle="1" w:styleId="171">
    <w:name w:val="书目1"/>
    <w:basedOn w:val="1"/>
    <w:next w:val="1"/>
    <w:semiHidden/>
    <w:unhideWhenUsed/>
    <w:qFormat/>
    <w:uiPriority w:val="37"/>
  </w:style>
  <w:style w:type="character" w:customStyle="1" w:styleId="172">
    <w:name w:val="尾注文本 字符"/>
    <w:basedOn w:val="91"/>
    <w:link w:val="54"/>
    <w:qFormat/>
    <w:uiPriority w:val="0"/>
    <w:rPr>
      <w:rFonts w:ascii="仿宋_GB2312" w:hAnsi="Calibri" w:eastAsia="仿宋_GB2312"/>
      <w:kern w:val="2"/>
      <w:sz w:val="32"/>
      <w:szCs w:val="24"/>
    </w:rPr>
  </w:style>
  <w:style w:type="character" w:customStyle="1" w:styleId="173">
    <w:name w:val="文档结构图 字符"/>
    <w:basedOn w:val="91"/>
    <w:link w:val="27"/>
    <w:qFormat/>
    <w:uiPriority w:val="0"/>
    <w:rPr>
      <w:rFonts w:ascii="Microsoft YaHei UI" w:hAnsi="Calibri" w:eastAsia="Microsoft YaHei UI"/>
      <w:kern w:val="2"/>
      <w:sz w:val="18"/>
      <w:szCs w:val="18"/>
    </w:rPr>
  </w:style>
  <w:style w:type="paragraph" w:styleId="174">
    <w:name w:val="No Spacing"/>
    <w:semiHidden/>
    <w:unhideWhenUsed/>
    <w:qFormat/>
    <w:uiPriority w:val="99"/>
    <w:pPr>
      <w:widowControl w:val="0"/>
      <w:ind w:firstLine="200" w:firstLineChars="200"/>
      <w:jc w:val="both"/>
    </w:pPr>
    <w:rPr>
      <w:rFonts w:ascii="仿宋_GB2312" w:hAnsi="Calibri" w:eastAsia="仿宋_GB2312" w:cs="Times New Roman"/>
      <w:kern w:val="2"/>
      <w:sz w:val="32"/>
      <w:szCs w:val="24"/>
      <w:lang w:val="en-US" w:eastAsia="zh-CN" w:bidi="ar-SA"/>
    </w:rPr>
  </w:style>
  <w:style w:type="character" w:customStyle="1" w:styleId="175">
    <w:name w:val="信息标题 字符"/>
    <w:basedOn w:val="91"/>
    <w:link w:val="81"/>
    <w:qFormat/>
    <w:uiPriority w:val="0"/>
    <w:rPr>
      <w:rFonts w:asciiTheme="majorHAnsi" w:hAnsiTheme="majorHAnsi" w:eastAsiaTheme="majorEastAsia" w:cstheme="majorBidi"/>
      <w:kern w:val="2"/>
      <w:sz w:val="24"/>
      <w:szCs w:val="24"/>
      <w:shd w:val="pct20" w:color="auto" w:fill="auto"/>
    </w:rPr>
  </w:style>
  <w:style w:type="paragraph" w:styleId="176">
    <w:name w:val="Quote"/>
    <w:basedOn w:val="1"/>
    <w:next w:val="1"/>
    <w:link w:val="177"/>
    <w:semiHidden/>
    <w:unhideWhenUsed/>
    <w:qFormat/>
    <w:uiPriority w:val="99"/>
    <w:pPr>
      <w:spacing w:before="20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77">
    <w:name w:val="引用 字符"/>
    <w:basedOn w:val="91"/>
    <w:link w:val="176"/>
    <w:semiHidden/>
    <w:qFormat/>
    <w:uiPriority w:val="99"/>
    <w:rPr>
      <w:rFonts w:ascii="仿宋_GB2312" w:hAnsi="Calibri" w:eastAsia="仿宋_GB2312"/>
      <w:i/>
      <w:iCs/>
      <w:color w:val="404040" w:themeColor="text1" w:themeTint="BF"/>
      <w:kern w:val="2"/>
      <w:sz w:val="32"/>
      <w:szCs w:val="24"/>
      <w14:textFill>
        <w14:solidFill>
          <w14:schemeClr w14:val="tx1">
            <w14:lumMod w14:val="75000"/>
            <w14:lumOff w14:val="25000"/>
          </w14:schemeClr>
        </w14:solidFill>
      </w14:textFill>
    </w:rPr>
  </w:style>
  <w:style w:type="character" w:customStyle="1" w:styleId="178">
    <w:name w:val="正文文本 2 字符"/>
    <w:basedOn w:val="91"/>
    <w:link w:val="78"/>
    <w:qFormat/>
    <w:uiPriority w:val="0"/>
    <w:rPr>
      <w:rFonts w:ascii="仿宋_GB2312" w:hAnsi="Calibri" w:eastAsia="仿宋_GB2312"/>
      <w:kern w:val="2"/>
      <w:sz w:val="32"/>
      <w:szCs w:val="24"/>
    </w:rPr>
  </w:style>
  <w:style w:type="character" w:customStyle="1" w:styleId="179">
    <w:name w:val="正文文本 3 字符"/>
    <w:basedOn w:val="91"/>
    <w:link w:val="32"/>
    <w:qFormat/>
    <w:uiPriority w:val="0"/>
    <w:rPr>
      <w:rFonts w:ascii="仿宋_GB2312" w:hAnsi="Calibri" w:eastAsia="仿宋_GB2312"/>
      <w:kern w:val="2"/>
      <w:sz w:val="16"/>
      <w:szCs w:val="16"/>
    </w:rPr>
  </w:style>
  <w:style w:type="character" w:customStyle="1" w:styleId="180">
    <w:name w:val="正文文本缩进 3 字符"/>
    <w:basedOn w:val="91"/>
    <w:link w:val="72"/>
    <w:qFormat/>
    <w:uiPriority w:val="0"/>
    <w:rPr>
      <w:rFonts w:ascii="仿宋_GB2312" w:hAnsi="Calibri" w:eastAsia="仿宋_GB2312"/>
      <w:kern w:val="2"/>
      <w:sz w:val="16"/>
      <w:szCs w:val="16"/>
    </w:rPr>
  </w:style>
  <w:style w:type="character" w:customStyle="1" w:styleId="181">
    <w:name w:val="注释标题 字符"/>
    <w:basedOn w:val="91"/>
    <w:link w:val="17"/>
    <w:qFormat/>
    <w:uiPriority w:val="0"/>
    <w:rPr>
      <w:rFonts w:ascii="仿宋_GB2312" w:hAnsi="Calibri" w:eastAsia="仿宋_GB2312"/>
      <w:kern w:val="2"/>
      <w:sz w:val="32"/>
      <w:szCs w:val="24"/>
    </w:rPr>
  </w:style>
  <w:style w:type="paragraph" w:customStyle="1" w:styleId="182">
    <w:name w:val="修订15"/>
    <w:hidden/>
    <w:unhideWhenUsed/>
    <w:qFormat/>
    <w:uiPriority w:val="99"/>
    <w:rPr>
      <w:rFonts w:ascii="仿宋_GB2312" w:hAnsi="Calibri" w:eastAsia="仿宋_GB2312" w:cs="Times New Roman"/>
      <w:kern w:val="2"/>
      <w:sz w:val="32"/>
      <w:szCs w:val="24"/>
      <w:lang w:val="en-US" w:eastAsia="zh-CN" w:bidi="ar-SA"/>
    </w:rPr>
  </w:style>
  <w:style w:type="paragraph" w:customStyle="1" w:styleId="183">
    <w:name w:val="修订16"/>
    <w:hidden/>
    <w:unhideWhenUsed/>
    <w:qFormat/>
    <w:uiPriority w:val="99"/>
    <w:rPr>
      <w:rFonts w:ascii="仿宋_GB2312" w:hAnsi="Calibri" w:eastAsia="仿宋_GB2312" w:cs="Times New Roman"/>
      <w:kern w:val="2"/>
      <w:sz w:val="32"/>
      <w:szCs w:val="24"/>
      <w:lang w:val="en-US" w:eastAsia="zh-CN" w:bidi="ar-SA"/>
    </w:rPr>
  </w:style>
  <w:style w:type="paragraph" w:customStyle="1" w:styleId="184">
    <w:name w:val="修订17"/>
    <w:hidden/>
    <w:unhideWhenUsed/>
    <w:qFormat/>
    <w:uiPriority w:val="99"/>
    <w:rPr>
      <w:rFonts w:ascii="仿宋_GB2312" w:hAnsi="Calibri" w:eastAsia="仿宋_GB2312" w:cs="Times New Roman"/>
      <w:kern w:val="2"/>
      <w:sz w:val="32"/>
      <w:szCs w:val="24"/>
      <w:lang w:val="en-US" w:eastAsia="zh-CN" w:bidi="ar-SA"/>
    </w:rPr>
  </w:style>
  <w:style w:type="paragraph" w:customStyle="1" w:styleId="185">
    <w:name w:val="修订18"/>
    <w:hidden/>
    <w:unhideWhenUsed/>
    <w:qFormat/>
    <w:uiPriority w:val="99"/>
    <w:rPr>
      <w:rFonts w:ascii="仿宋_GB2312" w:hAnsi="Calibri" w:eastAsia="仿宋_GB2312" w:cs="Times New Roman"/>
      <w:kern w:val="2"/>
      <w:sz w:val="32"/>
      <w:szCs w:val="24"/>
      <w:lang w:val="en-US" w:eastAsia="zh-CN" w:bidi="ar-SA"/>
    </w:rPr>
  </w:style>
  <w:style w:type="paragraph" w:customStyle="1" w:styleId="186">
    <w:name w:val="Revision"/>
    <w:hidden/>
    <w:unhideWhenUsed/>
    <w:qFormat/>
    <w:uiPriority w:val="99"/>
    <w:rPr>
      <w:rFonts w:ascii="仿宋_GB2312"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Version="6" StyleName="APA"/>
</file>

<file path=customXml/item3.xml><?xml version="1.0" encoding="utf-8"?>
<contractReview xmlns="http://schemas.wps.cn/vas-ai-hub/contract-review">
  <reviewItems xmlns="http://schemas.wps.cn/vas-ai-hub/contract-review">
    <reviewItem xmlns="http://schemas.wps.cn/vas-ai-hub/contract-review">
      <errorID xmlns="http://schemas.wps.cn/vas-ai-hub/contract-review">ce411d2e-e29f-4232-8bab-41c53837c6e4</errorID>
      <errorWord xmlns="http://schemas.wps.cn/vas-ai-hub/contract-review">重要战略窗口期</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重要战略机遇期</item>
      </candidateList>
      <explain xmlns="http://schemas.wps.cn/vas-ai-hub/contract-review">词汇“重要战略机遇期”在特定场景下为固定表述形式，请确认此处的“重要战略窗口期”是否存在不当。</explain>
      <paraID xmlns="http://schemas.wps.cn/vas-ai-hub/contract-review"> 4361324</paraID>
      <start xmlns="http://schemas.wps.cn/vas-ai-hub/contract-review">78</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954a6564-c038-48bf-96e0-97bad27055a8</errorID>
      <errorWord xmlns="http://schemas.wps.cn/vas-ai-hub/contract-review">期间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其间</item>
      </candidateList>
      <explain xmlns="http://schemas.wps.cn/vas-ai-hub/contract-review">〈名〉方位词。❶那中间；其中：厕身～｜～定有缘故。❷指某一段时间：离开学校已经好几年了，这～，他在科学研究上取得了显著成绩。</explain>
      <paraID xmlns="http://schemas.wps.cn/vas-ai-hub/contract-review"> 5AA1451</paraID>
      <start xmlns="http://schemas.wps.cn/vas-ai-hub/contract-review">63</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ad43882c-d95a-443b-9410-31a9ec6bfbfa</errorID>
      <errorWord xmlns="http://schemas.wps.cn/vas-ai-hub/contract-review">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深圳</item>
      </candidateList>
      <explain xmlns="http://schemas.wps.cn/vas-ai-hub/contract-review"/>
      <paraID xmlns="http://schemas.wps.cn/vas-ai-hub/contract-review">484CAF6E</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0a4bafcf-f3c1-4436-a639-53064647e106</errorID>
      <errorWord xmlns="http://schemas.wps.cn/vas-ai-hub/contract-review">10大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十大</item>
      </candidateList>
      <explain xmlns="http://schemas.wps.cn/vas-ai-hub/contract-review"/>
      <paraID xmlns="http://schemas.wps.cn/vas-ai-hub/contract-review">42077486</paraID>
      <start xmlns="http://schemas.wps.cn/vas-ai-hub/contract-review">92</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501ac631-68b0-4c66-80a4-aa6b0859799a</errorID>
      <errorWord xmlns="http://schemas.wps.cn/vas-ai-hub/contract-review">亟需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亟须</item>
      </candidateList>
      <explain xmlns="http://schemas.wps.cn/vas-ai-hub/contract-review"/>
      <paraID xmlns="http://schemas.wps.cn/vas-ai-hub/contract-review">37840CEA</paraID>
      <start xmlns="http://schemas.wps.cn/vas-ai-hub/contract-review">163</start>
      <end xmlns="http://schemas.wps.cn/vas-ai-hub/contract-review">165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7cd13bc3-a8ce-44b7-b9bc-d15e379ae7d2</errorID>
      <errorWord xmlns="http://schemas.wps.cn/vas-ai-hub/contract-review">亟需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亟须</item>
      </candidateList>
      <explain xmlns="http://schemas.wps.cn/vas-ai-hub/contract-review"/>
      <paraID xmlns="http://schemas.wps.cn/vas-ai-hub/contract-review">5FF05070</paraID>
      <start xmlns="http://schemas.wps.cn/vas-ai-hub/contract-review">15</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94e0bd8d-d42c-4ebe-b511-d02f7b7dc14b</errorID>
      <errorWord xmlns="http://schemas.wps.cn/vas-ai-hub/contract-review">亟需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亟须</item>
      </candidateList>
      <explain xmlns="http://schemas.wps.cn/vas-ai-hub/contract-review"/>
      <paraID xmlns="http://schemas.wps.cn/vas-ai-hub/contract-review">5FF05070</paraID>
      <start xmlns="http://schemas.wps.cn/vas-ai-hub/contract-review">298</start>
      <end xmlns="http://schemas.wps.cn/vas-ai-hub/contract-review">300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024c22bc-5628-4ced-8406-b4c9e2b617de</errorID>
      <errorWord xmlns="http://schemas.wps.cn/vas-ai-hub/contract-review">公共卫生大体系</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公共卫生体系</item>
      </candidateList>
      <explain xmlns="http://schemas.wps.cn/vas-ai-hub/contract-review">词汇“公共卫生体系”在特定场景下为固定表述形式，请确认此处的“公共卫生大体系”是否存在不当。</explain>
      <paraID xmlns="http://schemas.wps.cn/vas-ai-hub/contract-review">49E65442</paraID>
      <start xmlns="http://schemas.wps.cn/vas-ai-hub/contract-review">0</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9aa5d9f6-7ff9-4a8c-9811-8b5231080d20</errorID>
      <errorWord xmlns="http://schemas.wps.cn/vas-ai-hub/contract-review">亟需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亟须</item>
      </candidateList>
      <explain xmlns="http://schemas.wps.cn/vas-ai-hub/contract-review"/>
      <paraID xmlns="http://schemas.wps.cn/vas-ai-hub/contract-review">49E65442</paraID>
      <start xmlns="http://schemas.wps.cn/vas-ai-hub/contract-review">220</start>
      <end xmlns="http://schemas.wps.cn/vas-ai-hub/contract-review">222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9654370f-8f15-4319-8722-bf92589395ad</errorID>
      <errorWord xmlns="http://schemas.wps.cn/vas-ai-hub/contract-review">医药卫生领域改革</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医药卫生体制改革</item>
      </candidateList>
      <explain xmlns="http://schemas.wps.cn/vas-ai-hub/contract-review">词汇“医药卫生体制改革”在特定场景下为固定表述形式，请确认此处的“医药卫生领域改革”是否存在不当。</explain>
      <paraID xmlns="http://schemas.wps.cn/vas-ai-hub/contract-review">51184965</paraID>
      <start xmlns="http://schemas.wps.cn/vas-ai-hub/contract-review">16</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78cb2941-d30f-416f-9aa0-a7f86d5e46b7</errorID>
      <errorWord xmlns="http://schemas.wps.cn/vas-ai-hub/contract-review">电子病例</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电子病历</item>
      </candidateList>
      <explain xmlns="http://schemas.wps.cn/vas-ai-hub/contract-review"/>
      <paraID xmlns="http://schemas.wps.cn/vas-ai-hub/contract-review">1968C947</paraID>
      <start xmlns="http://schemas.wps.cn/vas-ai-hub/contract-review">42</start>
      <end xmlns="http://schemas.wps.cn/vas-ai-hub/contract-review">50</end>
      <status xmlns="http://schemas.wps.cn/vas-ai-hub/contract-review">modified</status>
      <modifiedWord xmlns="http://schemas.wps.cn/vas-ai-hub/contract-review">电子病历</modifiedWord>
      <trackRevisions xmlns="http://schemas.wps.cn/vas-ai-hub/contract-review">true</trackRevisions>
    </reviewItem>
    <reviewItem xmlns="http://schemas.wps.cn/vas-ai-hub/contract-review">
      <errorID xmlns="http://schemas.wps.cn/vas-ai-hub/contract-review">ac0c5092-0972-4e82-8967-709589577b00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6F7CD17</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5f117619-9df9-4056-b513-a1dc27cb2b9a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6F7CD17</paraID>
      <start xmlns="http://schemas.wps.cn/vas-ai-hub/contract-review">76</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af66270b-5829-4477-81b7-2488d9b5233a</errorID>
      <errorWord xmlns="http://schemas.wps.cn/vas-ai-hub/contract-review">医保支付改革</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医保支付方式改革</item>
      </candidateList>
      <explain xmlns="http://schemas.wps.cn/vas-ai-hub/contract-review"/>
      <paraID xmlns="http://schemas.wps.cn/vas-ai-hub/contract-review">6B83AFFD</paraID>
      <start xmlns="http://schemas.wps.cn/vas-ai-hub/contract-review">22</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177a82f0-57c9-4075-a44a-564ebe036274</errorID>
      <errorWord xmlns="http://schemas.wps.cn/vas-ai-hub/contract-review">医疗卫生强基工程</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医疗卫生“强基工程”</item>
      </candidateList>
      <explain xmlns="http://schemas.wps.cn/vas-ai-hub/contract-review">注意检查当前固定表述标点是否使用规范。</explain>
      <paraID xmlns="http://schemas.wps.cn/vas-ai-hub/contract-review">74F7BEFB</paraID>
      <start xmlns="http://schemas.wps.cn/vas-ai-hub/contract-review">4</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77819ab1-ec53-4e94-907e-648168b54972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5491471D</paraID>
      <start xmlns="http://schemas.wps.cn/vas-ai-hub/contract-review">168</start>
      <end xmlns="http://schemas.wps.cn/vas-ai-hub/contract-review">169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c9db7b0b-6c1d-4525-a028-9434e681ed56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653903A5</paraID>
      <start xmlns="http://schemas.wps.cn/vas-ai-hub/contract-review">220</start>
      <end xmlns="http://schemas.wps.cn/vas-ai-hub/contract-review">221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a0b7e258-5d84-45a4-b0ba-78420791b8a9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F6E9F9C</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3ee90e5a-cee9-432d-8145-7d898b6edb7e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F6E9F9C</paraID>
      <start xmlns="http://schemas.wps.cn/vas-ai-hub/contract-review">113</start>
      <end xmlns="http://schemas.wps.cn/vas-ai-hub/contract-review">114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04a5cab4-cfeb-4916-90d7-95f51aa1db87</errorID>
      <errorWord xmlns="http://schemas.wps.cn/vas-ai-hub/contract-review">”“一次挂号管三天</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“一次挂号管三天”</item>
      </candidateList>
      <explain xmlns="http://schemas.wps.cn/vas-ai-hub/contract-review">词汇““一次挂号管三天””在特定场景下为固定表述形式，请确认此处的“”“一次挂号管三天”是否存在不当。</explain>
      <paraID xmlns="http://schemas.wps.cn/vas-ai-hub/contract-review">44C40CE1</paraID>
      <start xmlns="http://schemas.wps.cn/vas-ai-hub/contract-review">45</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d0126d08-4d71-4e86-bf61-3a65d89837d6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20C58BF9</paraID>
      <start xmlns="http://schemas.wps.cn/vas-ai-hub/contract-review">107</start>
      <end xmlns="http://schemas.wps.cn/vas-ai-hub/contract-review">108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cb9b21c2-8549-4d87-b01b-955783431131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20C58BF9</paraID>
      <start xmlns="http://schemas.wps.cn/vas-ai-hub/contract-review">110</start>
      <end xmlns="http://schemas.wps.cn/vas-ai-hub/contract-review">111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9e7a5077-7d3a-4d30-8f22-30f565a8503d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24163FEF</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cbdaa901-cd99-4745-bff9-c74eca2f0a9d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100BDE7</paraID>
      <start xmlns="http://schemas.wps.cn/vas-ai-hub/contract-review">268</start>
      <end xmlns="http://schemas.wps.cn/vas-ai-hub/contract-review">269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41254f26-22a9-46b4-9885-89a231cf6d27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100BDE7</paraID>
      <start xmlns="http://schemas.wps.cn/vas-ai-hub/contract-review">271</start>
      <end xmlns="http://schemas.wps.cn/vas-ai-hub/contract-review">272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6fbcb9cb-b842-4f71-bc5f-8c8d7072cf89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44EB37AB</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7d2c8f73-18b9-4b60-b76a-6cc9fe598c02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44EB37AB</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3d3676b9-6aa3-427f-8f0b-6444a4e7e459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44EB37AB</paraID>
      <start xmlns="http://schemas.wps.cn/vas-ai-hub/contract-review">61</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b1f28808-b509-422b-bf9d-c9c3d1125d1f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F9F618A</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f88b564e-fe01-4470-8e90-6d7b62f0c683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F9F618A</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fb082389-b9bf-4421-af81-752da042443b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F9F618A</paraID>
      <start xmlns="http://schemas.wps.cn/vas-ai-hub/contract-review">31</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095986e2-184e-4afa-954c-bb38726080c1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706D97F0</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fd61ad28-3e08-428b-a53d-32a51abf24e6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706D97F0</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268139c6-94cc-4f7c-b0b0-e83bfccb3d2c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7F2AFD75</paraID>
      <start xmlns="http://schemas.wps.cn/vas-ai-hub/contract-review">131</start>
      <end xmlns="http://schemas.wps.cn/vas-ai-hub/contract-review">132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7a6711c9-0078-4f62-bcb0-b7cfcb233e59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7F2AFD75</paraID>
      <start xmlns="http://schemas.wps.cn/vas-ai-hub/contract-review">134</start>
      <end xmlns="http://schemas.wps.cn/vas-ai-hub/contract-review">135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a90f8519-8b11-4516-b36e-f1489aaec41a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7F2AFD75</paraID>
      <start xmlns="http://schemas.wps.cn/vas-ai-hub/contract-review">137</start>
      <end xmlns="http://schemas.wps.cn/vas-ai-hub/contract-review">138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c68a5693-696e-417b-aa53-f6778ffc4793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7F2AFD75</paraID>
      <start xmlns="http://schemas.wps.cn/vas-ai-hub/contract-review">248</start>
      <end xmlns="http://schemas.wps.cn/vas-ai-hub/contract-review">249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58465bbc-f0f2-43e7-92a1-873a76d6f519</errorID>
      <errorWord xmlns="http://schemas.wps.cn/vas-ai-hub/contract-review">慢病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慢性病</item>
      </candidateList>
      <explain xmlns="http://schemas.wps.cn/vas-ai-hub/contract-review"/>
      <paraID xmlns="http://schemas.wps.cn/vas-ai-hub/contract-review">2B388122</paraID>
      <start xmlns="http://schemas.wps.cn/vas-ai-hub/contract-review">5</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47e242fa-2ae0-45d0-ac18-fa9aee246cec</errorID>
      <errorWord xmlns="http://schemas.wps.cn/vas-ai-hub/contract-review">慢病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慢性病</item>
      </candidateList>
      <explain xmlns="http://schemas.wps.cn/vas-ai-hub/contract-review"/>
      <paraID xmlns="http://schemas.wps.cn/vas-ai-hub/contract-review">7CCC82C0</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2e934608-1c52-4925-805b-d8f8524a6e1c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7CCC82C0</paraID>
      <start xmlns="http://schemas.wps.cn/vas-ai-hub/contract-review">77</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59d74e98-869c-40e8-b3b6-7fe854ab45c1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7CCC82C0</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23aa370b-b393-4a00-b29a-9de3f65f37ca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21EBD39E</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b59c3378-77b5-4e4b-9f8e-fe96edcb8448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2E3B6C1E</paraID>
      <start xmlns="http://schemas.wps.cn/vas-ai-hub/contract-review">108</start>
      <end xmlns="http://schemas.wps.cn/vas-ai-hub/contract-review">109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e3c02872-6023-461f-b7db-30976a964dad</errorID>
      <errorWord xmlns="http://schemas.wps.cn/vas-ai-hub/contract-review">提高</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增强</item>
      </candidateList>
      <explain xmlns="http://schemas.wps.cn/vas-ai-hub/contract-review">“提高～意识”搭配不当，建议修改为“增强～意识”。</explain>
      <paraID xmlns="http://schemas.wps.cn/vas-ai-hub/contract-review">4E1FC625</paraID>
      <start xmlns="http://schemas.wps.cn/vas-ai-hub/contract-review">90</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cc920517-916e-4d7a-bbd7-546cf390a041</errorID>
      <errorWord xmlns="http://schemas.wps.cn/vas-ai-hub/contract-review">慢病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慢性病</item>
      </candidateList>
      <explain xmlns="http://schemas.wps.cn/vas-ai-hub/contract-review"/>
      <paraID xmlns="http://schemas.wps.cn/vas-ai-hub/contract-review">3BC64C6C</paraID>
      <start xmlns="http://schemas.wps.cn/vas-ai-hub/contract-review">107</start>
      <end xmlns="http://schemas.wps.cn/vas-ai-hub/contract-review">109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7db66f32-8f55-4685-a257-de5e889c7f55</errorID>
      <errorWord xmlns="http://schemas.wps.cn/vas-ai-hub/contract-review">后备人才的培养</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后备人才培养</item>
      </candidateList>
      <explain xmlns="http://schemas.wps.cn/vas-ai-hub/contract-review">词汇“后备人才培养”在特定场景下为固定表述形式，请确认此处的“后备人才的培养”是否存在不当。</explain>
      <paraID xmlns="http://schemas.wps.cn/vas-ai-hub/contract-review">416E9B1C</paraID>
      <start xmlns="http://schemas.wps.cn/vas-ai-hub/contract-review">13</start>
      <end xmlns="http://schemas.wps.cn/vas-ai-hub/contract-review">26</end>
      <status xmlns="http://schemas.wps.cn/vas-ai-hub/contract-review">modified</status>
      <modifiedWord xmlns="http://schemas.wps.cn/vas-ai-hub/contract-review">后备人才培养</modifiedWord>
      <trackRevisions xmlns="http://schemas.wps.cn/vas-ai-hub/contract-review">true</trackRevisions>
    </reviewItem>
    <reviewItem xmlns="http://schemas.wps.cn/vas-ai-hub/contract-review">
      <errorID xmlns="http://schemas.wps.cn/vas-ai-hub/contract-review">f46cd9ae-9d1a-45ac-a3c8-6199e42bfe5b</errorID>
      <errorWord xmlns="http://schemas.wps.cn/vas-ai-hub/contract-review">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大对</item>
      </candidateList>
      <explain xmlns="http://schemas.wps.cn/vas-ai-hub/contract-review"/>
      <paraID xmlns="http://schemas.wps.cn/vas-ai-hub/contract-review">416E9B1C</paraID>
      <start xmlns="http://schemas.wps.cn/vas-ai-hub/contract-review">31</start>
      <end xmlns="http://schemas.wps.cn/vas-ai-hub/contract-review">34</end>
      <status xmlns="http://schemas.wps.cn/vas-ai-hub/contract-review">modified</status>
      <modifiedWord xmlns="http://schemas.wps.cn/vas-ai-hub/contract-review">大对</modifiedWord>
      <trackRevisions xmlns="http://schemas.wps.cn/vas-ai-hub/contract-review">true</trackRevisions>
    </reviewItem>
    <reviewItem xmlns="http://schemas.wps.cn/vas-ai-hub/contract-review">
      <errorID xmlns="http://schemas.wps.cn/vas-ai-hub/contract-review">4bf0e09f-4d4d-4107-95fa-b7f24be6079f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416E9B1C</paraID>
      <start xmlns="http://schemas.wps.cn/vas-ai-hub/contract-review">87</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54a79fa2-09cb-444a-acc2-e3f5f764aa47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416E9B1C</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1a4460d9-620b-465c-9f75-b84f1919613d</errorID>
      <errorWord xmlns="http://schemas.wps.cn/vas-ai-hub/contract-review">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即</item>
      </candidateList>
      <explain xmlns="http://schemas.wps.cn/vas-ai-hub/contract-review">存在发音相同字词的误用。</explain>
      <paraID xmlns="http://schemas.wps.cn/vas-ai-hub/contract-review">17E433AB</paraID>
      <start xmlns="http://schemas.wps.cn/vas-ai-hub/contract-review">103</start>
      <end xmlns="http://schemas.wps.cn/vas-ai-hub/contract-review">104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ff2066e7-4e91-4959-90b4-ed047cbbbe85</errorID>
      <errorWord xmlns="http://schemas.wps.cn/vas-ai-hub/contract-review">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好地</item>
      </candidateList>
      <explain xmlns="http://schemas.wps.cn/vas-ai-hub/contract-review"/>
      <paraID xmlns="http://schemas.wps.cn/vas-ai-hub/contract-review">794D1BA1</paraID>
      <start xmlns="http://schemas.wps.cn/vas-ai-hub/contract-review">88</start>
      <end xmlns="http://schemas.wps.cn/vas-ai-hub/contract-review">89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bbfbbb13-b5a6-4b92-8a55-456cfffb2f34</errorID>
      <errorWord xmlns="http://schemas.wps.cn/vas-ai-hub/contract-review">针对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xmlns="http://schemas.wps.cn/vas-ai-hub/contract-review">48F73565</paraID>
      <start xmlns="http://schemas.wps.cn/vas-ai-hub/contract-review">2</start>
      <end xmlns="http://schemas.wps.cn/vas-ai-hub/contract-review">5</end>
      <status xmlns="http://schemas.wps.cn/vas-ai-hub/contract-review">modified</status>
      <modifiedWord xmlns="http://schemas.wps.cn/vas-ai-hub/contract-review">对</modifiedWord>
      <trackRevisions xmlns="http://schemas.wps.cn/vas-ai-hub/contract-review">true</trackRevisions>
    </reviewItem>
    <reviewItem xmlns="http://schemas.wps.cn/vas-ai-hub/contract-review">
      <errorID xmlns="http://schemas.wps.cn/vas-ai-hub/contract-review">0b8898f6-3bb5-453b-8b65-dcac2e416b21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1D780690</paraID>
      <start xmlns="http://schemas.wps.cn/vas-ai-hub/contract-review">62</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c14a17af-8db4-48e7-8216-ab77b2f9bed1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1D780690</paraID>
      <start xmlns="http://schemas.wps.cn/vas-ai-hub/contract-review">88</start>
      <end xmlns="http://schemas.wps.cn/vas-ai-hub/contract-review">89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d3b9c994-043b-4e30-9603-74d059ed05ce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20A08646</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d64f3e19-157d-4f30-8fdb-8ffb1a7b4e04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23EAF23D</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38cc3e65-51fb-4fe0-a34e-65f77598f465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75BC72F</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ae658bae-1b5d-4794-a6bc-9c628c2f9d30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78ABE264</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c67512bb-3684-46d3-80d3-12a5136c7c01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78ABE264</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21569-B652-4FB3-AB47-EAA258BCD9B2}">
  <ds:schemaRefs/>
</ds:datastoreItem>
</file>

<file path=customXml/itemProps3.xml><?xml version="1.0" encoding="utf-8"?>
<ds:datastoreItem xmlns:ds="http://schemas.openxmlformats.org/officeDocument/2006/customXml" ds:itemID="{7D5BE93F-F2ED-4048-90E8-04B264D3035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59</Pages>
  <Words>20991</Words>
  <Characters>21412</Characters>
  <Lines>973</Lines>
  <Paragraphs>455</Paragraphs>
  <TotalTime>76</TotalTime>
  <ScaleCrop>false</ScaleCrop>
  <LinksUpToDate>false</LinksUpToDate>
  <CharactersWithSpaces>41948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2026-04-23T15:50:00Z</dcterms:created>
  <dc:creator>Administrator</dc:creator>
  <cp:lastModifiedBy>liujiandong</cp:lastModifiedBy>
  <cp:lastPrinted>2026-04-30T14:13:00Z</cp:lastPrinted>
  <dcterms:modified xsi:type="dcterms:W3CDTF">2026-06-04T14:47:56Z</dcterms:modified>
  <cp:revision>430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F5CBC79E3EDC4614B85AA022E1CDCD3A_13</vt:lpwstr>
  </property>
  <property fmtid="{D5CDD505-2E9C-101B-9397-08002B2CF9AE}" pid="4" name="KSOTemplateDocerSaveRecord">
    <vt:lpwstr>eyJoZGlkIjoiODViY2JkMjU3NGYzZTEwMzZmMGFkZWViYmNkYWU3NDIiLCJ1c2VySWQiOiI0MDg4NTMzNTMifQ==</vt:lpwstr>
  </property>
</Properties>
</file>