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仿宋_GB2312" w:eastAsia="仿宋_GB2312"/>
          <w:b/>
          <w:sz w:val="44"/>
          <w:szCs w:val="44"/>
        </w:rPr>
      </w:pPr>
      <w:r>
        <w:rPr>
          <w:rFonts w:hint="eastAsia" w:ascii="仿宋_GB2312" w:eastAsia="仿宋_GB2312"/>
          <w:b/>
          <w:sz w:val="44"/>
          <w:szCs w:val="44"/>
          <w:lang w:eastAsia="zh-CN"/>
        </w:rPr>
        <w:t>《</w:t>
      </w:r>
      <w:r>
        <w:rPr>
          <w:rFonts w:hint="eastAsia" w:ascii="仿宋_GB2312" w:eastAsia="仿宋_GB2312"/>
          <w:b/>
          <w:sz w:val="44"/>
          <w:szCs w:val="44"/>
        </w:rPr>
        <w:t>超大城市高密度区域创新治理模式提升综合治理效能的路径探索</w:t>
      </w:r>
      <w:r>
        <w:rPr>
          <w:rFonts w:hint="eastAsia" w:ascii="仿宋_GB2312" w:eastAsia="仿宋_GB2312"/>
          <w:b/>
          <w:sz w:val="44"/>
          <w:szCs w:val="44"/>
          <w:lang w:eastAsia="zh-CN"/>
        </w:rPr>
        <w:t>》</w:t>
      </w:r>
    </w:p>
    <w:p>
      <w:pPr>
        <w:jc w:val="center"/>
        <w:outlineLvl w:val="0"/>
        <w:rPr>
          <w:rFonts w:ascii="仿宋_GB2312" w:eastAsia="仿宋_GB2312"/>
          <w:b/>
          <w:sz w:val="44"/>
          <w:szCs w:val="44"/>
        </w:rPr>
      </w:pPr>
      <w:r>
        <w:rPr>
          <w:rFonts w:hint="eastAsia" w:ascii="仿宋_GB2312" w:eastAsia="仿宋_GB2312"/>
          <w:b/>
          <w:sz w:val="44"/>
          <w:szCs w:val="44"/>
        </w:rPr>
        <w:t>采购需求文件</w:t>
      </w:r>
    </w:p>
    <w:tbl>
      <w:tblPr>
        <w:tblStyle w:val="13"/>
        <w:tblW w:w="9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309"/>
        <w:gridCol w:w="4944"/>
        <w:gridCol w:w="1282"/>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8" w:type="dxa"/>
            <w:gridSpan w:val="2"/>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项目名称</w:t>
            </w:r>
          </w:p>
        </w:tc>
        <w:tc>
          <w:tcPr>
            <w:tcW w:w="4944" w:type="dxa"/>
            <w:shd w:val="clear" w:color="auto" w:fill="auto"/>
            <w:vAlign w:val="center"/>
          </w:tcPr>
          <w:p>
            <w:pPr>
              <w:rPr>
                <w:rFonts w:ascii="宋体" w:hAnsi="宋体" w:eastAsia="宋体"/>
                <w:sz w:val="20"/>
                <w:szCs w:val="20"/>
                <w:highlight w:val="none"/>
              </w:rPr>
            </w:pPr>
            <w:r>
              <w:rPr>
                <w:rFonts w:hint="eastAsia" w:ascii="宋体" w:hAnsi="宋体" w:eastAsia="宋体"/>
                <w:highlight w:val="none"/>
                <w:lang w:val="en-US" w:eastAsia="zh-CN"/>
              </w:rPr>
              <w:t>超大城市高密度区域创新治理模式提升综合治理效能的路径探</w:t>
            </w:r>
            <w:r>
              <w:rPr>
                <w:rFonts w:hint="eastAsia" w:ascii="宋体" w:hAnsi="宋体" w:eastAsia="宋体"/>
                <w:highlight w:val="none"/>
                <w:lang w:eastAsia="zh-CN"/>
              </w:rPr>
              <w:t>索</w:t>
            </w:r>
          </w:p>
        </w:tc>
        <w:tc>
          <w:tcPr>
            <w:tcW w:w="1282" w:type="dxa"/>
            <w:shd w:val="clear" w:color="auto" w:fill="auto"/>
            <w:vAlign w:val="center"/>
          </w:tcPr>
          <w:p>
            <w:pPr>
              <w:jc w:val="center"/>
              <w:rPr>
                <w:rFonts w:ascii="宋体" w:hAnsi="宋体" w:eastAsia="宋体"/>
                <w:szCs w:val="21"/>
                <w:highlight w:val="none"/>
              </w:rPr>
            </w:pPr>
            <w:r>
              <w:rPr>
                <w:rFonts w:ascii="宋体" w:hAnsi="宋体" w:eastAsia="宋体"/>
                <w:szCs w:val="21"/>
                <w:highlight w:val="none"/>
              </w:rPr>
              <w:t>采购类型</w:t>
            </w:r>
          </w:p>
        </w:tc>
        <w:tc>
          <w:tcPr>
            <w:tcW w:w="1593" w:type="dxa"/>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8" w:type="dxa"/>
            <w:gridSpan w:val="2"/>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采购人名称</w:t>
            </w:r>
          </w:p>
        </w:tc>
        <w:tc>
          <w:tcPr>
            <w:tcW w:w="4944" w:type="dxa"/>
            <w:shd w:val="clear" w:color="auto" w:fill="auto"/>
            <w:vAlign w:val="center"/>
          </w:tcPr>
          <w:p>
            <w:pPr>
              <w:rPr>
                <w:rFonts w:hint="default" w:ascii="宋体" w:hAnsi="宋体" w:eastAsia="宋体"/>
                <w:szCs w:val="21"/>
                <w:highlight w:val="none"/>
                <w:lang w:val="en-US" w:eastAsia="zh-CN"/>
              </w:rPr>
            </w:pPr>
            <w:r>
              <w:rPr>
                <w:rFonts w:hint="default" w:ascii="宋体" w:hAnsi="宋体" w:eastAsia="宋体"/>
                <w:szCs w:val="21"/>
                <w:highlight w:val="none"/>
                <w:lang w:val="en-US" w:eastAsia="zh-CN"/>
              </w:rPr>
              <w:t>深圳市龙华区人民政府办公室</w:t>
            </w:r>
          </w:p>
        </w:tc>
        <w:tc>
          <w:tcPr>
            <w:tcW w:w="1282" w:type="dxa"/>
            <w:shd w:val="clear" w:color="auto" w:fill="auto"/>
            <w:vAlign w:val="center"/>
          </w:tcPr>
          <w:p>
            <w:pPr>
              <w:jc w:val="center"/>
              <w:rPr>
                <w:rFonts w:ascii="宋体" w:hAnsi="宋体" w:eastAsia="宋体"/>
                <w:szCs w:val="21"/>
                <w:highlight w:val="none"/>
              </w:rPr>
            </w:pPr>
            <w:r>
              <w:rPr>
                <w:rFonts w:ascii="宋体" w:hAnsi="宋体" w:eastAsia="宋体"/>
                <w:szCs w:val="21"/>
                <w:highlight w:val="none"/>
              </w:rPr>
              <w:t>采购方式</w:t>
            </w:r>
          </w:p>
        </w:tc>
        <w:tc>
          <w:tcPr>
            <w:tcW w:w="1593" w:type="dxa"/>
            <w:shd w:val="clear" w:color="auto" w:fill="auto"/>
          </w:tcPr>
          <w:p>
            <w:pPr>
              <w:jc w:val="center"/>
              <w:rPr>
                <w:rFonts w:ascii="宋体" w:hAnsi="宋体" w:eastAsia="宋体"/>
                <w:szCs w:val="21"/>
                <w:highlight w:val="none"/>
              </w:rPr>
            </w:pPr>
            <w:r>
              <w:rPr>
                <w:rFonts w:hint="eastAsia" w:ascii="宋体" w:hAnsi="宋体" w:eastAsia="宋体"/>
                <w:szCs w:val="21"/>
                <w:highlight w:val="none"/>
              </w:rPr>
              <w:t>自行采购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8" w:type="dxa"/>
            <w:gridSpan w:val="2"/>
            <w:shd w:val="clear" w:color="auto" w:fill="auto"/>
          </w:tcPr>
          <w:p>
            <w:pPr>
              <w:rPr>
                <w:rFonts w:ascii="宋体" w:hAnsi="宋体" w:eastAsia="宋体"/>
                <w:szCs w:val="21"/>
                <w:highlight w:val="none"/>
              </w:rPr>
            </w:pPr>
            <w:r>
              <w:rPr>
                <w:rFonts w:hint="eastAsia" w:ascii="宋体" w:hAnsi="宋体" w:eastAsia="宋体"/>
                <w:szCs w:val="21"/>
                <w:highlight w:val="none"/>
              </w:rPr>
              <w:t>财政预算限额（元）</w:t>
            </w:r>
          </w:p>
        </w:tc>
        <w:tc>
          <w:tcPr>
            <w:tcW w:w="7819" w:type="dxa"/>
            <w:gridSpan w:val="3"/>
            <w:shd w:val="clear" w:color="auto" w:fill="auto"/>
          </w:tcPr>
          <w:p>
            <w:pPr>
              <w:rPr>
                <w:rFonts w:ascii="宋体" w:hAnsi="宋体" w:eastAsia="宋体"/>
                <w:szCs w:val="21"/>
                <w:highlight w:val="none"/>
              </w:rPr>
            </w:pPr>
            <w:r>
              <w:rPr>
                <w:rFonts w:hint="eastAsia" w:ascii="宋体" w:hAnsi="宋体" w:eastAsia="宋体"/>
                <w:szCs w:val="21"/>
                <w:highlight w:val="none"/>
                <w:lang w:val="en-US" w:eastAsia="zh-CN"/>
              </w:rPr>
              <w:t>¥480</w:t>
            </w:r>
            <w:r>
              <w:rPr>
                <w:rFonts w:hint="eastAsia" w:ascii="宋体" w:hAnsi="宋体" w:eastAsia="宋体"/>
                <w:szCs w:val="21"/>
                <w:highlight w:val="none"/>
              </w:rPr>
              <w:t>,000</w:t>
            </w:r>
            <w:r>
              <w:rPr>
                <w:rFonts w:hint="eastAsia" w:ascii="宋体" w:hAnsi="宋体" w:eastAsia="宋体"/>
                <w:szCs w:val="21"/>
                <w:highlight w:val="none"/>
                <w:lang w:val="en-US" w:eastAsia="zh-CN"/>
              </w:rPr>
              <w:t>.00</w:t>
            </w:r>
            <w:r>
              <w:rPr>
                <w:rFonts w:hint="eastAsia" w:ascii="宋体" w:hAnsi="宋体" w:eastAsia="宋体"/>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948" w:type="dxa"/>
            <w:gridSpan w:val="2"/>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项目背景</w:t>
            </w:r>
          </w:p>
        </w:tc>
        <w:tc>
          <w:tcPr>
            <w:tcW w:w="7819" w:type="dxa"/>
            <w:gridSpan w:val="3"/>
            <w:shd w:val="clear" w:color="auto" w:fill="auto"/>
          </w:tcPr>
          <w:p>
            <w:pPr>
              <w:spacing w:line="300" w:lineRule="auto"/>
              <w:ind w:firstLine="420" w:firstLineChars="200"/>
              <w:rPr>
                <w:rFonts w:hint="eastAsia" w:ascii="宋体" w:hAnsi="宋体" w:eastAsia="宋体"/>
                <w:highlight w:val="none"/>
                <w:lang w:val="en-US" w:eastAsia="zh-CN"/>
              </w:rPr>
            </w:pPr>
            <w:r>
              <w:rPr>
                <w:rFonts w:hint="eastAsia" w:ascii="宋体" w:hAnsi="宋体" w:eastAsia="宋体"/>
                <w:highlight w:val="none"/>
              </w:rPr>
              <w:t>“提升超大城市治理水平，促进外来人口更好融入城市”是深圳市落实省委“百千万工程”的一项重要要求，也是龙华区作为“两高一多”（</w:t>
            </w:r>
            <w:r>
              <w:rPr>
                <w:rFonts w:hint="eastAsia" w:ascii="宋体" w:hAnsi="宋体" w:eastAsia="宋体"/>
                <w:highlight w:val="none"/>
                <w:lang w:val="en-US" w:eastAsia="zh-CN"/>
              </w:rPr>
              <w:t>人口</w:t>
            </w:r>
            <w:r>
              <w:rPr>
                <w:rFonts w:hint="eastAsia" w:ascii="宋体" w:hAnsi="宋体" w:eastAsia="宋体"/>
                <w:highlight w:val="none"/>
              </w:rPr>
              <w:t>高密度、高流动、多元化）城区解决新型治理难题</w:t>
            </w:r>
            <w:r>
              <w:rPr>
                <w:rFonts w:hint="eastAsia" w:ascii="宋体" w:hAnsi="宋体" w:eastAsia="宋体"/>
                <w:highlight w:val="none"/>
                <w:lang w:val="en-US" w:eastAsia="zh-CN"/>
              </w:rPr>
              <w:t>的现实需要</w:t>
            </w:r>
            <w:r>
              <w:rPr>
                <w:rFonts w:hint="eastAsia" w:ascii="宋体" w:hAnsi="宋体" w:eastAsia="宋体"/>
                <w:highlight w:val="none"/>
              </w:rPr>
              <w:t>。近年来，龙华汽车站片区作为超大城市高密度典型区域</w:t>
            </w:r>
            <w:r>
              <w:rPr>
                <w:rFonts w:hint="eastAsia" w:ascii="宋体" w:hAnsi="宋体" w:eastAsia="宋体"/>
                <w:highlight w:val="none"/>
                <w:lang w:eastAsia="zh-CN"/>
              </w:rPr>
              <w:t>，</w:t>
            </w:r>
            <w:r>
              <w:rPr>
                <w:rFonts w:hint="eastAsia" w:ascii="宋体" w:hAnsi="宋体" w:eastAsia="宋体"/>
                <w:highlight w:val="none"/>
                <w:lang w:val="en-US" w:eastAsia="zh-CN"/>
              </w:rPr>
              <w:t>曾</w:t>
            </w:r>
            <w:r>
              <w:rPr>
                <w:rFonts w:hint="eastAsia" w:ascii="宋体" w:hAnsi="宋体" w:eastAsia="宋体"/>
                <w:highlight w:val="none"/>
                <w:lang w:eastAsia="zh-CN"/>
              </w:rPr>
              <w:t>因大量求职人员集聚逗留，衍生出</w:t>
            </w:r>
            <w:r>
              <w:rPr>
                <w:rFonts w:hint="eastAsia" w:ascii="宋体" w:hAnsi="宋体" w:eastAsia="宋体"/>
                <w:highlight w:val="none"/>
                <w:lang w:val="en-US" w:eastAsia="zh-CN"/>
              </w:rPr>
              <w:t>一系列治理难题，传统治理体系协同弱、抓手少，而滋生的颓废亚文化加剧了治理难度。片区虽经多轮整治，但问题根源仍存，且有问题外溢风险。</w:t>
            </w:r>
            <w:r>
              <w:rPr>
                <w:rFonts w:hint="eastAsia" w:ascii="宋体" w:hAnsi="宋体" w:eastAsia="宋体"/>
                <w:highlight w:val="none"/>
              </w:rPr>
              <w:t>在此背景下，</w:t>
            </w:r>
            <w:r>
              <w:rPr>
                <w:rFonts w:hint="eastAsia" w:ascii="宋体" w:hAnsi="宋体" w:eastAsia="宋体"/>
                <w:highlight w:val="none"/>
                <w:lang w:val="en-US" w:eastAsia="zh-CN"/>
              </w:rPr>
              <w:t>确有必要</w:t>
            </w:r>
            <w:bookmarkStart w:id="10" w:name="_GoBack"/>
            <w:bookmarkEnd w:id="10"/>
            <w:r>
              <w:rPr>
                <w:rFonts w:hint="eastAsia" w:ascii="宋体" w:hAnsi="宋体" w:eastAsia="宋体"/>
                <w:highlight w:val="none"/>
                <w:lang w:val="en-US" w:eastAsia="zh-CN"/>
              </w:rPr>
              <w:t>开展超大城市高密度区域创新治理模式提升综合治理效能的路径探索，在龙华汽车站片区开展实践探索，提出解决复杂问题的多维方案，以提升整体治理现代化水平。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39" w:type="dxa"/>
            <w:shd w:val="clear" w:color="auto" w:fill="auto"/>
            <w:vAlign w:val="center"/>
          </w:tcPr>
          <w:p>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投标人资质要求</w:t>
            </w:r>
          </w:p>
        </w:tc>
        <w:tc>
          <w:tcPr>
            <w:tcW w:w="9128" w:type="dxa"/>
            <w:gridSpan w:val="4"/>
            <w:shd w:val="clear" w:color="auto" w:fill="auto"/>
          </w:tcPr>
          <w:p>
            <w:pPr>
              <w:pStyle w:val="5"/>
              <w:keepNext w:val="0"/>
              <w:keepLines w:val="0"/>
              <w:pageBreakBefore w:val="0"/>
              <w:widowControl w:val="0"/>
              <w:kinsoku/>
              <w:wordWrap/>
              <w:overflowPunct/>
              <w:topLinePunct w:val="0"/>
              <w:autoSpaceDE/>
              <w:autoSpaceDN/>
              <w:bidi w:val="0"/>
              <w:adjustRightInd/>
              <w:snapToGrid/>
              <w:spacing w:line="300" w:lineRule="auto"/>
              <w:ind w:left="0" w:firstLine="0"/>
              <w:textAlignment w:val="auto"/>
              <w:rPr>
                <w:rFonts w:ascii="宋体" w:hAnsi="宋体" w:cs="宋体"/>
                <w:kern w:val="0"/>
                <w:szCs w:val="21"/>
                <w:highlight w:val="none"/>
              </w:rPr>
            </w:pPr>
            <w:r>
              <w:rPr>
                <w:rFonts w:hint="eastAsia" w:ascii="宋体" w:hAnsi="宋体" w:cs="宋体"/>
                <w:kern w:val="0"/>
                <w:szCs w:val="21"/>
                <w:highlight w:val="none"/>
              </w:rPr>
              <w:t>（1）在中国境内注册的独立法人或其他组织。</w:t>
            </w:r>
          </w:p>
          <w:p>
            <w:pPr>
              <w:pStyle w:val="5"/>
              <w:keepNext w:val="0"/>
              <w:keepLines w:val="0"/>
              <w:pageBreakBefore w:val="0"/>
              <w:widowControl w:val="0"/>
              <w:kinsoku/>
              <w:wordWrap/>
              <w:overflowPunct/>
              <w:topLinePunct w:val="0"/>
              <w:autoSpaceDE/>
              <w:autoSpaceDN/>
              <w:bidi w:val="0"/>
              <w:adjustRightInd/>
              <w:snapToGrid/>
              <w:spacing w:line="300" w:lineRule="auto"/>
              <w:ind w:left="0" w:firstLine="0"/>
              <w:textAlignment w:val="auto"/>
              <w:rPr>
                <w:rFonts w:ascii="宋体" w:hAnsi="宋体" w:cs="宋体"/>
                <w:kern w:val="0"/>
                <w:szCs w:val="21"/>
                <w:highlight w:val="none"/>
              </w:rPr>
            </w:pPr>
            <w:r>
              <w:rPr>
                <w:rFonts w:hint="eastAsia" w:ascii="宋体" w:hAnsi="宋体" w:cs="宋体"/>
                <w:kern w:val="0"/>
                <w:szCs w:val="21"/>
                <w:highlight w:val="none"/>
              </w:rPr>
              <w:t>（2）投标人必须是在深圳市政府采购中心注册的政府采购供应商。</w:t>
            </w:r>
          </w:p>
          <w:p>
            <w:pPr>
              <w:pStyle w:val="5"/>
              <w:keepNext w:val="0"/>
              <w:keepLines w:val="0"/>
              <w:pageBreakBefore w:val="0"/>
              <w:widowControl w:val="0"/>
              <w:kinsoku/>
              <w:wordWrap/>
              <w:overflowPunct/>
              <w:topLinePunct w:val="0"/>
              <w:autoSpaceDE/>
              <w:autoSpaceDN/>
              <w:bidi w:val="0"/>
              <w:adjustRightInd/>
              <w:snapToGrid/>
              <w:spacing w:line="300" w:lineRule="auto"/>
              <w:ind w:left="0" w:firstLine="0"/>
              <w:textAlignment w:val="auto"/>
              <w:rPr>
                <w:rFonts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3</w:t>
            </w:r>
            <w:r>
              <w:rPr>
                <w:rFonts w:hint="eastAsia" w:ascii="宋体" w:hAnsi="宋体" w:cs="宋体"/>
                <w:kern w:val="0"/>
                <w:szCs w:val="21"/>
                <w:highlight w:val="none"/>
              </w:rPr>
              <w:t>）最近三年来在政府采购及建设系统的招标投标活动中，因串通投标、严重违约或重大工程质量问题等不良行为而禁止在本市投标的投标申请人、涉嫌投标违规并正在接受主管部门调查的投标申请人以及因投标违规而被主管部门处罚并正处于处罚有效期内的投标申请人不被接受</w:t>
            </w:r>
            <w:r>
              <w:rPr>
                <w:rFonts w:hint="eastAsia" w:ascii="宋体" w:hAnsi="宋体" w:cstheme="minorBidi"/>
                <w:szCs w:val="21"/>
                <w:highlight w:val="none"/>
              </w:rPr>
              <w:t>。</w:t>
            </w:r>
          </w:p>
          <w:p>
            <w:pPr>
              <w:pStyle w:val="5"/>
              <w:keepNext w:val="0"/>
              <w:keepLines w:val="0"/>
              <w:pageBreakBefore w:val="0"/>
              <w:widowControl w:val="0"/>
              <w:kinsoku/>
              <w:wordWrap/>
              <w:overflowPunct/>
              <w:topLinePunct w:val="0"/>
              <w:autoSpaceDE/>
              <w:autoSpaceDN/>
              <w:bidi w:val="0"/>
              <w:adjustRightInd/>
              <w:snapToGrid/>
              <w:spacing w:line="300" w:lineRule="auto"/>
              <w:ind w:left="0" w:firstLine="0"/>
              <w:textAlignment w:val="auto"/>
              <w:rPr>
                <w:rFonts w:ascii="宋体" w:hAnsi="宋体" w:cs="宋体"/>
                <w:kern w:val="0"/>
                <w:szCs w:val="21"/>
                <w:highlight w:val="none"/>
              </w:rPr>
            </w:pPr>
            <w:r>
              <w:rPr>
                <w:rFonts w:hint="eastAsia" w:ascii="宋体" w:hAnsi="宋体" w:cstheme="minorBidi"/>
                <w:szCs w:val="21"/>
                <w:highlight w:val="none"/>
              </w:rPr>
              <w:t>（</w:t>
            </w:r>
            <w:r>
              <w:rPr>
                <w:rFonts w:hint="eastAsia" w:ascii="宋体" w:hAnsi="宋体" w:cstheme="minorBidi"/>
                <w:szCs w:val="21"/>
                <w:highlight w:val="none"/>
                <w:lang w:val="en-US" w:eastAsia="zh-CN"/>
              </w:rPr>
              <w:t>4</w:t>
            </w:r>
            <w:r>
              <w:rPr>
                <w:rFonts w:hint="eastAsia" w:ascii="宋体" w:hAnsi="宋体" w:cstheme="minorBidi"/>
                <w:szCs w:val="21"/>
                <w:highlight w:val="none"/>
              </w:rPr>
              <w:t>）投标文件中必须签署《政府采购投标及履约承诺函》。</w:t>
            </w:r>
          </w:p>
          <w:p>
            <w:pPr>
              <w:pStyle w:val="5"/>
              <w:keepNext w:val="0"/>
              <w:keepLines w:val="0"/>
              <w:pageBreakBefore w:val="0"/>
              <w:widowControl w:val="0"/>
              <w:kinsoku/>
              <w:wordWrap/>
              <w:overflowPunct/>
              <w:topLinePunct w:val="0"/>
              <w:autoSpaceDE/>
              <w:autoSpaceDN/>
              <w:bidi w:val="0"/>
              <w:adjustRightInd/>
              <w:snapToGrid/>
              <w:spacing w:line="300" w:lineRule="auto"/>
              <w:ind w:left="0" w:firstLine="0"/>
              <w:textAlignment w:val="auto"/>
              <w:rPr>
                <w:rFonts w:hint="eastAsia"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5</w:t>
            </w:r>
            <w:r>
              <w:rPr>
                <w:rFonts w:hint="eastAsia" w:ascii="宋体" w:hAnsi="宋体" w:cs="宋体"/>
                <w:kern w:val="0"/>
                <w:szCs w:val="21"/>
                <w:highlight w:val="none"/>
              </w:rPr>
              <w:t>）</w:t>
            </w:r>
            <w:r>
              <w:rPr>
                <w:rFonts w:ascii="宋体" w:hAnsi="宋体" w:cs="宋体"/>
                <w:kern w:val="0"/>
                <w:szCs w:val="21"/>
                <w:highlight w:val="none"/>
              </w:rPr>
              <w:t>本项目不接受进口产品投标，不接受联合体投标</w:t>
            </w:r>
            <w:r>
              <w:rPr>
                <w:rFonts w:hint="eastAsia" w:ascii="宋体" w:hAnsi="宋体" w:cs="宋体"/>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39" w:type="dxa"/>
            <w:shd w:val="clear" w:color="auto" w:fill="auto"/>
            <w:vAlign w:val="center"/>
          </w:tcPr>
          <w:p>
            <w:pPr>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w:t>
            </w:r>
            <w:r>
              <w:rPr>
                <w:rFonts w:ascii="宋体" w:hAnsi="宋体" w:eastAsia="宋体" w:cs="宋体"/>
                <w:color w:val="000000" w:themeColor="text1"/>
                <w:kern w:val="0"/>
                <w:szCs w:val="21"/>
                <w:highlight w:val="none"/>
                <w14:textFill>
                  <w14:solidFill>
                    <w14:schemeClr w14:val="tx1"/>
                  </w14:solidFill>
                </w14:textFill>
              </w:rPr>
              <w:t>标文件</w:t>
            </w:r>
            <w:r>
              <w:rPr>
                <w:rFonts w:hint="eastAsia" w:ascii="宋体" w:hAnsi="宋体" w:eastAsia="宋体" w:cs="宋体"/>
                <w:color w:val="000000" w:themeColor="text1"/>
                <w:kern w:val="0"/>
                <w:szCs w:val="21"/>
                <w:highlight w:val="none"/>
                <w14:textFill>
                  <w14:solidFill>
                    <w14:schemeClr w14:val="tx1"/>
                  </w14:solidFill>
                </w14:textFill>
              </w:rPr>
              <w:t>要</w:t>
            </w:r>
            <w:r>
              <w:rPr>
                <w:rFonts w:ascii="宋体" w:hAnsi="宋体" w:eastAsia="宋体" w:cs="宋体"/>
                <w:color w:val="000000" w:themeColor="text1"/>
                <w:kern w:val="0"/>
                <w:szCs w:val="21"/>
                <w:highlight w:val="none"/>
                <w14:textFill>
                  <w14:solidFill>
                    <w14:schemeClr w14:val="tx1"/>
                  </w14:solidFill>
                </w14:textFill>
              </w:rPr>
              <w:t>求</w:t>
            </w:r>
          </w:p>
        </w:tc>
        <w:tc>
          <w:tcPr>
            <w:tcW w:w="9128" w:type="dxa"/>
            <w:gridSpan w:val="4"/>
            <w:shd w:val="clear" w:color="auto" w:fill="auto"/>
          </w:tcPr>
          <w:p>
            <w:pPr>
              <w:pStyle w:val="5"/>
              <w:keepNext w:val="0"/>
              <w:keepLines w:val="0"/>
              <w:pageBreakBefore w:val="0"/>
              <w:widowControl w:val="0"/>
              <w:kinsoku/>
              <w:wordWrap/>
              <w:overflowPunct/>
              <w:topLinePunct w:val="0"/>
              <w:autoSpaceDE/>
              <w:autoSpaceDN/>
              <w:bidi w:val="0"/>
              <w:adjustRightInd/>
              <w:snapToGrid/>
              <w:spacing w:line="300" w:lineRule="auto"/>
              <w:ind w:left="0" w:firstLine="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eastAsia="宋体" w:cs="Times New Roman"/>
                <w:color w:val="auto"/>
                <w:kern w:val="2"/>
                <w:sz w:val="21"/>
                <w:szCs w:val="21"/>
                <w:highlight w:val="none"/>
                <w:lang w:val="en-US" w:eastAsia="zh-CN" w:bidi="ar-SA"/>
              </w:rPr>
              <w:t>独立法人提供营业执照扫描件</w:t>
            </w:r>
            <w:r>
              <w:rPr>
                <w:rFonts w:hint="eastAsia" w:ascii="宋体" w:hAnsi="宋体" w:cs="Times New Roman"/>
                <w:color w:val="auto"/>
                <w:kern w:val="2"/>
                <w:sz w:val="21"/>
                <w:szCs w:val="21"/>
                <w:highlight w:val="none"/>
                <w:lang w:val="en-US" w:eastAsia="zh-CN" w:bidi="ar-SA"/>
              </w:rPr>
              <w:t>、法人身份证复印件</w:t>
            </w:r>
            <w:r>
              <w:rPr>
                <w:rFonts w:hint="eastAsia" w:ascii="宋体" w:hAnsi="宋体" w:eastAsia="宋体" w:cs="Times New Roman"/>
                <w:color w:val="auto"/>
                <w:kern w:val="2"/>
                <w:sz w:val="21"/>
                <w:szCs w:val="21"/>
                <w:highlight w:val="none"/>
                <w:lang w:val="en-US" w:eastAsia="zh-CN" w:bidi="ar-SA"/>
              </w:rPr>
              <w:t>，非法人组织提供相应证照扫描件，提供“信用中国”网（www.creditchina.gov.cn)信用信息查询记录网络截图</w:t>
            </w:r>
            <w:r>
              <w:rPr>
                <w:rFonts w:hint="eastAsia" w:ascii="宋体" w:hAnsi="宋体" w:cs="宋体"/>
                <w:color w:val="auto"/>
                <w:kern w:val="0"/>
                <w:szCs w:val="21"/>
                <w:highlight w:val="none"/>
              </w:rPr>
              <w:t>。</w:t>
            </w:r>
          </w:p>
          <w:p>
            <w:pPr>
              <w:pStyle w:val="5"/>
              <w:keepNext w:val="0"/>
              <w:keepLines w:val="0"/>
              <w:pageBreakBefore w:val="0"/>
              <w:widowControl w:val="0"/>
              <w:kinsoku/>
              <w:wordWrap/>
              <w:overflowPunct/>
              <w:topLinePunct w:val="0"/>
              <w:autoSpaceDE/>
              <w:autoSpaceDN/>
              <w:bidi w:val="0"/>
              <w:adjustRightInd/>
              <w:snapToGrid/>
              <w:spacing w:line="300" w:lineRule="auto"/>
              <w:ind w:left="0" w:firstLine="0"/>
              <w:textAlignment w:val="auto"/>
              <w:rPr>
                <w:rFonts w:ascii="宋体" w:hAnsi="宋体" w:cs="宋体"/>
                <w:kern w:val="0"/>
                <w:szCs w:val="21"/>
                <w:highlight w:val="none"/>
              </w:rPr>
            </w:pPr>
            <w:r>
              <w:rPr>
                <w:rFonts w:hint="eastAsia" w:ascii="宋体" w:hAnsi="宋体" w:cs="宋体"/>
                <w:kern w:val="0"/>
                <w:szCs w:val="21"/>
                <w:highlight w:val="none"/>
              </w:rPr>
              <w:t>（2）提供注册卡或采购中心网站截图证明。</w:t>
            </w:r>
          </w:p>
          <w:p>
            <w:pPr>
              <w:pStyle w:val="5"/>
              <w:keepNext w:val="0"/>
              <w:keepLines w:val="0"/>
              <w:pageBreakBefore w:val="0"/>
              <w:widowControl w:val="0"/>
              <w:kinsoku/>
              <w:wordWrap/>
              <w:overflowPunct/>
              <w:topLinePunct w:val="0"/>
              <w:autoSpaceDE/>
              <w:autoSpaceDN/>
              <w:bidi w:val="0"/>
              <w:adjustRightInd/>
              <w:snapToGrid/>
              <w:spacing w:line="300" w:lineRule="auto"/>
              <w:ind w:left="0" w:firstLine="0"/>
              <w:textAlignment w:val="auto"/>
              <w:rPr>
                <w:rFonts w:ascii="宋体" w:hAnsi="宋体" w:cs="宋体"/>
                <w:kern w:val="0"/>
                <w:szCs w:val="21"/>
                <w:highlight w:val="none"/>
              </w:rPr>
            </w:pPr>
            <w:r>
              <w:rPr>
                <w:rFonts w:hint="eastAsia" w:ascii="宋体" w:hAnsi="宋体" w:cstheme="minorBidi"/>
                <w:szCs w:val="21"/>
                <w:highlight w:val="none"/>
              </w:rPr>
              <w:t>（3）投标人提供近三年内（投标人成立不足三年的可从成立之日起算）无重大违法犯罪记录和不存在被禁止参与政府采购活动的书面声明函。</w:t>
            </w:r>
          </w:p>
          <w:p>
            <w:pPr>
              <w:pStyle w:val="5"/>
              <w:keepNext w:val="0"/>
              <w:keepLines w:val="0"/>
              <w:pageBreakBefore w:val="0"/>
              <w:widowControl w:val="0"/>
              <w:kinsoku/>
              <w:wordWrap/>
              <w:overflowPunct/>
              <w:topLinePunct w:val="0"/>
              <w:autoSpaceDE/>
              <w:autoSpaceDN/>
              <w:bidi w:val="0"/>
              <w:adjustRightInd/>
              <w:snapToGrid/>
              <w:spacing w:line="300" w:lineRule="auto"/>
              <w:ind w:left="0" w:firstLine="0"/>
              <w:textAlignment w:val="auto"/>
              <w:rPr>
                <w:rFonts w:hint="eastAsia" w:ascii="宋体" w:hAns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4</w:t>
            </w:r>
            <w:r>
              <w:rPr>
                <w:rFonts w:hint="eastAsia" w:ascii="宋体" w:hAnsi="宋体" w:cs="宋体"/>
                <w:kern w:val="0"/>
                <w:szCs w:val="21"/>
                <w:highlight w:val="none"/>
              </w:rPr>
              <w:t>）《政府采购投标及履约承诺函》。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9" w:type="dxa"/>
            <w:shd w:val="clear" w:color="auto" w:fill="auto"/>
            <w:vAlign w:val="center"/>
          </w:tcPr>
          <w:p>
            <w:pP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具体技术要求</w:t>
            </w:r>
          </w:p>
        </w:tc>
        <w:tc>
          <w:tcPr>
            <w:tcW w:w="9128" w:type="dxa"/>
            <w:gridSpan w:val="4"/>
            <w:shd w:val="clear" w:color="auto" w:fill="auto"/>
          </w:tcPr>
          <w:p>
            <w:pPr>
              <w:keepNext w:val="0"/>
              <w:keepLines w:val="0"/>
              <w:pageBreakBefore w:val="0"/>
              <w:widowControl w:val="0"/>
              <w:kinsoku/>
              <w:wordWrap/>
              <w:overflowPunct w:val="0"/>
              <w:topLinePunct w:val="0"/>
              <w:autoSpaceDE/>
              <w:autoSpaceDN/>
              <w:bidi w:val="0"/>
              <w:adjustRightInd/>
              <w:snapToGrid/>
              <w:spacing w:line="300" w:lineRule="auto"/>
              <w:textAlignment w:val="auto"/>
              <w:rPr>
                <w:rFonts w:ascii="宋体" w:hAnsi="宋体" w:eastAsia="宋体"/>
                <w:b/>
                <w:szCs w:val="21"/>
                <w:highlight w:val="none"/>
              </w:rPr>
            </w:pPr>
            <w:bookmarkStart w:id="0" w:name="_Toc335139762"/>
            <w:bookmarkStart w:id="1" w:name="_Toc290736749"/>
            <w:bookmarkStart w:id="2" w:name="_Toc290921585"/>
            <w:bookmarkStart w:id="3" w:name="_Toc291149819"/>
            <w:r>
              <w:rPr>
                <w:rFonts w:hint="eastAsia" w:ascii="宋体" w:hAnsi="宋体"/>
                <w:b/>
                <w:szCs w:val="21"/>
                <w:highlight w:val="none"/>
              </w:rPr>
              <w:t>一</w:t>
            </w:r>
            <w:r>
              <w:rPr>
                <w:rFonts w:ascii="宋体" w:hAnsi="宋体" w:eastAsia="宋体"/>
                <w:b/>
                <w:szCs w:val="21"/>
                <w:highlight w:val="none"/>
              </w:rPr>
              <w:t>、</w:t>
            </w:r>
            <w:r>
              <w:rPr>
                <w:rFonts w:hint="eastAsia" w:ascii="宋体" w:hAnsi="宋体" w:eastAsia="宋体"/>
                <w:b/>
                <w:szCs w:val="21"/>
                <w:highlight w:val="none"/>
              </w:rPr>
              <w:t>项目工作</w:t>
            </w:r>
            <w:r>
              <w:rPr>
                <w:rFonts w:ascii="宋体" w:hAnsi="宋体" w:eastAsia="宋体"/>
                <w:b/>
                <w:szCs w:val="21"/>
                <w:highlight w:val="none"/>
              </w:rPr>
              <w:t>内容</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本研究将以龙华汽车站片区综合治理的实践探索为例，深入剖析问题根源，借鉴先进城市地区经验，提出常态化、长效化综合治理对策。在此基础上，进一步总结提炼治理模式创新经验，沉淀为可复制、可推广的制度路径，为提升超大城市高密度区域综合治理水平提供示范引领。具体研究内容包括：</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（一）龙华汽车站片区综合整治成效及存在问题分析</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对龙华汽车站片区前期综合整治行动的成效进行系统性评估，重点分析从“攻坚整治”转入“常态治理”阶段后的工作开展情况，并识别管理薄弱环节。通过数据分析与实地调研，精准识别可能复发的“旧问题”和可能衍生的“新问题”，研判问题外溢风险，建立动态更新的风险清单。</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（二）先进城市地区破解复杂区域治理难题的经验借鉴</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选取先进城市地区破解复杂区域治理难题的典型案例，从组织机制、创新举措等方面深入剖析，提炼契合龙华汽车站片区实际的治理思路，形成可供借鉴的经验做法，为破解该片区治理难题、实现精细化治理提供参考借鉴。</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（三）龙华汽车站片区常态化治理策略研究和综合治理模式经验沉淀</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聚焦龙华汽车站片区治理存在的新旧问题，围绕易复发、易反弹的风险点，研究提出针对性的处置措施，兼顾短期、中期和长期治理目标，研究提出该片区常态化的治理策略。在此基础上，对龙华汽车站综合整治模式及其创新举措进行经验沉淀，从基本原则、实施流程、组织机制等方面深入归纳总结，构建面向超大城市高密度区域综合治理实践的逻辑框架。</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（四）超大城市高度区域提升综合治理效能的对策研究</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针对龙华汽车站片区“躺卧人员”、“日租群租房”等典型问题整治中所采取的精细化工作举措，进行“去场景化”提炼，从中汲取经验启示，同时，结合先进城市地区破解复杂区域治理难题的经验做法，研究提出契合超大城市高密度区域实际特点的治理对策和实施路径建议，形成可复制、可推广的“路线图”，提升综合治理效能。</w:t>
            </w:r>
          </w:p>
          <w:p>
            <w:pPr>
              <w:keepNext w:val="0"/>
              <w:keepLines w:val="0"/>
              <w:pageBreakBefore w:val="0"/>
              <w:widowControl w:val="0"/>
              <w:kinsoku/>
              <w:wordWrap/>
              <w:overflowPunct w:val="0"/>
              <w:topLinePunct w:val="0"/>
              <w:autoSpaceDE/>
              <w:autoSpaceDN/>
              <w:bidi w:val="0"/>
              <w:adjustRightInd/>
              <w:snapToGrid/>
              <w:spacing w:before="156" w:beforeLines="50" w:line="300" w:lineRule="auto"/>
              <w:textAlignment w:val="auto"/>
              <w:rPr>
                <w:rFonts w:ascii="宋体" w:hAnsi="宋体" w:eastAsia="宋体"/>
                <w:b/>
                <w:szCs w:val="21"/>
                <w:highlight w:val="none"/>
              </w:rPr>
            </w:pPr>
            <w:r>
              <w:rPr>
                <w:rFonts w:hint="eastAsia" w:ascii="宋体" w:hAnsi="宋体" w:eastAsia="宋体"/>
                <w:b/>
                <w:szCs w:val="21"/>
                <w:highlight w:val="none"/>
                <w:lang w:val="en-US" w:eastAsia="zh-CN"/>
              </w:rPr>
              <w:t>二</w:t>
            </w:r>
            <w:r>
              <w:rPr>
                <w:rFonts w:hint="eastAsia" w:ascii="宋体" w:hAnsi="宋体" w:eastAsia="宋体"/>
                <w:b/>
                <w:szCs w:val="21"/>
                <w:highlight w:val="none"/>
              </w:rPr>
              <w:t>、项目管理要求</w:t>
            </w:r>
          </w:p>
          <w:bookmarkEnd w:id="0"/>
          <w:bookmarkEnd w:id="1"/>
          <w:bookmarkEnd w:id="2"/>
          <w:bookmarkEnd w:id="3"/>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lang w:eastAsia="zh-CN"/>
              </w:rPr>
            </w:pPr>
            <w:r>
              <w:rPr>
                <w:rFonts w:hint="eastAsia" w:ascii="宋体" w:hAnsi="宋体"/>
                <w:color w:val="auto"/>
                <w:highlight w:val="none"/>
                <w:lang w:eastAsia="zh-CN"/>
              </w:rPr>
              <w:t>（一）项目负责人要求</w:t>
            </w:r>
            <w:r>
              <w:rPr>
                <w:rFonts w:hint="eastAsia" w:ascii="宋体" w:hAnsi="宋体"/>
                <w:color w:val="auto"/>
                <w:highlight w:val="none"/>
                <w:lang w:val="en-US" w:eastAsia="zh-CN"/>
              </w:rPr>
              <w:t>具有高级职称</w:t>
            </w:r>
            <w:r>
              <w:rPr>
                <w:rFonts w:hint="eastAsia" w:ascii="宋体" w:hAnsi="宋体"/>
                <w:color w:val="auto"/>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lang w:eastAsia="zh-CN"/>
              </w:rPr>
            </w:pPr>
            <w:r>
              <w:rPr>
                <w:rFonts w:hint="eastAsia" w:ascii="宋体" w:hAnsi="宋体"/>
                <w:color w:val="auto"/>
                <w:highlight w:val="none"/>
                <w:lang w:eastAsia="zh-CN"/>
              </w:rPr>
              <w:t>（二）项目团队成员不少于</w:t>
            </w:r>
            <w:r>
              <w:rPr>
                <w:rFonts w:hint="eastAsia" w:ascii="宋体" w:hAnsi="宋体"/>
                <w:color w:val="auto"/>
                <w:highlight w:val="none"/>
                <w:lang w:val="en-US" w:eastAsia="zh-CN"/>
              </w:rPr>
              <w:t>4</w:t>
            </w:r>
            <w:r>
              <w:rPr>
                <w:rFonts w:hint="eastAsia" w:ascii="宋体" w:hAnsi="宋体"/>
                <w:color w:val="auto"/>
                <w:highlight w:val="none"/>
                <w:lang w:eastAsia="zh-CN"/>
              </w:rPr>
              <w:t>人（</w:t>
            </w:r>
            <w:r>
              <w:rPr>
                <w:rFonts w:hint="eastAsia" w:ascii="宋体" w:hAnsi="宋体"/>
                <w:color w:val="auto"/>
                <w:highlight w:val="none"/>
                <w:lang w:val="en-US" w:eastAsia="zh-CN"/>
              </w:rPr>
              <w:t>不</w:t>
            </w:r>
            <w:r>
              <w:rPr>
                <w:rFonts w:hint="eastAsia" w:ascii="宋体" w:hAnsi="宋体"/>
                <w:color w:val="auto"/>
                <w:highlight w:val="none"/>
                <w:lang w:eastAsia="zh-CN"/>
              </w:rPr>
              <w:t>包含项目负责人），专业领域须覆盖公共管理类、城乡规划类、</w:t>
            </w:r>
            <w:r>
              <w:rPr>
                <w:rFonts w:hint="eastAsia" w:ascii="宋体" w:hAnsi="宋体"/>
                <w:color w:val="auto"/>
                <w:highlight w:val="none"/>
                <w:lang w:val="en-US" w:eastAsia="zh-CN"/>
              </w:rPr>
              <w:t>经济学类</w:t>
            </w:r>
            <w:r>
              <w:rPr>
                <w:rFonts w:hint="eastAsia" w:ascii="宋体" w:hAnsi="宋体"/>
                <w:color w:val="auto"/>
                <w:highlight w:val="none"/>
                <w:lang w:eastAsia="zh-CN"/>
              </w:rPr>
              <w:t>，其中，2人需具备硕士研究生及以上学历，2人需具备中级及以上职称；</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lang w:eastAsia="zh-CN"/>
              </w:rPr>
            </w:pPr>
            <w:r>
              <w:rPr>
                <w:rFonts w:hint="eastAsia" w:ascii="宋体" w:hAnsi="宋体"/>
                <w:color w:val="auto"/>
                <w:highlight w:val="none"/>
                <w:lang w:eastAsia="zh-CN"/>
              </w:rPr>
              <w:t>（三）投标人需详细列清参与本项目的工作人员，并附上项目人员详细资料，包括</w:t>
            </w:r>
            <w:r>
              <w:rPr>
                <w:rFonts w:hint="eastAsia" w:ascii="宋体" w:hAnsi="宋体"/>
                <w:color w:val="auto"/>
                <w:highlight w:val="none"/>
                <w:lang w:val="en-US" w:eastAsia="zh-CN"/>
              </w:rPr>
              <w:t>职称证书</w:t>
            </w:r>
            <w:r>
              <w:rPr>
                <w:rFonts w:hint="eastAsia" w:ascii="宋体" w:hAnsi="宋体"/>
                <w:color w:val="auto"/>
                <w:highlight w:val="none"/>
                <w:lang w:eastAsia="zh-CN"/>
              </w:rPr>
              <w:t>学历证明等；</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lang w:eastAsia="zh-CN"/>
              </w:rPr>
            </w:pPr>
            <w:r>
              <w:rPr>
                <w:rFonts w:hint="eastAsia" w:ascii="宋体" w:hAnsi="宋体"/>
                <w:color w:val="auto"/>
                <w:highlight w:val="none"/>
                <w:lang w:eastAsia="zh-CN"/>
              </w:rPr>
              <w:t>（四）投标人需具有城市治理、社会治理、基层治理或城市区域发展等其中至少一类项目研究经验，且具备专业的综合研究能力，并提供以上项目合同关键页；</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lang w:eastAsia="zh-CN"/>
              </w:rPr>
            </w:pPr>
            <w:r>
              <w:rPr>
                <w:rFonts w:hint="eastAsia" w:ascii="宋体" w:hAnsi="宋体"/>
                <w:color w:val="auto"/>
                <w:highlight w:val="none"/>
                <w:lang w:eastAsia="zh-CN"/>
              </w:rPr>
              <w:t>（五）以上所有证明材料均提供扫描件（加盖公章），原件备查；</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eastAsia="宋体"/>
                <w:highlight w:val="none"/>
              </w:rPr>
            </w:pPr>
            <w:r>
              <w:rPr>
                <w:rFonts w:hint="eastAsia" w:ascii="宋体" w:hAnsi="宋体"/>
                <w:color w:val="auto"/>
                <w:highlight w:val="none"/>
                <w:lang w:eastAsia="zh-CN"/>
              </w:rPr>
              <w:t>（六）具体合同执行过程中，投标人不得随意更换项目负责人和项目组成员，如不经采购单位同意擅自更换，则采购单位有权解除合同。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9" w:type="dxa"/>
            <w:shd w:val="clear" w:color="auto" w:fill="auto"/>
            <w:vAlign w:val="center"/>
          </w:tcPr>
          <w:p>
            <w:pPr>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商务需求</w:t>
            </w:r>
          </w:p>
        </w:tc>
        <w:tc>
          <w:tcPr>
            <w:tcW w:w="9128" w:type="dxa"/>
            <w:gridSpan w:val="4"/>
            <w:shd w:val="clear" w:color="auto" w:fill="auto"/>
          </w:tcPr>
          <w:p>
            <w:pPr>
              <w:keepNext w:val="0"/>
              <w:keepLines w:val="0"/>
              <w:pageBreakBefore w:val="0"/>
              <w:widowControl w:val="0"/>
              <w:kinsoku/>
              <w:wordWrap/>
              <w:overflowPunct w:val="0"/>
              <w:topLinePunct w:val="0"/>
              <w:autoSpaceDE/>
              <w:autoSpaceDN/>
              <w:bidi w:val="0"/>
              <w:adjustRightInd/>
              <w:snapToGrid/>
              <w:spacing w:line="300" w:lineRule="auto"/>
              <w:textAlignment w:val="auto"/>
              <w:rPr>
                <w:rFonts w:ascii="宋体" w:hAnsi="宋体" w:eastAsia="宋体"/>
                <w:b/>
                <w:szCs w:val="21"/>
                <w:highlight w:val="none"/>
              </w:rPr>
            </w:pPr>
            <w:r>
              <w:rPr>
                <w:rFonts w:hint="eastAsia" w:ascii="宋体" w:hAnsi="宋体" w:eastAsia="宋体"/>
                <w:b/>
                <w:color w:val="000000" w:themeColor="text1"/>
                <w:szCs w:val="21"/>
                <w:highlight w:val="none"/>
                <w14:textFill>
                  <w14:solidFill>
                    <w14:schemeClr w14:val="tx1"/>
                  </w14:solidFill>
                </w14:textFill>
              </w:rPr>
              <w:t>一</w:t>
            </w:r>
            <w:r>
              <w:rPr>
                <w:rFonts w:hint="eastAsia" w:ascii="宋体" w:hAnsi="宋体" w:eastAsia="宋体"/>
                <w:b/>
                <w:szCs w:val="21"/>
                <w:highlight w:val="none"/>
              </w:rPr>
              <w:t>、项</w:t>
            </w:r>
            <w:r>
              <w:rPr>
                <w:rFonts w:ascii="宋体" w:hAnsi="宋体" w:eastAsia="宋体"/>
                <w:b/>
                <w:szCs w:val="21"/>
                <w:highlight w:val="none"/>
              </w:rPr>
              <w:t>目</w:t>
            </w:r>
            <w:r>
              <w:rPr>
                <w:rFonts w:hint="eastAsia" w:ascii="宋体" w:hAnsi="宋体" w:eastAsia="宋体"/>
                <w:b/>
                <w:szCs w:val="21"/>
                <w:highlight w:val="none"/>
              </w:rPr>
              <w:t>服务期限</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default" w:ascii="宋体" w:hAnsi="宋体"/>
                <w:color w:val="auto"/>
                <w:highlight w:val="none"/>
                <w:lang w:val="en-US"/>
              </w:rPr>
            </w:pPr>
            <w:bookmarkStart w:id="4" w:name="_Toc247441308"/>
            <w:bookmarkEnd w:id="4"/>
            <w:bookmarkStart w:id="5" w:name="_Toc240681978"/>
            <w:bookmarkEnd w:id="5"/>
            <w:bookmarkStart w:id="6" w:name="_Toc292359301"/>
            <w:bookmarkEnd w:id="6"/>
            <w:bookmarkStart w:id="7" w:name="_Toc198369145"/>
            <w:bookmarkEnd w:id="7"/>
            <w:bookmarkStart w:id="8" w:name="_Toc198365466"/>
            <w:bookmarkEnd w:id="8"/>
            <w:bookmarkStart w:id="9" w:name="_Hlk3304720"/>
            <w:r>
              <w:rPr>
                <w:rFonts w:hint="eastAsia" w:ascii="宋体" w:hAnsi="宋体"/>
                <w:color w:val="auto"/>
                <w:highlight w:val="none"/>
                <w:lang w:val="en-US" w:eastAsia="zh-CN"/>
              </w:rPr>
              <w:t>项目服务期限为5个月。合同期满后，根据项目进展情况，经</w:t>
            </w:r>
            <w:r>
              <w:rPr>
                <w:rFonts w:hint="eastAsia" w:ascii="宋体" w:hAnsi="宋体"/>
                <w:highlight w:val="none"/>
              </w:rPr>
              <w:t>采购方</w:t>
            </w:r>
            <w:r>
              <w:rPr>
                <w:rFonts w:hint="eastAsia" w:ascii="宋体" w:hAnsi="宋体"/>
                <w:color w:val="auto"/>
                <w:highlight w:val="none"/>
                <w:lang w:val="en-US" w:eastAsia="zh-CN"/>
              </w:rPr>
              <w:t>、中标方双方协商可将项目最终成果提交时间适当顺延。</w:t>
            </w:r>
          </w:p>
          <w:bookmarkEnd w:id="9"/>
          <w:p>
            <w:pPr>
              <w:keepNext w:val="0"/>
              <w:keepLines w:val="0"/>
              <w:pageBreakBefore w:val="0"/>
              <w:widowControl w:val="0"/>
              <w:kinsoku/>
              <w:wordWrap/>
              <w:overflowPunct w:val="0"/>
              <w:topLinePunct w:val="0"/>
              <w:autoSpaceDE/>
              <w:autoSpaceDN/>
              <w:bidi w:val="0"/>
              <w:adjustRightInd/>
              <w:snapToGrid/>
              <w:spacing w:before="156" w:beforeLines="50" w:line="300" w:lineRule="auto"/>
              <w:textAlignment w:val="auto"/>
              <w:rPr>
                <w:rFonts w:ascii="宋体" w:hAnsi="宋体" w:eastAsia="宋体"/>
                <w:b/>
                <w:szCs w:val="21"/>
                <w:highlight w:val="none"/>
              </w:rPr>
            </w:pPr>
            <w:r>
              <w:rPr>
                <w:rFonts w:hint="eastAsia" w:ascii="宋体" w:hAnsi="宋体" w:eastAsia="宋体"/>
                <w:b/>
                <w:szCs w:val="21"/>
                <w:highlight w:val="none"/>
              </w:rPr>
              <w:t>二、项</w:t>
            </w:r>
            <w:r>
              <w:rPr>
                <w:rFonts w:ascii="宋体" w:hAnsi="宋体" w:eastAsia="宋体"/>
                <w:b/>
                <w:szCs w:val="21"/>
                <w:highlight w:val="none"/>
              </w:rPr>
              <w:t>目</w:t>
            </w:r>
            <w:r>
              <w:rPr>
                <w:rFonts w:hint="eastAsia" w:ascii="宋体" w:hAnsi="宋体" w:eastAsia="宋体"/>
                <w:b/>
                <w:szCs w:val="21"/>
                <w:highlight w:val="none"/>
              </w:rPr>
              <w:t>进度安排</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highlight w:val="none"/>
              </w:rPr>
            </w:pPr>
            <w:r>
              <w:rPr>
                <w:rFonts w:hint="eastAsia" w:ascii="宋体" w:hAnsi="宋体"/>
                <w:highlight w:val="none"/>
              </w:rPr>
              <w:t>项</w:t>
            </w:r>
            <w:r>
              <w:rPr>
                <w:rFonts w:ascii="宋体" w:hAnsi="宋体"/>
                <w:highlight w:val="none"/>
              </w:rPr>
              <w:t>目</w:t>
            </w:r>
            <w:r>
              <w:rPr>
                <w:rFonts w:hint="eastAsia" w:ascii="宋体" w:hAnsi="宋体"/>
                <w:highlight w:val="none"/>
              </w:rPr>
              <w:t>各工作阶段具体工作时间和内容安排如下：</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rPr>
            </w:pPr>
            <w:r>
              <w:rPr>
                <w:rFonts w:hint="eastAsia" w:ascii="宋体" w:hAnsi="宋体"/>
                <w:color w:val="auto"/>
                <w:highlight w:val="none"/>
              </w:rPr>
              <w:t>（一）合同签订后</w:t>
            </w:r>
            <w:r>
              <w:rPr>
                <w:rFonts w:hint="eastAsia" w:ascii="宋体" w:hAnsi="宋体"/>
                <w:color w:val="auto"/>
                <w:highlight w:val="none"/>
                <w:lang w:val="en-US" w:eastAsia="zh-CN"/>
              </w:rPr>
              <w:t>第1-2周内</w:t>
            </w:r>
            <w:r>
              <w:rPr>
                <w:rFonts w:hint="eastAsia" w:ascii="宋体" w:hAnsi="宋体"/>
                <w:color w:val="auto"/>
                <w:highlight w:val="none"/>
              </w:rPr>
              <w:t>，围绕龙华汽车站片区综合治理开展实地调研、部门座谈、相关主体走访等工作，剖析龙华汽车站片区综合治理成效及问题；</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eastAsiaTheme="minorEastAsia"/>
                <w:color w:val="auto"/>
                <w:highlight w:val="none"/>
                <w:lang w:eastAsia="zh-CN"/>
              </w:rPr>
            </w:pPr>
            <w:r>
              <w:rPr>
                <w:rFonts w:hint="eastAsia" w:ascii="宋体" w:hAnsi="宋体"/>
                <w:color w:val="auto"/>
                <w:highlight w:val="none"/>
              </w:rPr>
              <w:t>（二）合同签订后第</w:t>
            </w:r>
            <w:r>
              <w:rPr>
                <w:rFonts w:hint="eastAsia" w:ascii="宋体" w:hAnsi="宋体"/>
                <w:color w:val="auto"/>
                <w:highlight w:val="none"/>
                <w:lang w:val="en-US" w:eastAsia="zh-CN"/>
              </w:rPr>
              <w:t>3</w:t>
            </w:r>
            <w:r>
              <w:rPr>
                <w:rFonts w:hint="eastAsia" w:ascii="宋体" w:hAnsi="宋体"/>
                <w:color w:val="auto"/>
                <w:highlight w:val="none"/>
              </w:rPr>
              <w:t>-8周内，结合前期调研情况，补充先进城市地区经验借鉴，开展提升龙华汽车站片区综合治理效能的对策研究</w:t>
            </w:r>
            <w:r>
              <w:rPr>
                <w:rFonts w:hint="eastAsia" w:ascii="宋体" w:hAnsi="宋体"/>
                <w:color w:val="auto"/>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三</w:t>
            </w:r>
            <w:r>
              <w:rPr>
                <w:rFonts w:hint="eastAsia" w:ascii="宋体" w:hAnsi="宋体"/>
                <w:color w:val="auto"/>
                <w:highlight w:val="none"/>
                <w:lang w:eastAsia="zh-CN"/>
              </w:rPr>
              <w:t>）</w:t>
            </w:r>
            <w:r>
              <w:rPr>
                <w:rFonts w:hint="eastAsia" w:ascii="宋体" w:hAnsi="宋体"/>
                <w:color w:val="auto"/>
                <w:highlight w:val="none"/>
              </w:rPr>
              <w:t>合同签订后第</w:t>
            </w:r>
            <w:r>
              <w:rPr>
                <w:rFonts w:hint="eastAsia" w:ascii="宋体" w:hAnsi="宋体"/>
                <w:color w:val="auto"/>
                <w:highlight w:val="none"/>
                <w:lang w:val="en-US" w:eastAsia="zh-CN"/>
              </w:rPr>
              <w:t>9-12周内</w:t>
            </w:r>
            <w:r>
              <w:rPr>
                <w:rFonts w:hint="eastAsia" w:ascii="宋体" w:hAnsi="宋体"/>
                <w:color w:val="auto"/>
                <w:highlight w:val="none"/>
              </w:rPr>
              <w:t>，总结归纳超大城市高密度区域创新治理模式的经验，并进行理论思考和框架构建，形成项目报告初稿，进行中期汇报；</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lang w:eastAsia="zh-CN"/>
              </w:rPr>
            </w:pPr>
            <w:r>
              <w:rPr>
                <w:rFonts w:hint="eastAsia" w:ascii="宋体" w:hAnsi="宋体"/>
                <w:color w:val="auto"/>
                <w:highlight w:val="none"/>
              </w:rPr>
              <w:t>（</w:t>
            </w:r>
            <w:r>
              <w:rPr>
                <w:rFonts w:hint="eastAsia" w:ascii="宋体" w:hAnsi="宋体"/>
                <w:color w:val="auto"/>
                <w:highlight w:val="none"/>
                <w:lang w:eastAsia="zh-CN"/>
              </w:rPr>
              <w:t>四</w:t>
            </w:r>
            <w:r>
              <w:rPr>
                <w:rFonts w:hint="eastAsia" w:ascii="宋体" w:hAnsi="宋体"/>
                <w:color w:val="auto"/>
                <w:highlight w:val="none"/>
              </w:rPr>
              <w:t>）合同签订后第</w:t>
            </w:r>
            <w:r>
              <w:rPr>
                <w:rFonts w:hint="eastAsia" w:ascii="宋体" w:hAnsi="宋体"/>
                <w:color w:val="auto"/>
                <w:highlight w:val="none"/>
                <w:lang w:val="en-US" w:eastAsia="zh-CN"/>
              </w:rPr>
              <w:t>13-18周</w:t>
            </w:r>
            <w:r>
              <w:rPr>
                <w:rFonts w:hint="eastAsia" w:ascii="宋体" w:hAnsi="宋体"/>
                <w:color w:val="auto"/>
                <w:highlight w:val="none"/>
              </w:rPr>
              <w:t>内，补充调研，持续修改完善报告及PPT</w:t>
            </w:r>
            <w:r>
              <w:rPr>
                <w:rFonts w:hint="eastAsia" w:ascii="宋体" w:hAnsi="宋体"/>
                <w:color w:val="auto"/>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lang w:val="en-US" w:eastAsia="zh-CN"/>
              </w:rPr>
            </w:pPr>
            <w:r>
              <w:rPr>
                <w:rFonts w:hint="eastAsia" w:ascii="宋体" w:hAnsi="宋体"/>
                <w:color w:val="auto"/>
                <w:highlight w:val="none"/>
                <w:lang w:eastAsia="zh-CN"/>
              </w:rPr>
              <w:t>（</w:t>
            </w:r>
            <w:r>
              <w:rPr>
                <w:rFonts w:hint="eastAsia" w:ascii="宋体" w:hAnsi="宋体"/>
                <w:color w:val="auto"/>
                <w:highlight w:val="none"/>
                <w:lang w:val="en-US" w:eastAsia="zh-CN"/>
              </w:rPr>
              <w:t>五</w:t>
            </w:r>
            <w:r>
              <w:rPr>
                <w:rFonts w:hint="eastAsia" w:ascii="宋体" w:hAnsi="宋体"/>
                <w:color w:val="auto"/>
                <w:highlight w:val="none"/>
                <w:lang w:eastAsia="zh-CN"/>
              </w:rPr>
              <w:t>）</w:t>
            </w:r>
            <w:r>
              <w:rPr>
                <w:rFonts w:hint="eastAsia" w:ascii="宋体" w:hAnsi="宋体"/>
                <w:color w:val="auto"/>
                <w:highlight w:val="none"/>
              </w:rPr>
              <w:t>合同签订后第</w:t>
            </w:r>
            <w:r>
              <w:rPr>
                <w:rFonts w:hint="eastAsia" w:ascii="宋体" w:hAnsi="宋体"/>
                <w:color w:val="auto"/>
                <w:highlight w:val="none"/>
                <w:lang w:val="en-US" w:eastAsia="zh-CN"/>
              </w:rPr>
              <w:t>19-22周</w:t>
            </w:r>
            <w:r>
              <w:rPr>
                <w:rFonts w:hint="eastAsia" w:ascii="宋体" w:hAnsi="宋体"/>
                <w:color w:val="auto"/>
                <w:highlight w:val="none"/>
              </w:rPr>
              <w:t>内</w:t>
            </w:r>
            <w:r>
              <w:rPr>
                <w:rFonts w:hint="eastAsia" w:ascii="宋体" w:hAnsi="宋体"/>
                <w:color w:val="auto"/>
                <w:highlight w:val="none"/>
                <w:lang w:eastAsia="zh-CN"/>
              </w:rPr>
              <w:t>持续修改优化项目成果，结题归档。</w:t>
            </w:r>
          </w:p>
          <w:p>
            <w:pPr>
              <w:keepNext w:val="0"/>
              <w:keepLines w:val="0"/>
              <w:pageBreakBefore w:val="0"/>
              <w:widowControl w:val="0"/>
              <w:kinsoku/>
              <w:wordWrap/>
              <w:overflowPunct w:val="0"/>
              <w:topLinePunct w:val="0"/>
              <w:autoSpaceDE/>
              <w:autoSpaceDN/>
              <w:bidi w:val="0"/>
              <w:adjustRightInd/>
              <w:snapToGrid/>
              <w:spacing w:before="156" w:beforeLines="50" w:line="300" w:lineRule="auto"/>
              <w:textAlignment w:val="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三、投标报价要求</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一</w:t>
            </w:r>
            <w:r>
              <w:rPr>
                <w:rFonts w:hint="eastAsia" w:ascii="宋体" w:hAnsi="宋体"/>
                <w:szCs w:val="21"/>
                <w:highlight w:val="none"/>
              </w:rPr>
              <w:t>）投标</w:t>
            </w:r>
            <w:r>
              <w:rPr>
                <w:rFonts w:hint="eastAsia" w:ascii="宋体" w:hAnsi="宋体"/>
                <w:szCs w:val="21"/>
                <w:highlight w:val="none"/>
                <w:lang w:val="en-US" w:eastAsia="zh-CN"/>
              </w:rPr>
              <w:t>人</w:t>
            </w:r>
            <w:r>
              <w:rPr>
                <w:rFonts w:hint="eastAsia" w:ascii="宋体" w:hAnsi="宋体"/>
                <w:szCs w:val="21"/>
                <w:highlight w:val="none"/>
              </w:rPr>
              <w:t>应提供报价详细清单（含报价依据及其详细计算过程等）；</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eastAsiaTheme="minorEastAsia"/>
                <w:szCs w:val="21"/>
                <w:highlight w:val="none"/>
                <w:lang w:eastAsia="zh-CN"/>
              </w:rPr>
            </w:pPr>
            <w:r>
              <w:rPr>
                <w:rFonts w:hint="eastAsia" w:ascii="宋体" w:hAnsi="宋体"/>
                <w:szCs w:val="21"/>
                <w:highlight w:val="none"/>
              </w:rPr>
              <w:t>（</w:t>
            </w:r>
            <w:r>
              <w:rPr>
                <w:rFonts w:hint="eastAsia" w:ascii="宋体" w:hAnsi="宋体"/>
                <w:szCs w:val="21"/>
                <w:highlight w:val="none"/>
                <w:lang w:val="en-US" w:eastAsia="zh-CN"/>
              </w:rPr>
              <w:t>二</w:t>
            </w:r>
            <w:r>
              <w:rPr>
                <w:rFonts w:hint="eastAsia" w:ascii="宋体" w:hAnsi="宋体"/>
                <w:szCs w:val="21"/>
                <w:highlight w:val="none"/>
              </w:rPr>
              <w:t>）投标</w:t>
            </w:r>
            <w:r>
              <w:rPr>
                <w:rFonts w:hint="eastAsia" w:ascii="宋体" w:hAnsi="宋体"/>
                <w:szCs w:val="21"/>
                <w:highlight w:val="none"/>
                <w:lang w:val="en-US" w:eastAsia="zh-CN"/>
              </w:rPr>
              <w:t>人</w:t>
            </w:r>
            <w:r>
              <w:rPr>
                <w:rFonts w:hint="eastAsia" w:ascii="宋体" w:hAnsi="宋体"/>
                <w:szCs w:val="21"/>
                <w:highlight w:val="none"/>
              </w:rPr>
              <w:t>不得以低于成本报价进行竞标</w:t>
            </w:r>
            <w:r>
              <w:rPr>
                <w:rFonts w:hint="eastAsia" w:ascii="宋体" w:hAnsi="宋体"/>
                <w:szCs w:val="21"/>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三</w:t>
            </w:r>
            <w:r>
              <w:rPr>
                <w:rFonts w:hint="eastAsia" w:ascii="宋体" w:hAnsi="宋体"/>
                <w:szCs w:val="21"/>
                <w:highlight w:val="none"/>
              </w:rPr>
              <w:t>）投标人的投标价格不得超过财政预算限额。</w:t>
            </w:r>
          </w:p>
          <w:p>
            <w:pPr>
              <w:keepNext w:val="0"/>
              <w:keepLines w:val="0"/>
              <w:pageBreakBefore w:val="0"/>
              <w:widowControl w:val="0"/>
              <w:kinsoku/>
              <w:wordWrap/>
              <w:overflowPunct w:val="0"/>
              <w:topLinePunct w:val="0"/>
              <w:autoSpaceDE/>
              <w:autoSpaceDN/>
              <w:bidi w:val="0"/>
              <w:adjustRightInd/>
              <w:snapToGrid/>
              <w:spacing w:before="156" w:beforeLines="50" w:line="300" w:lineRule="auto"/>
              <w:textAlignment w:val="auto"/>
              <w:rPr>
                <w:rFonts w:ascii="宋体" w:hAnsi="宋体" w:eastAsia="宋体"/>
                <w:b/>
                <w:color w:val="FF0000"/>
                <w:szCs w:val="21"/>
                <w:highlight w:val="none"/>
              </w:rPr>
            </w:pPr>
            <w:r>
              <w:rPr>
                <w:rFonts w:hint="eastAsia" w:ascii="宋体" w:hAnsi="宋体" w:eastAsia="宋体"/>
                <w:b/>
                <w:color w:val="000000" w:themeColor="text1"/>
                <w:szCs w:val="21"/>
                <w:highlight w:val="none"/>
                <w14:textFill>
                  <w14:solidFill>
                    <w14:schemeClr w14:val="tx1"/>
                  </w14:solidFill>
                </w14:textFill>
              </w:rPr>
              <w:t>四</w:t>
            </w:r>
            <w:r>
              <w:rPr>
                <w:rFonts w:ascii="宋体" w:hAnsi="宋体" w:eastAsia="宋体"/>
                <w:b/>
                <w:color w:val="000000" w:themeColor="text1"/>
                <w:szCs w:val="21"/>
                <w:highlight w:val="none"/>
                <w14:textFill>
                  <w14:solidFill>
                    <w14:schemeClr w14:val="tx1"/>
                  </w14:solidFill>
                </w14:textFill>
              </w:rPr>
              <w:t>、</w:t>
            </w:r>
            <w:r>
              <w:rPr>
                <w:rFonts w:hint="eastAsia" w:ascii="宋体" w:hAnsi="宋体" w:eastAsia="宋体"/>
                <w:b/>
                <w:color w:val="000000" w:themeColor="text1"/>
                <w:szCs w:val="21"/>
                <w:highlight w:val="none"/>
                <w14:textFill>
                  <w14:solidFill>
                    <w14:schemeClr w14:val="tx1"/>
                  </w14:solidFill>
                </w14:textFill>
              </w:rPr>
              <w:t>成果验收要</w:t>
            </w:r>
            <w:r>
              <w:rPr>
                <w:rFonts w:ascii="宋体" w:hAnsi="宋体" w:eastAsia="宋体"/>
                <w:b/>
                <w:color w:val="000000" w:themeColor="text1"/>
                <w:szCs w:val="21"/>
                <w:highlight w:val="none"/>
                <w14:textFill>
                  <w14:solidFill>
                    <w14:schemeClr w14:val="tx1"/>
                  </w14:solidFill>
                </w14:textFill>
              </w:rPr>
              <w:t>求</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highlight w:val="none"/>
              </w:rPr>
            </w:pPr>
            <w:r>
              <w:rPr>
                <w:rFonts w:hint="eastAsia" w:ascii="宋体" w:hAnsi="宋体"/>
                <w:highlight w:val="none"/>
              </w:rPr>
              <w:t>（一）</w:t>
            </w:r>
            <w:r>
              <w:rPr>
                <w:rFonts w:hint="eastAsia" w:ascii="宋体" w:hAnsi="宋体"/>
                <w:highlight w:val="none"/>
                <w:lang w:val="en-US" w:eastAsia="zh-CN"/>
              </w:rPr>
              <w:t>项目</w:t>
            </w:r>
            <w:r>
              <w:rPr>
                <w:rFonts w:hint="eastAsia" w:ascii="宋体" w:hAnsi="宋体"/>
                <w:highlight w:val="none"/>
              </w:rPr>
              <w:t>成</w:t>
            </w:r>
            <w:r>
              <w:rPr>
                <w:rFonts w:ascii="宋体" w:hAnsi="宋体"/>
                <w:highlight w:val="none"/>
              </w:rPr>
              <w:t>果</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1</w:t>
            </w:r>
            <w:r>
              <w:rPr>
                <w:rFonts w:hint="eastAsia" w:ascii="宋体" w:hAnsi="宋体"/>
                <w:highlight w:val="none"/>
              </w:rPr>
              <w:t>）《超大城市高密度区域创新治理模式提升综合治理效能的路径探索》报告；</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2</w:t>
            </w:r>
            <w:r>
              <w:rPr>
                <w:rFonts w:hint="eastAsia" w:ascii="宋体" w:hAnsi="宋体"/>
                <w:highlight w:val="none"/>
              </w:rPr>
              <w:t>）《超大城市高密度区域创新治理模式提升综合治理效能的路径探索》汇报PPT</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highlight w:val="none"/>
              </w:rPr>
            </w:pPr>
            <w:r>
              <w:rPr>
                <w:rFonts w:hint="eastAsia" w:ascii="宋体" w:hAnsi="宋体"/>
                <w:highlight w:val="none"/>
              </w:rPr>
              <w:t>以上成果的纸</w:t>
            </w:r>
            <w:r>
              <w:rPr>
                <w:rFonts w:ascii="宋体" w:hAnsi="宋体"/>
                <w:highlight w:val="none"/>
              </w:rPr>
              <w:t>质</w:t>
            </w:r>
            <w:r>
              <w:rPr>
                <w:rFonts w:hint="eastAsia" w:ascii="宋体" w:hAnsi="宋体"/>
                <w:highlight w:val="none"/>
              </w:rPr>
              <w:t>版</w:t>
            </w:r>
            <w:r>
              <w:rPr>
                <w:rFonts w:hint="eastAsia" w:ascii="宋体" w:hAnsi="宋体"/>
                <w:highlight w:val="none"/>
                <w:lang w:val="en-US" w:eastAsia="zh-CN"/>
              </w:rPr>
              <w:t>2</w:t>
            </w:r>
            <w:r>
              <w:rPr>
                <w:rFonts w:hint="eastAsia" w:ascii="宋体" w:hAnsi="宋体"/>
                <w:highlight w:val="none"/>
              </w:rPr>
              <w:t>套</w:t>
            </w:r>
            <w:r>
              <w:rPr>
                <w:rFonts w:ascii="宋体" w:hAnsi="宋体"/>
                <w:highlight w:val="none"/>
              </w:rPr>
              <w:t>和</w:t>
            </w:r>
            <w:r>
              <w:rPr>
                <w:rFonts w:hint="eastAsia" w:ascii="宋体" w:hAnsi="宋体"/>
                <w:highlight w:val="none"/>
              </w:rPr>
              <w:t>电子版</w:t>
            </w:r>
            <w:r>
              <w:rPr>
                <w:rFonts w:hint="eastAsia" w:ascii="宋体" w:hAnsi="宋体"/>
                <w:highlight w:val="none"/>
                <w:lang w:val="en-US" w:eastAsia="zh-CN"/>
              </w:rPr>
              <w:t>1</w:t>
            </w:r>
            <w:r>
              <w:rPr>
                <w:rFonts w:hint="eastAsia" w:ascii="宋体" w:hAnsi="宋体"/>
                <w:highlight w:val="none"/>
              </w:rPr>
              <w:t>套。</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highlight w:val="none"/>
              </w:rPr>
            </w:pPr>
            <w:r>
              <w:rPr>
                <w:rFonts w:hint="eastAsia" w:ascii="宋体" w:hAnsi="宋体"/>
                <w:highlight w:val="none"/>
              </w:rPr>
              <w:t>（</w:t>
            </w:r>
            <w:r>
              <w:rPr>
                <w:rFonts w:hint="eastAsia" w:ascii="宋体" w:hAnsi="宋体"/>
                <w:highlight w:val="none"/>
                <w:lang w:val="en-US" w:eastAsia="zh-CN"/>
              </w:rPr>
              <w:t>二</w:t>
            </w:r>
            <w:r>
              <w:rPr>
                <w:rFonts w:ascii="宋体" w:hAnsi="宋体"/>
                <w:highlight w:val="none"/>
              </w:rPr>
              <w:t>）</w:t>
            </w:r>
            <w:r>
              <w:rPr>
                <w:rFonts w:hint="eastAsia" w:ascii="宋体" w:hAnsi="宋体"/>
                <w:highlight w:val="none"/>
              </w:rPr>
              <w:t>验收方式</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olor w:val="auto"/>
                <w:highlight w:val="none"/>
                <w:lang w:val="en-US" w:eastAsia="zh-CN"/>
              </w:rPr>
            </w:pPr>
            <w:r>
              <w:rPr>
                <w:rFonts w:hint="eastAsia" w:ascii="宋体" w:hAnsi="宋体"/>
                <w:highlight w:val="none"/>
                <w:lang w:eastAsia="zh-CN"/>
              </w:rPr>
              <w:t>（</w:t>
            </w:r>
            <w:r>
              <w:rPr>
                <w:rFonts w:hint="eastAsia" w:ascii="宋体" w:hAnsi="宋体"/>
                <w:highlight w:val="none"/>
                <w:lang w:val="en-US" w:eastAsia="zh-CN"/>
              </w:rPr>
              <w:t>1</w:t>
            </w:r>
            <w:r>
              <w:rPr>
                <w:rFonts w:hint="eastAsia" w:ascii="宋体" w:hAnsi="宋体"/>
                <w:highlight w:val="none"/>
                <w:lang w:eastAsia="zh-CN"/>
              </w:rPr>
              <w:t>）</w:t>
            </w:r>
            <w:r>
              <w:rPr>
                <w:rFonts w:hint="eastAsia" w:ascii="宋体" w:hAnsi="宋体"/>
                <w:highlight w:val="none"/>
                <w:lang w:val="en-US" w:eastAsia="zh-CN"/>
              </w:rPr>
              <w:t>中期成果：</w:t>
            </w:r>
            <w:r>
              <w:rPr>
                <w:rFonts w:hint="eastAsia" w:ascii="宋体" w:hAnsi="宋体"/>
                <w:color w:val="auto"/>
                <w:highlight w:val="none"/>
              </w:rPr>
              <w:t>研究报告中期稿</w:t>
            </w:r>
            <w:r>
              <w:rPr>
                <w:rFonts w:hint="eastAsia" w:ascii="宋体" w:hAnsi="宋体"/>
                <w:color w:val="auto"/>
                <w:highlight w:val="none"/>
                <w:lang w:val="en-US" w:eastAsia="zh-CN"/>
              </w:rPr>
              <w:t>；</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default"/>
                <w:highlight w:val="none"/>
                <w:lang w:val="en-US" w:eastAsia="zh-CN"/>
              </w:rPr>
            </w:pPr>
            <w:r>
              <w:rPr>
                <w:rFonts w:hint="eastAsia" w:ascii="宋体" w:hAnsi="宋体"/>
                <w:color w:val="auto"/>
                <w:highlight w:val="none"/>
                <w:lang w:val="en-US" w:eastAsia="zh-CN"/>
              </w:rPr>
              <w:t>（2）结题成果：</w:t>
            </w:r>
            <w:r>
              <w:rPr>
                <w:rFonts w:hint="eastAsia" w:ascii="宋体" w:hAnsi="宋体"/>
                <w:color w:val="auto"/>
                <w:highlight w:val="none"/>
              </w:rPr>
              <w:t>研究报告</w:t>
            </w:r>
            <w:r>
              <w:rPr>
                <w:rFonts w:hint="eastAsia" w:ascii="宋体" w:hAnsi="宋体"/>
                <w:color w:val="auto"/>
                <w:highlight w:val="none"/>
                <w:lang w:eastAsia="zh-CN"/>
              </w:rPr>
              <w:t>、</w:t>
            </w:r>
            <w:r>
              <w:rPr>
                <w:rFonts w:hint="eastAsia" w:ascii="宋体" w:hAnsi="宋体"/>
                <w:color w:val="auto"/>
                <w:highlight w:val="none"/>
                <w:lang w:val="en-US" w:eastAsia="zh-CN"/>
              </w:rPr>
              <w:t>汇报PPT最终稿。</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highlight w:val="none"/>
              </w:rPr>
            </w:pPr>
            <w:r>
              <w:rPr>
                <w:rFonts w:hint="eastAsia" w:ascii="宋体" w:hAnsi="宋体"/>
                <w:highlight w:val="none"/>
              </w:rPr>
              <w:t>中标方需按采购方的招标技术及时间要求，完成</w:t>
            </w:r>
            <w:r>
              <w:rPr>
                <w:rFonts w:hint="eastAsia" w:ascii="宋体" w:hAnsi="宋体"/>
                <w:highlight w:val="none"/>
                <w:lang w:val="en-US" w:eastAsia="zh-CN"/>
              </w:rPr>
              <w:t>中期成果、结题</w:t>
            </w:r>
            <w:r>
              <w:rPr>
                <w:rFonts w:hint="eastAsia" w:ascii="宋体" w:hAnsi="宋体"/>
                <w:highlight w:val="none"/>
              </w:rPr>
              <w:t>成果并全部提交后，采购方</w:t>
            </w:r>
            <w:r>
              <w:rPr>
                <w:rFonts w:hint="eastAsia" w:ascii="宋体" w:hAnsi="宋体"/>
                <w:highlight w:val="none"/>
                <w:lang w:val="en-US" w:eastAsia="zh-CN"/>
              </w:rPr>
              <w:t>分别</w:t>
            </w:r>
            <w:r>
              <w:rPr>
                <w:rFonts w:hint="eastAsia" w:ascii="宋体" w:hAnsi="宋体"/>
                <w:highlight w:val="none"/>
              </w:rPr>
              <w:t>进行</w:t>
            </w:r>
            <w:r>
              <w:rPr>
                <w:rFonts w:hint="eastAsia" w:ascii="宋体" w:hAnsi="宋体"/>
                <w:highlight w:val="none"/>
                <w:lang w:val="en-US" w:eastAsia="zh-CN"/>
              </w:rPr>
              <w:t>中期审查和</w:t>
            </w:r>
            <w:r>
              <w:rPr>
                <w:rFonts w:ascii="宋体" w:hAnsi="宋体"/>
                <w:highlight w:val="none"/>
              </w:rPr>
              <w:t>成果</w:t>
            </w:r>
            <w:r>
              <w:rPr>
                <w:rFonts w:hint="eastAsia" w:ascii="宋体" w:hAnsi="宋体"/>
                <w:highlight w:val="none"/>
              </w:rPr>
              <w:t>验收。</w:t>
            </w:r>
          </w:p>
          <w:p>
            <w:pPr>
              <w:keepNext w:val="0"/>
              <w:keepLines w:val="0"/>
              <w:pageBreakBefore w:val="0"/>
              <w:widowControl w:val="0"/>
              <w:kinsoku/>
              <w:wordWrap/>
              <w:overflowPunct w:val="0"/>
              <w:topLinePunct w:val="0"/>
              <w:autoSpaceDE/>
              <w:autoSpaceDN/>
              <w:bidi w:val="0"/>
              <w:adjustRightInd/>
              <w:snapToGrid/>
              <w:spacing w:before="156" w:beforeLines="50" w:line="300" w:lineRule="auto"/>
              <w:textAlignment w:val="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五</w:t>
            </w:r>
            <w:r>
              <w:rPr>
                <w:rFonts w:ascii="宋体" w:hAnsi="宋体" w:eastAsia="宋体"/>
                <w:b/>
                <w:color w:val="000000" w:themeColor="text1"/>
                <w:szCs w:val="21"/>
                <w:highlight w:val="none"/>
                <w14:textFill>
                  <w14:solidFill>
                    <w14:schemeClr w14:val="tx1"/>
                  </w14:solidFill>
                </w14:textFill>
              </w:rPr>
              <w:t>、</w:t>
            </w:r>
            <w:r>
              <w:rPr>
                <w:rFonts w:hint="eastAsia" w:ascii="宋体" w:hAnsi="宋体" w:eastAsia="宋体"/>
                <w:b/>
                <w:color w:val="000000" w:themeColor="text1"/>
                <w:szCs w:val="21"/>
                <w:highlight w:val="none"/>
                <w14:textFill>
                  <w14:solidFill>
                    <w14:schemeClr w14:val="tx1"/>
                  </w14:solidFill>
                </w14:textFill>
              </w:rPr>
              <w:t>售后服务要求</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cs="宋体"/>
                <w:highlight w:val="none"/>
              </w:rPr>
            </w:pPr>
            <w:r>
              <w:rPr>
                <w:rFonts w:hint="eastAsia" w:ascii="宋体" w:hAnsi="宋体" w:cs="宋体"/>
                <w:color w:val="000000"/>
                <w:highlight w:val="none"/>
              </w:rPr>
              <w:t>（一</w:t>
            </w:r>
            <w:r>
              <w:rPr>
                <w:rFonts w:ascii="宋体" w:hAnsi="宋体" w:cs="宋体"/>
                <w:color w:val="000000"/>
                <w:highlight w:val="none"/>
              </w:rPr>
              <w:t>）</w:t>
            </w:r>
            <w:r>
              <w:rPr>
                <w:rFonts w:hint="eastAsia" w:ascii="宋体" w:hAnsi="宋体" w:cs="宋体"/>
                <w:color w:val="000000"/>
                <w:highlight w:val="none"/>
              </w:rPr>
              <w:t>售后服务要求和期限</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cs="宋体"/>
                <w:color w:val="000000"/>
                <w:highlight w:val="none"/>
              </w:rPr>
            </w:pPr>
            <w:r>
              <w:rPr>
                <w:rFonts w:hint="eastAsia" w:ascii="宋体" w:hAnsi="宋体" w:cs="宋体"/>
                <w:highlight w:val="none"/>
              </w:rPr>
              <w:t>（1）中标方在公开招标文件中应提供详细的售后服务承诺书，并</w:t>
            </w:r>
            <w:r>
              <w:rPr>
                <w:rFonts w:hint="eastAsia" w:ascii="宋体" w:hAnsi="宋体" w:cs="宋体"/>
                <w:color w:val="000000"/>
                <w:highlight w:val="none"/>
              </w:rPr>
              <w:t>加盖中标方单位公章；</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cs="宋体"/>
                <w:color w:val="000000"/>
                <w:highlight w:val="none"/>
              </w:rPr>
            </w:pPr>
            <w:r>
              <w:rPr>
                <w:rFonts w:hint="eastAsia" w:ascii="宋体" w:hAnsi="宋体" w:cs="宋体"/>
                <w:color w:val="000000"/>
                <w:highlight w:val="none"/>
              </w:rPr>
              <w:t>（2）项目由采购方审查通过后进入售后服务期，售后服务内容要求主要包括技术支持等；</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cs="宋体"/>
                <w:highlight w:val="none"/>
              </w:rPr>
            </w:pPr>
            <w:r>
              <w:rPr>
                <w:rFonts w:hint="eastAsia" w:ascii="宋体" w:hAnsi="宋体" w:cs="宋体"/>
                <w:highlight w:val="none"/>
              </w:rPr>
              <w:t>（3）本项目要求</w:t>
            </w:r>
            <w:r>
              <w:rPr>
                <w:rFonts w:hint="eastAsia" w:ascii="宋体" w:hAnsi="宋体" w:cs="宋体"/>
                <w:kern w:val="0"/>
                <w:szCs w:val="21"/>
                <w:highlight w:val="none"/>
              </w:rPr>
              <w:t>项目结题后1年内，应采购</w:t>
            </w:r>
            <w:r>
              <w:rPr>
                <w:rFonts w:hint="eastAsia" w:ascii="宋体" w:hAnsi="宋体" w:cs="宋体"/>
                <w:kern w:val="0"/>
                <w:szCs w:val="21"/>
                <w:highlight w:val="none"/>
                <w:lang w:val="en-US" w:eastAsia="zh-CN"/>
              </w:rPr>
              <w:t>方</w:t>
            </w:r>
            <w:r>
              <w:rPr>
                <w:rFonts w:hint="eastAsia" w:ascii="宋体" w:hAnsi="宋体" w:cs="宋体"/>
                <w:kern w:val="0"/>
                <w:szCs w:val="21"/>
                <w:highlight w:val="none"/>
              </w:rPr>
              <w:t>的要求，提供必要的咨询与解释服务。</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cs="宋体"/>
                <w:color w:val="000000"/>
                <w:highlight w:val="none"/>
              </w:rPr>
            </w:pPr>
            <w:r>
              <w:rPr>
                <w:rFonts w:hint="eastAsia" w:ascii="宋体" w:hAnsi="宋体" w:cs="宋体"/>
                <w:color w:val="000000"/>
                <w:highlight w:val="none"/>
              </w:rPr>
              <w:t>（</w:t>
            </w:r>
            <w:r>
              <w:rPr>
                <w:rFonts w:ascii="宋体" w:hAnsi="宋体" w:cs="宋体"/>
                <w:color w:val="000000"/>
                <w:highlight w:val="none"/>
              </w:rPr>
              <w:t>二）</w:t>
            </w:r>
            <w:r>
              <w:rPr>
                <w:rFonts w:hint="eastAsia" w:ascii="宋体" w:hAnsi="宋体" w:cs="宋体"/>
                <w:color w:val="000000"/>
                <w:highlight w:val="none"/>
              </w:rPr>
              <w:t>售后服务内容</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cs="宋体"/>
                <w:color w:val="000000"/>
                <w:highlight w:val="none"/>
              </w:rPr>
            </w:pPr>
            <w:r>
              <w:rPr>
                <w:rFonts w:hint="eastAsia" w:ascii="宋体" w:hAnsi="宋体" w:cs="宋体"/>
                <w:color w:val="000000"/>
                <w:highlight w:val="none"/>
              </w:rPr>
              <w:t>（</w:t>
            </w:r>
            <w:r>
              <w:rPr>
                <w:rFonts w:ascii="宋体" w:hAnsi="宋体" w:cs="宋体"/>
                <w:color w:val="000000"/>
                <w:highlight w:val="none"/>
              </w:rPr>
              <w:t>1</w:t>
            </w:r>
            <w:r>
              <w:rPr>
                <w:rFonts w:hint="eastAsia" w:ascii="宋体" w:hAnsi="宋体" w:cs="宋体"/>
                <w:color w:val="000000"/>
                <w:highlight w:val="none"/>
              </w:rPr>
              <w:t>）专员支持服务：安排维护专员为本项目售后技术支持，并提供其联系手机、电话、传真、Email；保证采购方在工作日内能及时联系到维护专员；如人员需要调整应及时通知采购方；</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eastAsia="宋体" w:cs="宋体"/>
                <w:color w:val="000000" w:themeColor="text1"/>
                <w:highlight w:val="none"/>
                <w14:textFill>
                  <w14:solidFill>
                    <w14:schemeClr w14:val="tx1"/>
                  </w14:solidFill>
                </w14:textFill>
              </w:rPr>
            </w:pPr>
            <w:r>
              <w:rPr>
                <w:rFonts w:hint="eastAsia" w:ascii="宋体" w:hAnsi="宋体" w:cs="宋体"/>
                <w:color w:val="000000"/>
                <w:highlight w:val="none"/>
              </w:rPr>
              <w:t>（2）审查支持服务：中标方应配合采购方进行与本项目相关的技术审查工作，并提供专业技术意见。</w:t>
            </w:r>
          </w:p>
          <w:p>
            <w:pPr>
              <w:keepNext w:val="0"/>
              <w:keepLines w:val="0"/>
              <w:pageBreakBefore w:val="0"/>
              <w:widowControl w:val="0"/>
              <w:kinsoku/>
              <w:wordWrap/>
              <w:overflowPunct w:val="0"/>
              <w:topLinePunct w:val="0"/>
              <w:autoSpaceDE/>
              <w:autoSpaceDN/>
              <w:bidi w:val="0"/>
              <w:adjustRightInd/>
              <w:snapToGrid/>
              <w:spacing w:before="156" w:beforeLines="50" w:line="300" w:lineRule="auto"/>
              <w:textAlignment w:val="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lang w:val="en-US" w:eastAsia="zh-CN"/>
                <w14:textFill>
                  <w14:solidFill>
                    <w14:schemeClr w14:val="tx1"/>
                  </w14:solidFill>
                </w14:textFill>
              </w:rPr>
              <w:t>六</w:t>
            </w:r>
            <w:r>
              <w:rPr>
                <w:rFonts w:ascii="宋体" w:hAnsi="宋体" w:eastAsia="宋体"/>
                <w:b/>
                <w:color w:val="000000" w:themeColor="text1"/>
                <w:szCs w:val="21"/>
                <w:highlight w:val="none"/>
                <w14:textFill>
                  <w14:solidFill>
                    <w14:schemeClr w14:val="tx1"/>
                  </w14:solidFill>
                </w14:textFill>
              </w:rPr>
              <w:t>、</w:t>
            </w:r>
            <w:r>
              <w:rPr>
                <w:rFonts w:hint="eastAsia" w:ascii="宋体" w:hAnsi="宋体" w:eastAsia="宋体"/>
                <w:b/>
                <w:color w:val="000000" w:themeColor="text1"/>
                <w:szCs w:val="21"/>
                <w:highlight w:val="none"/>
                <w14:textFill>
                  <w14:solidFill>
                    <w14:schemeClr w14:val="tx1"/>
                  </w14:solidFill>
                </w14:textFill>
              </w:rPr>
              <w:t>其它项目管理要求</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s="宋体"/>
                <w:color w:val="000000"/>
                <w:highlight w:val="none"/>
              </w:rPr>
            </w:pPr>
            <w:r>
              <w:rPr>
                <w:rFonts w:hint="eastAsia" w:ascii="宋体" w:hAnsi="宋体" w:cs="宋体"/>
                <w:color w:val="000000"/>
                <w:highlight w:val="none"/>
              </w:rPr>
              <w:t>（一）投标</w:t>
            </w:r>
            <w:r>
              <w:rPr>
                <w:rFonts w:hint="eastAsia" w:ascii="宋体" w:hAnsi="宋体" w:cs="宋体"/>
                <w:color w:val="000000"/>
                <w:highlight w:val="none"/>
                <w:lang w:val="en-US" w:eastAsia="zh-CN"/>
              </w:rPr>
              <w:t>人</w:t>
            </w:r>
            <w:r>
              <w:rPr>
                <w:rFonts w:hint="eastAsia" w:ascii="宋体" w:hAnsi="宋体" w:cs="宋体"/>
                <w:color w:val="000000"/>
                <w:highlight w:val="none"/>
              </w:rPr>
              <w:t>应确保文件中的人员信息真实、有效；</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s="宋体"/>
                <w:color w:val="000000"/>
                <w:highlight w:val="none"/>
                <w:lang w:val="en-US" w:eastAsia="zh-CN"/>
              </w:rPr>
            </w:pPr>
            <w:r>
              <w:rPr>
                <w:rFonts w:hint="eastAsia" w:ascii="宋体" w:hAnsi="宋体" w:cs="宋体"/>
                <w:color w:val="000000"/>
                <w:highlight w:val="none"/>
                <w:lang w:val="en-US" w:eastAsia="zh-CN"/>
              </w:rPr>
              <w:t>（二）中标方需安排课题组人员在龙华区全程跟进项目实施，并提供承诺函；</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s="宋体"/>
                <w:color w:val="000000"/>
                <w:highlight w:val="none"/>
              </w:rPr>
            </w:pPr>
            <w:r>
              <w:rPr>
                <w:rFonts w:hint="eastAsia" w:ascii="宋体" w:hAnsi="宋体" w:cs="宋体"/>
                <w:color w:val="000000"/>
                <w:highlight w:val="none"/>
              </w:rPr>
              <w:t>（</w:t>
            </w:r>
            <w:r>
              <w:rPr>
                <w:rFonts w:hint="eastAsia" w:ascii="宋体" w:hAnsi="宋体" w:cs="宋体"/>
                <w:color w:val="000000"/>
                <w:highlight w:val="none"/>
                <w:lang w:val="en-US" w:eastAsia="zh-CN"/>
              </w:rPr>
              <w:t>三</w:t>
            </w:r>
            <w:r>
              <w:rPr>
                <w:rFonts w:hint="eastAsia" w:ascii="宋体" w:hAnsi="宋体" w:cs="宋体"/>
                <w:color w:val="000000"/>
                <w:highlight w:val="none"/>
              </w:rPr>
              <w:t>）投标</w:t>
            </w:r>
            <w:r>
              <w:rPr>
                <w:rFonts w:hint="eastAsia" w:ascii="宋体" w:hAnsi="宋体" w:cs="宋体"/>
                <w:color w:val="000000"/>
                <w:highlight w:val="none"/>
                <w:lang w:val="en-US" w:eastAsia="zh-CN"/>
              </w:rPr>
              <w:t>人</w:t>
            </w:r>
            <w:r>
              <w:rPr>
                <w:rFonts w:hint="eastAsia" w:ascii="宋体" w:hAnsi="宋体" w:cs="宋体"/>
                <w:color w:val="000000"/>
                <w:highlight w:val="none"/>
              </w:rPr>
              <w:t>必须保守国家机密，不得泄漏采购方所提供的属国家秘密的信息和数据；未经采购方允许，不得使用或者以其它方式给任何第三方提供本项目的相关信息或数据；</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s="宋体" w:eastAsiaTheme="minorEastAsia"/>
                <w:color w:val="000000"/>
                <w:highlight w:val="none"/>
                <w:lang w:eastAsia="zh-CN"/>
              </w:rPr>
            </w:pPr>
            <w:r>
              <w:rPr>
                <w:rFonts w:hint="eastAsia" w:ascii="宋体" w:hAnsi="宋体" w:cs="宋体"/>
                <w:color w:val="000000"/>
                <w:highlight w:val="none"/>
              </w:rPr>
              <w:t>（</w:t>
            </w:r>
            <w:r>
              <w:rPr>
                <w:rFonts w:hint="eastAsia" w:ascii="宋体" w:hAnsi="宋体" w:cs="宋体"/>
                <w:color w:val="000000"/>
                <w:highlight w:val="none"/>
                <w:lang w:val="en-US" w:eastAsia="zh-CN"/>
              </w:rPr>
              <w:t>四</w:t>
            </w:r>
            <w:r>
              <w:rPr>
                <w:rFonts w:hint="eastAsia" w:ascii="宋体" w:hAnsi="宋体" w:cs="宋体"/>
                <w:color w:val="000000"/>
                <w:highlight w:val="none"/>
              </w:rPr>
              <w:t>）中标方不得将项目非法分包或转包给任何单位和个人，否则采购方有权即刻终止合同，并要求中标方赔偿相应损失</w:t>
            </w:r>
            <w:r>
              <w:rPr>
                <w:rFonts w:hint="eastAsia" w:ascii="宋体" w:hAnsi="宋体" w:cs="宋体"/>
                <w:color w:val="000000"/>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hint="eastAsia" w:ascii="宋体" w:hAnsi="宋体" w:cs="宋体" w:eastAsiaTheme="minorEastAsia"/>
                <w:color w:val="000000"/>
                <w:highlight w:val="none"/>
                <w:lang w:eastAsia="zh-CN"/>
              </w:rPr>
            </w:pPr>
            <w:r>
              <w:rPr>
                <w:rFonts w:hint="eastAsia" w:ascii="宋体" w:hAnsi="宋体" w:cs="宋体"/>
                <w:color w:val="000000"/>
                <w:highlight w:val="none"/>
              </w:rPr>
              <w:t>（</w:t>
            </w:r>
            <w:r>
              <w:rPr>
                <w:rFonts w:hint="eastAsia" w:ascii="宋体" w:hAnsi="宋体" w:cs="宋体"/>
                <w:color w:val="000000"/>
                <w:highlight w:val="none"/>
                <w:lang w:val="en-US" w:eastAsia="zh-CN"/>
              </w:rPr>
              <w:t>五</w:t>
            </w:r>
            <w:r>
              <w:rPr>
                <w:rFonts w:ascii="宋体" w:hAnsi="宋体" w:cs="宋体"/>
                <w:color w:val="000000"/>
                <w:highlight w:val="none"/>
              </w:rPr>
              <w:t>）</w:t>
            </w:r>
            <w:r>
              <w:rPr>
                <w:rFonts w:hint="eastAsia" w:ascii="宋体" w:hAnsi="宋体" w:cs="宋体"/>
                <w:color w:val="000000"/>
                <w:highlight w:val="none"/>
              </w:rPr>
              <w:t>投标人若认为招标文件的技术要求或其他要求有倾向性或不公正性，可在招标答疑阶段提出，答疑阶段未提出，则默认投标人已接受本项目招标文件的所有条款，开标后不得提出对招标条款的质疑，以维护招标行为的公平、公正</w:t>
            </w:r>
            <w:r>
              <w:rPr>
                <w:rFonts w:hint="eastAsia" w:ascii="宋体" w:hAnsi="宋体" w:cs="宋体"/>
                <w:color w:val="000000"/>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300" w:lineRule="auto"/>
              <w:ind w:firstLine="420" w:firstLineChars="200"/>
              <w:textAlignment w:val="auto"/>
              <w:rPr>
                <w:rFonts w:ascii="宋体" w:hAnsi="宋体" w:eastAsia="宋体" w:cs="宋体"/>
                <w:color w:val="000000" w:themeColor="text1"/>
                <w:highlight w:val="none"/>
                <w14:textFill>
                  <w14:solidFill>
                    <w14:schemeClr w14:val="tx1"/>
                  </w14:solidFill>
                </w14:textFill>
              </w:rPr>
            </w:pPr>
            <w:r>
              <w:rPr>
                <w:rFonts w:hint="eastAsia" w:ascii="宋体" w:hAnsi="宋体" w:cs="宋体"/>
                <w:color w:val="000000"/>
                <w:highlight w:val="none"/>
              </w:rPr>
              <w:t>（</w:t>
            </w:r>
            <w:r>
              <w:rPr>
                <w:rFonts w:hint="eastAsia" w:ascii="宋体" w:hAnsi="宋体" w:cs="宋体"/>
                <w:color w:val="000000"/>
                <w:highlight w:val="none"/>
                <w:lang w:val="en-US" w:eastAsia="zh-CN"/>
              </w:rPr>
              <w:t>六</w:t>
            </w:r>
            <w:r>
              <w:rPr>
                <w:rFonts w:ascii="宋体" w:hAnsi="宋体" w:cs="宋体"/>
                <w:color w:val="000000"/>
                <w:highlight w:val="none"/>
              </w:rPr>
              <w:t>）</w:t>
            </w:r>
            <w:r>
              <w:rPr>
                <w:rFonts w:hint="eastAsia" w:ascii="宋体" w:hAnsi="宋体" w:cs="宋体"/>
                <w:color w:val="000000"/>
                <w:highlight w:val="none"/>
              </w:rPr>
              <w:t>供应商须在法定质疑期内一次性提出针对同一采购程序环节的质疑。</w:t>
            </w:r>
          </w:p>
        </w:tc>
      </w:tr>
    </w:tbl>
    <w:p>
      <w:pPr>
        <w:rPr>
          <w:rFonts w:hint="eastAsia" w:ascii="仿宋" w:hAnsi="仿宋" w:eastAsia="仿宋" w:cs="Times New Roman"/>
          <w:color w:val="000000"/>
          <w:sz w:val="32"/>
          <w:szCs w:val="24"/>
        </w:rPr>
      </w:pPr>
      <w:r>
        <w:rPr>
          <w:rFonts w:hint="eastAsia" w:ascii="仿宋" w:hAnsi="仿宋" w:eastAsia="仿宋" w:cs="Times New Roman"/>
          <w:color w:val="000000"/>
          <w:sz w:val="32"/>
          <w:szCs w:val="24"/>
        </w:rPr>
        <w:br w:type="page"/>
      </w:r>
    </w:p>
    <w:p>
      <w:pPr>
        <w:spacing w:line="360" w:lineRule="auto"/>
        <w:jc w:val="left"/>
        <w:outlineLvl w:val="0"/>
        <w:rPr>
          <w:rFonts w:hint="eastAsia" w:ascii="黑体" w:hAnsi="黑体" w:eastAsia="黑体" w:cs="黑体"/>
          <w:color w:val="000000"/>
          <w:sz w:val="32"/>
          <w:szCs w:val="24"/>
        </w:rPr>
      </w:pPr>
      <w:r>
        <w:rPr>
          <w:rFonts w:hint="eastAsia" w:ascii="黑体" w:hAnsi="黑体" w:eastAsia="黑体" w:cs="黑体"/>
          <w:color w:val="000000"/>
          <w:sz w:val="32"/>
          <w:szCs w:val="24"/>
        </w:rPr>
        <w:t>附件</w:t>
      </w:r>
    </w:p>
    <w:p>
      <w:pPr>
        <w:spacing w:line="360" w:lineRule="auto"/>
        <w:jc w:val="center"/>
        <w:outlineLvl w:val="0"/>
        <w:rPr>
          <w:rFonts w:ascii="黑体" w:hAnsi="Calibri" w:eastAsia="黑体" w:cs="Times New Roman"/>
          <w:kern w:val="0"/>
          <w:sz w:val="44"/>
          <w:szCs w:val="44"/>
        </w:rPr>
      </w:pPr>
      <w:r>
        <w:rPr>
          <w:rFonts w:hint="eastAsia" w:ascii="黑体" w:hAnsi="Calibri" w:eastAsia="黑体" w:cs="Times New Roman"/>
          <w:kern w:val="0"/>
          <w:sz w:val="44"/>
          <w:szCs w:val="44"/>
        </w:rPr>
        <w:t>政府采购投标及履约承诺函</w:t>
      </w:r>
    </w:p>
    <w:p>
      <w:pPr>
        <w:jc w:val="center"/>
        <w:rPr>
          <w:rFonts w:ascii="Calibri" w:hAnsi="Calibri" w:eastAsia="宋体" w:cs="Times New Roman"/>
          <w:sz w:val="44"/>
          <w:szCs w:val="44"/>
        </w:rPr>
      </w:pPr>
    </w:p>
    <w:p>
      <w:pPr>
        <w:spacing w:line="560" w:lineRule="exact"/>
        <w:jc w:val="left"/>
        <w:rPr>
          <w:rFonts w:ascii="仿宋" w:hAnsi="仿宋" w:eastAsia="仿宋" w:cs="Times New Roman"/>
          <w:sz w:val="30"/>
          <w:szCs w:val="30"/>
        </w:rPr>
      </w:pPr>
      <w:r>
        <w:rPr>
          <w:rFonts w:hint="eastAsia" w:ascii="仿宋" w:hAnsi="仿宋" w:eastAsia="仿宋" w:cs="Times New Roman"/>
          <w:sz w:val="30"/>
          <w:szCs w:val="30"/>
        </w:rPr>
        <w:t>深圳市龙华区人民政府办公室：</w:t>
      </w:r>
    </w:p>
    <w:p>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jc w:val="left"/>
        <w:textAlignment w:val="auto"/>
        <w:rPr>
          <w:rFonts w:ascii="仿宋" w:hAnsi="仿宋" w:eastAsia="仿宋" w:cs="Times New Roman"/>
          <w:sz w:val="30"/>
          <w:szCs w:val="30"/>
        </w:rPr>
      </w:pPr>
      <w:r>
        <w:rPr>
          <w:rFonts w:hint="eastAsia" w:ascii="仿宋" w:hAnsi="仿宋" w:eastAsia="仿宋" w:cs="Times New Roman"/>
          <w:sz w:val="30"/>
          <w:szCs w:val="30"/>
        </w:rPr>
        <w:t>我单位深知本项目对贵</w:t>
      </w:r>
      <w:r>
        <w:rPr>
          <w:rFonts w:hint="eastAsia" w:ascii="仿宋" w:hAnsi="仿宋" w:eastAsia="仿宋" w:cs="Times New Roman"/>
          <w:sz w:val="30"/>
          <w:szCs w:val="30"/>
          <w:lang w:val="en-US" w:eastAsia="zh-CN"/>
        </w:rPr>
        <w:t>单位</w:t>
      </w:r>
      <w:r>
        <w:rPr>
          <w:rFonts w:hint="eastAsia" w:ascii="仿宋" w:hAnsi="仿宋" w:eastAsia="仿宋" w:cs="Times New Roman"/>
          <w:sz w:val="30"/>
          <w:szCs w:val="30"/>
        </w:rPr>
        <w:t>的重要性和紧迫性，亦了解贵</w:t>
      </w:r>
      <w:r>
        <w:rPr>
          <w:rFonts w:hint="eastAsia" w:ascii="仿宋" w:hAnsi="仿宋" w:eastAsia="仿宋" w:cs="Times New Roman"/>
          <w:sz w:val="30"/>
          <w:szCs w:val="30"/>
          <w:lang w:val="en-US" w:eastAsia="zh-CN"/>
        </w:rPr>
        <w:t>单位</w:t>
      </w:r>
      <w:r>
        <w:rPr>
          <w:rFonts w:hint="eastAsia" w:ascii="仿宋" w:hAnsi="仿宋" w:eastAsia="仿宋" w:cs="Times New Roman"/>
          <w:sz w:val="30"/>
          <w:szCs w:val="30"/>
        </w:rPr>
        <w:t>对廉政建设的相关要求，因此我单位承诺如下：</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1.我单位本招标项目所提供的货物或服务未侵犯知识产权。</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2.我单位参与本项目投标前三年内，在经营活动中没有违法记录。</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3.我单位参与本项目政府采购活动时不存在被有关部门禁止参与政府采购活动且在有效期内的情况。</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4.我单位具备《中华人民共和国政府采购法》第二十二条第一款的条件。</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5.我单位未被列入失信被执行人、税收违法案件当事人名单、政府采购严重违法失信行为记录名单。</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6.我单位参与该项目投标，严格遵循公平竞争的原则，不恶意串通，不妨碍其他投标人的竞争行为，不损害采购人或者其他投标人的合法权益。我单位已清楚，如违反上述要求，将作投标无效处理，并自动放弃贵</w:t>
      </w:r>
      <w:r>
        <w:rPr>
          <w:rFonts w:hint="eastAsia" w:ascii="仿宋" w:hAnsi="仿宋" w:eastAsia="仿宋" w:cs="Times New Roman"/>
          <w:sz w:val="30"/>
          <w:szCs w:val="30"/>
          <w:lang w:val="en-US" w:eastAsia="zh-CN"/>
        </w:rPr>
        <w:t>单位</w:t>
      </w:r>
      <w:r>
        <w:rPr>
          <w:rFonts w:hint="eastAsia" w:ascii="仿宋" w:hAnsi="仿宋" w:eastAsia="仿宋" w:cs="Times New Roman"/>
          <w:sz w:val="30"/>
          <w:szCs w:val="30"/>
        </w:rPr>
        <w:t>自本项目起所有采购项目的投标事宜。</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7.我单位如果中标，做到诚实守信，依照本项目招标文件需求内容、签署的采购合同及本单位在投标中所作的一切承诺履约。</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8.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9.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560" w:lineRule="exact"/>
        <w:ind w:firstLine="600" w:firstLineChars="200"/>
        <w:jc w:val="left"/>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10.我单位承诺不非法转包、分包。</w:t>
      </w:r>
    </w:p>
    <w:p>
      <w:pPr>
        <w:spacing w:line="560" w:lineRule="exact"/>
        <w:ind w:firstLine="600" w:firstLineChars="200"/>
        <w:jc w:val="left"/>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11.我单位承诺未参与本项目的采购需求、技术指标、商务指标等内容的设定，不存在对其他投标单位不公平的行为。</w:t>
      </w:r>
    </w:p>
    <w:p>
      <w:pPr>
        <w:spacing w:line="560" w:lineRule="exact"/>
        <w:ind w:firstLine="600" w:firstLineChars="200"/>
        <w:jc w:val="left"/>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1</w:t>
      </w:r>
      <w:r>
        <w:rPr>
          <w:rFonts w:hint="eastAsia" w:ascii="仿宋" w:hAnsi="仿宋" w:eastAsia="仿宋" w:cs="Times New Roman"/>
          <w:color w:val="000000" w:themeColor="text1"/>
          <w:sz w:val="30"/>
          <w:szCs w:val="30"/>
          <w:lang w:val="en-US" w:eastAsia="zh-CN"/>
          <w14:textFill>
            <w14:solidFill>
              <w14:schemeClr w14:val="tx1"/>
            </w14:solidFill>
          </w14:textFill>
        </w:rPr>
        <w:t>2</w:t>
      </w:r>
      <w:r>
        <w:rPr>
          <w:rFonts w:hint="eastAsia" w:ascii="仿宋" w:hAnsi="仿宋" w:eastAsia="仿宋" w:cs="Times New Roman"/>
          <w:color w:val="000000" w:themeColor="text1"/>
          <w:sz w:val="30"/>
          <w:szCs w:val="30"/>
          <w14:textFill>
            <w14:solidFill>
              <w14:schemeClr w14:val="tx1"/>
            </w14:solidFill>
          </w14:textFill>
        </w:rPr>
        <w:t>.我单位承诺不对采购人进行贿赂，进行有偿报答。</w:t>
      </w:r>
    </w:p>
    <w:p>
      <w:pPr>
        <w:spacing w:line="560" w:lineRule="exact"/>
        <w:ind w:firstLine="600" w:firstLineChars="200"/>
        <w:jc w:val="left"/>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1</w:t>
      </w:r>
      <w:r>
        <w:rPr>
          <w:rFonts w:hint="eastAsia" w:ascii="仿宋" w:hAnsi="仿宋" w:eastAsia="仿宋" w:cs="Times New Roman"/>
          <w:color w:val="000000" w:themeColor="text1"/>
          <w:sz w:val="30"/>
          <w:szCs w:val="30"/>
          <w:lang w:val="en-US" w:eastAsia="zh-CN"/>
          <w14:textFill>
            <w14:solidFill>
              <w14:schemeClr w14:val="tx1"/>
            </w14:solidFill>
          </w14:textFill>
        </w:rPr>
        <w:t>3</w:t>
      </w:r>
      <w:r>
        <w:rPr>
          <w:rFonts w:hint="eastAsia" w:ascii="仿宋" w:hAnsi="仿宋" w:eastAsia="仿宋" w:cs="Times New Roman"/>
          <w:color w:val="000000" w:themeColor="text1"/>
          <w:sz w:val="30"/>
          <w:szCs w:val="30"/>
          <w14:textFill>
            <w14:solidFill>
              <w14:schemeClr w14:val="tx1"/>
            </w14:solidFill>
          </w14:textFill>
        </w:rPr>
        <w:t>.我单位承诺不对采购人进行任何形式的利益输送。</w:t>
      </w:r>
    </w:p>
    <w:p>
      <w:pPr>
        <w:spacing w:line="560" w:lineRule="exact"/>
        <w:ind w:firstLine="600" w:firstLineChars="200"/>
        <w:jc w:val="left"/>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1</w:t>
      </w:r>
      <w:r>
        <w:rPr>
          <w:rFonts w:hint="eastAsia" w:ascii="仿宋" w:hAnsi="仿宋" w:eastAsia="仿宋" w:cs="Times New Roman"/>
          <w:color w:val="000000" w:themeColor="text1"/>
          <w:sz w:val="30"/>
          <w:szCs w:val="30"/>
          <w:lang w:val="en-US" w:eastAsia="zh-CN"/>
          <w14:textFill>
            <w14:solidFill>
              <w14:schemeClr w14:val="tx1"/>
            </w14:solidFill>
          </w14:textFill>
        </w:rPr>
        <w:t>4</w:t>
      </w:r>
      <w:r>
        <w:rPr>
          <w:rFonts w:hint="eastAsia" w:ascii="仿宋" w:hAnsi="仿宋" w:eastAsia="仿宋" w:cs="Times New Roman"/>
          <w:color w:val="000000" w:themeColor="text1"/>
          <w:sz w:val="30"/>
          <w:szCs w:val="30"/>
          <w14:textFill>
            <w14:solidFill>
              <w14:schemeClr w14:val="tx1"/>
            </w14:solidFill>
          </w14:textFill>
        </w:rPr>
        <w:t>.我单位承诺不对采购人进行宴请和娱乐等消费活动。</w:t>
      </w:r>
    </w:p>
    <w:p>
      <w:pPr>
        <w:spacing w:line="560" w:lineRule="exact"/>
        <w:ind w:firstLine="600" w:firstLineChars="200"/>
        <w:jc w:val="left"/>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1</w:t>
      </w:r>
      <w:r>
        <w:rPr>
          <w:rFonts w:hint="eastAsia" w:ascii="仿宋" w:hAnsi="仿宋" w:eastAsia="仿宋" w:cs="Times New Roman"/>
          <w:color w:val="000000" w:themeColor="text1"/>
          <w:sz w:val="30"/>
          <w:szCs w:val="30"/>
          <w:lang w:val="en-US" w:eastAsia="zh-CN"/>
          <w14:textFill>
            <w14:solidFill>
              <w14:schemeClr w14:val="tx1"/>
            </w14:solidFill>
          </w14:textFill>
        </w:rPr>
        <w:t>5</w:t>
      </w:r>
      <w:r>
        <w:rPr>
          <w:rFonts w:hint="eastAsia" w:ascii="仿宋" w:hAnsi="仿宋" w:eastAsia="仿宋" w:cs="Times New Roman"/>
          <w:color w:val="000000" w:themeColor="text1"/>
          <w:sz w:val="30"/>
          <w:szCs w:val="30"/>
          <w14:textFill>
            <w14:solidFill>
              <w14:schemeClr w14:val="tx1"/>
            </w14:solidFill>
          </w14:textFill>
        </w:rPr>
        <w:t>.我单位承诺不对采购人进行赠送各种礼品、现金、有价证券、中介费、好处费等行为。</w:t>
      </w:r>
    </w:p>
    <w:p>
      <w:pPr>
        <w:spacing w:line="560" w:lineRule="exact"/>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以上承诺，如有违反，愿依照国家相关法律处理，并承担由此给采购人带来的损失。</w:t>
      </w:r>
    </w:p>
    <w:p>
      <w:pPr>
        <w:spacing w:line="560" w:lineRule="exact"/>
        <w:ind w:firstLine="3750" w:firstLineChars="1250"/>
        <w:rPr>
          <w:rFonts w:ascii="仿宋" w:hAnsi="仿宋" w:eastAsia="仿宋" w:cs="Times New Roman"/>
          <w:sz w:val="30"/>
          <w:szCs w:val="30"/>
        </w:rPr>
      </w:pPr>
      <w:r>
        <w:rPr>
          <w:rFonts w:hint="eastAsia" w:ascii="仿宋" w:hAnsi="仿宋" w:eastAsia="仿宋" w:cs="Times New Roman"/>
          <w:sz w:val="30"/>
          <w:szCs w:val="30"/>
        </w:rPr>
        <w:t>承诺单位（公司）盖章：</w:t>
      </w:r>
    </w:p>
    <w:p>
      <w:pPr>
        <w:spacing w:line="560" w:lineRule="exact"/>
        <w:ind w:firstLine="600" w:firstLineChars="200"/>
        <w:rPr>
          <w:rFonts w:ascii="仿宋" w:hAnsi="仿宋" w:eastAsia="仿宋" w:cs="Times New Roman"/>
          <w:sz w:val="30"/>
          <w:szCs w:val="30"/>
        </w:rPr>
      </w:pPr>
      <w:r>
        <w:rPr>
          <w:rFonts w:hint="eastAsia" w:ascii="仿宋" w:hAnsi="仿宋" w:eastAsia="仿宋" w:cs="Times New Roman"/>
          <w:sz w:val="30"/>
          <w:szCs w:val="30"/>
        </w:rPr>
        <w:t xml:space="preserve">                         年   月   日 </w:t>
      </w:r>
    </w:p>
    <w:p>
      <w:pPr>
        <w:rPr>
          <w:rFonts w:hint="default" w:eastAsia="宋体"/>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5673E"/>
    <w:rsid w:val="0504258B"/>
    <w:rsid w:val="0AF63290"/>
    <w:rsid w:val="0BDD4606"/>
    <w:rsid w:val="108E540D"/>
    <w:rsid w:val="1D030884"/>
    <w:rsid w:val="24265B93"/>
    <w:rsid w:val="25F1C004"/>
    <w:rsid w:val="285F7024"/>
    <w:rsid w:val="381F20CA"/>
    <w:rsid w:val="3D993110"/>
    <w:rsid w:val="3D9F808C"/>
    <w:rsid w:val="3E30650D"/>
    <w:rsid w:val="411E7C5E"/>
    <w:rsid w:val="46BA7165"/>
    <w:rsid w:val="490A2057"/>
    <w:rsid w:val="4EFD1895"/>
    <w:rsid w:val="4F1F635F"/>
    <w:rsid w:val="4F6C904B"/>
    <w:rsid w:val="503F4907"/>
    <w:rsid w:val="51B22AE9"/>
    <w:rsid w:val="53FE1158"/>
    <w:rsid w:val="53FF1B1B"/>
    <w:rsid w:val="5DE7E7C6"/>
    <w:rsid w:val="647974AB"/>
    <w:rsid w:val="7BDD6516"/>
    <w:rsid w:val="7D5447D6"/>
    <w:rsid w:val="7F3A2B78"/>
    <w:rsid w:val="AFEF4B72"/>
    <w:rsid w:val="B5E96F88"/>
    <w:rsid w:val="BFEABBD0"/>
    <w:rsid w:val="CDFFDB82"/>
    <w:rsid w:val="E4E5A178"/>
    <w:rsid w:val="EBAC8C01"/>
    <w:rsid w:val="F9FFB504"/>
    <w:rsid w:val="FFA7FE5A"/>
    <w:rsid w:val="FFE7EAE1"/>
    <w:rsid w:val="FFEF5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5"/>
    <w:semiHidden/>
    <w:unhideWhenUsed/>
    <w:qFormat/>
    <w:uiPriority w:val="0"/>
    <w:pPr>
      <w:keepNext/>
      <w:keepLines/>
      <w:spacing w:before="120" w:after="120" w:line="360" w:lineRule="auto"/>
      <w:ind w:firstLine="200" w:firstLineChars="200"/>
      <w:outlineLvl w:val="1"/>
    </w:pPr>
    <w:rPr>
      <w:rFonts w:ascii="宋体" w:hAnsi="宋体" w:eastAsia="黑体"/>
      <w:b/>
      <w:bCs/>
      <w:sz w:val="32"/>
      <w:szCs w:val="22"/>
    </w:rPr>
  </w:style>
  <w:style w:type="paragraph" w:styleId="6">
    <w:name w:val="heading 3"/>
    <w:basedOn w:val="1"/>
    <w:next w:val="1"/>
    <w:link w:val="27"/>
    <w:semiHidden/>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link w:val="29"/>
    <w:qFormat/>
    <w:uiPriority w:val="0"/>
    <w:pPr>
      <w:ind w:left="222"/>
    </w:pPr>
    <w:rPr>
      <w:rFonts w:ascii="宋体" w:hAnsi="宋体" w:cs="宋体"/>
      <w:sz w:val="28"/>
      <w:szCs w:val="28"/>
      <w:lang w:val="zh-CN" w:bidi="zh-CN"/>
    </w:rPr>
  </w:style>
  <w:style w:type="paragraph" w:styleId="3">
    <w:name w:val="Title"/>
    <w:basedOn w:val="1"/>
    <w:next w:val="1"/>
    <w:link w:val="30"/>
    <w:qFormat/>
    <w:uiPriority w:val="0"/>
    <w:pPr>
      <w:spacing w:before="240" w:after="60"/>
      <w:jc w:val="center"/>
      <w:outlineLvl w:val="0"/>
    </w:pPr>
    <w:rPr>
      <w:rFonts w:ascii="Cambria" w:hAnsi="Cambria"/>
      <w:b/>
      <w:bCs/>
      <w:sz w:val="32"/>
      <w:szCs w:val="32"/>
    </w:rPr>
  </w:style>
  <w:style w:type="paragraph" w:styleId="5">
    <w:name w:val="Normal Indent"/>
    <w:basedOn w:val="1"/>
    <w:link w:val="28"/>
    <w:qFormat/>
    <w:uiPriority w:val="0"/>
    <w:pPr>
      <w:ind w:firstLine="420"/>
    </w:pPr>
    <w:rPr>
      <w:rFonts w:ascii="Times New Roman" w:hAnsi="Times New Roman" w:eastAsia="宋体" w:cs="Times New Roman"/>
      <w:szCs w:val="20"/>
    </w:rPr>
  </w:style>
  <w:style w:type="paragraph" w:styleId="7">
    <w:name w:val="annotation text"/>
    <w:basedOn w:val="1"/>
    <w:link w:val="24"/>
    <w:qFormat/>
    <w:uiPriority w:val="0"/>
    <w:pPr>
      <w:jc w:val="left"/>
    </w:pPr>
    <w:rPr>
      <w:szCs w:val="22"/>
    </w:rPr>
  </w:style>
  <w:style w:type="paragraph" w:styleId="8">
    <w:name w:val="Balloon Text"/>
    <w:basedOn w:val="1"/>
    <w:link w:val="23"/>
    <w:qFormat/>
    <w:uiPriority w:val="0"/>
    <w:rPr>
      <w:sz w:val="18"/>
      <w:szCs w:val="18"/>
    </w:rPr>
  </w:style>
  <w:style w:type="paragraph" w:styleId="9">
    <w:name w:val="footer"/>
    <w:basedOn w:val="1"/>
    <w:link w:val="21"/>
    <w:qFormat/>
    <w:uiPriority w:val="0"/>
    <w:pPr>
      <w:tabs>
        <w:tab w:val="center" w:pos="4153"/>
        <w:tab w:val="right" w:pos="8306"/>
      </w:tabs>
      <w:snapToGrid w:val="0"/>
      <w:jc w:val="left"/>
    </w:pPr>
    <w:rPr>
      <w:sz w:val="18"/>
      <w:szCs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7"/>
    <w:next w:val="7"/>
    <w:link w:val="25"/>
    <w:qFormat/>
    <w:uiPriority w:val="0"/>
    <w:rPr>
      <w:b/>
      <w:bCs/>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rFonts w:ascii="Times New Roman" w:hAnsi="Times New Roman" w:eastAsia="宋体" w:cs="Times New Roman"/>
      <w:b/>
      <w:bCs/>
    </w:rPr>
  </w:style>
  <w:style w:type="character" w:styleId="17">
    <w:name w:val="Emphasis"/>
    <w:basedOn w:val="15"/>
    <w:qFormat/>
    <w:uiPriority w:val="0"/>
    <w:rPr>
      <w:rFonts w:ascii="Times New Roman" w:hAnsi="Times New Roman" w:eastAsia="宋体" w:cs="Times New Roman"/>
      <w:i/>
      <w:iCs/>
    </w:rPr>
  </w:style>
  <w:style w:type="character" w:styleId="18">
    <w:name w:val="Hyperlink"/>
    <w:basedOn w:val="15"/>
    <w:qFormat/>
    <w:uiPriority w:val="0"/>
    <w:rPr>
      <w:rFonts w:ascii="Times New Roman" w:hAnsi="Times New Roman" w:eastAsia="宋体" w:cs="Times New Roman"/>
      <w:color w:val="0563C1" w:themeColor="hyperlink"/>
      <w:u w:val="single"/>
      <w14:textFill>
        <w14:solidFill>
          <w14:schemeClr w14:val="hlink"/>
        </w14:solidFill>
      </w14:textFill>
    </w:rPr>
  </w:style>
  <w:style w:type="character" w:styleId="19">
    <w:name w:val="annotation reference"/>
    <w:basedOn w:val="15"/>
    <w:qFormat/>
    <w:uiPriority w:val="0"/>
    <w:rPr>
      <w:rFonts w:ascii="Times New Roman" w:hAnsi="Times New Roman" w:eastAsia="宋体" w:cs="Times New Roman"/>
      <w:sz w:val="21"/>
      <w:szCs w:val="21"/>
    </w:rPr>
  </w:style>
  <w:style w:type="character" w:customStyle="1" w:styleId="20">
    <w:name w:val="页眉 Char"/>
    <w:basedOn w:val="15"/>
    <w:link w:val="10"/>
    <w:qFormat/>
    <w:uiPriority w:val="99"/>
    <w:rPr>
      <w:rFonts w:ascii="Times New Roman" w:hAnsi="Times New Roman" w:eastAsia="宋体" w:cs="Times New Roman"/>
      <w:sz w:val="18"/>
      <w:szCs w:val="18"/>
    </w:rPr>
  </w:style>
  <w:style w:type="character" w:customStyle="1" w:styleId="21">
    <w:name w:val="页脚 Char"/>
    <w:basedOn w:val="15"/>
    <w:link w:val="9"/>
    <w:qFormat/>
    <w:uiPriority w:val="0"/>
    <w:rPr>
      <w:rFonts w:ascii="Times New Roman" w:hAnsi="Times New Roman" w:eastAsia="宋体" w:cs="Times New Roman"/>
      <w:sz w:val="18"/>
      <w:szCs w:val="18"/>
    </w:rPr>
  </w:style>
  <w:style w:type="paragraph" w:styleId="22">
    <w:name w:val="List Paragraph"/>
    <w:basedOn w:val="1"/>
    <w:semiHidden/>
    <w:unhideWhenUsed/>
    <w:qFormat/>
    <w:uiPriority w:val="99"/>
    <w:pPr>
      <w:ind w:firstLine="420" w:firstLineChars="200"/>
    </w:pPr>
    <w:rPr>
      <w:szCs w:val="22"/>
    </w:rPr>
  </w:style>
  <w:style w:type="character" w:customStyle="1" w:styleId="23">
    <w:name w:val="批注框文本 Char"/>
    <w:basedOn w:val="15"/>
    <w:link w:val="8"/>
    <w:semiHidden/>
    <w:qFormat/>
    <w:uiPriority w:val="99"/>
    <w:rPr>
      <w:rFonts w:ascii="Times New Roman" w:hAnsi="Times New Roman" w:eastAsia="宋体" w:cs="Times New Roman"/>
      <w:sz w:val="18"/>
      <w:szCs w:val="18"/>
    </w:rPr>
  </w:style>
  <w:style w:type="character" w:customStyle="1" w:styleId="24">
    <w:name w:val="批注文字 Char"/>
    <w:basedOn w:val="15"/>
    <w:link w:val="7"/>
    <w:semiHidden/>
    <w:qFormat/>
    <w:uiPriority w:val="99"/>
    <w:rPr>
      <w:rFonts w:ascii="Times New Roman" w:hAnsi="Times New Roman" w:eastAsia="宋体" w:cs="Times New Roman"/>
    </w:rPr>
  </w:style>
  <w:style w:type="character" w:customStyle="1" w:styleId="25">
    <w:name w:val="批注主题 Char"/>
    <w:basedOn w:val="24"/>
    <w:link w:val="12"/>
    <w:semiHidden/>
    <w:qFormat/>
    <w:uiPriority w:val="99"/>
    <w:rPr>
      <w:b/>
      <w:bCs/>
    </w:rPr>
  </w:style>
  <w:style w:type="paragraph" w:styleId="26">
    <w:name w:val="No Spacing"/>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27">
    <w:name w:val="标题 3 Char"/>
    <w:basedOn w:val="15"/>
    <w:link w:val="6"/>
    <w:qFormat/>
    <w:uiPriority w:val="0"/>
    <w:rPr>
      <w:rFonts w:ascii="Times New Roman" w:hAnsi="Times New Roman" w:eastAsia="宋体" w:cs="Times New Roman"/>
      <w:b/>
      <w:bCs/>
      <w:sz w:val="32"/>
      <w:szCs w:val="32"/>
    </w:rPr>
  </w:style>
  <w:style w:type="character" w:customStyle="1" w:styleId="28">
    <w:name w:val="正文缩进 Char"/>
    <w:link w:val="5"/>
    <w:qFormat/>
    <w:uiPriority w:val="0"/>
    <w:rPr>
      <w:rFonts w:ascii="Times New Roman" w:hAnsi="Times New Roman" w:eastAsia="宋体" w:cs="Times New Roman"/>
      <w:szCs w:val="20"/>
    </w:rPr>
  </w:style>
  <w:style w:type="character" w:customStyle="1" w:styleId="29">
    <w:name w:val="正文文本 Char"/>
    <w:basedOn w:val="15"/>
    <w:link w:val="2"/>
    <w:qFormat/>
    <w:uiPriority w:val="0"/>
    <w:rPr>
      <w:rFonts w:ascii="宋体" w:hAnsi="宋体" w:eastAsia="宋体" w:cs="宋体"/>
      <w:sz w:val="28"/>
      <w:szCs w:val="28"/>
      <w:lang w:val="zh-CN" w:bidi="zh-CN"/>
    </w:rPr>
  </w:style>
  <w:style w:type="character" w:customStyle="1" w:styleId="30">
    <w:name w:val="标题 Char"/>
    <w:basedOn w:val="15"/>
    <w:link w:val="3"/>
    <w:qFormat/>
    <w:uiPriority w:val="10"/>
    <w:rPr>
      <w:rFonts w:ascii="Cambria" w:hAnsi="Cambria" w:eastAsia="宋体" w:cs="Times New Roman"/>
      <w:b/>
      <w:bCs/>
      <w:sz w:val="32"/>
      <w:szCs w:val="32"/>
    </w:rPr>
  </w:style>
  <w:style w:type="paragraph" w:customStyle="1" w:styleId="31">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32">
    <w:name w:val="PlainText"/>
    <w:qFormat/>
    <w:uiPriority w:val="0"/>
    <w:pPr>
      <w:widowControl w:val="0"/>
      <w:spacing w:line="560" w:lineRule="exact"/>
      <w:ind w:firstLine="880" w:firstLineChars="200"/>
      <w:jc w:val="both"/>
      <w:textAlignment w:val="baseline"/>
    </w:pPr>
    <w:rPr>
      <w:rFonts w:ascii="宋体" w:hAnsi="Calibri" w:eastAsia="仿宋_GB2312" w:cstheme="minorBidi"/>
      <w:kern w:val="2"/>
      <w:sz w:val="32"/>
      <w:szCs w:val="21"/>
      <w:lang w:val="en-US" w:eastAsia="zh-CN" w:bidi="ar-SA"/>
    </w:rPr>
  </w:style>
  <w:style w:type="character" w:customStyle="1" w:styleId="33">
    <w:name w:val="NormalCharacter"/>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503</Words>
  <Characters>2871</Characters>
  <Lines>23</Lines>
  <Paragraphs>6</Paragraphs>
  <TotalTime>0</TotalTime>
  <ScaleCrop>false</ScaleCrop>
  <LinksUpToDate>false</LinksUpToDate>
  <CharactersWithSpaces>3368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2022-04-23T02:55:00Z</dcterms:created>
  <dc:creator>OPT3050</dc:creator>
  <cp:lastModifiedBy>范洁</cp:lastModifiedBy>
  <cp:lastPrinted>2023-02-28T07:55:00Z</cp:lastPrinted>
  <dcterms:modified xsi:type="dcterms:W3CDTF">2026-06-09T10:16:32Z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4A0C5A67B9F5A518E094266AAAFB9859</vt:lpwstr>
  </property>
</Properties>
</file>