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val="0"/>
          <w:kern w:val="2"/>
          <w:sz w:val="44"/>
          <w:szCs w:val="44"/>
          <w:lang w:val="en-US" w:eastAsia="zh-CN" w:bidi="ar-SA"/>
        </w:rPr>
      </w:pPr>
      <w:r>
        <w:rPr>
          <w:rFonts w:hint="eastAsia" w:ascii="方正小标宋简体" w:hAnsi="方正小标宋简体" w:eastAsia="方正小标宋简体" w:cs="方正小标宋简体"/>
          <w:b w:val="0"/>
          <w:bCs w:val="0"/>
          <w:kern w:val="2"/>
          <w:sz w:val="44"/>
          <w:szCs w:val="44"/>
          <w:lang w:val="en-US" w:eastAsia="zh-CN" w:bidi="ar-SA"/>
        </w:rPr>
        <w:t>2026年深圳市“龙华杯”青少年篮球比赛</w:t>
      </w:r>
    </w:p>
    <w:p>
      <w:pPr>
        <w:spacing w:line="56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b w:val="0"/>
          <w:bCs w:val="0"/>
          <w:sz w:val="44"/>
          <w:szCs w:val="44"/>
          <w:lang w:val="en-US" w:eastAsia="zh-CN"/>
        </w:rPr>
        <w:t>项目</w:t>
      </w:r>
      <w:r>
        <w:rPr>
          <w:rFonts w:hint="eastAsia" w:ascii="方正小标宋简体" w:hAnsi="方正小标宋简体" w:eastAsia="方正小标宋简体" w:cs="方正小标宋简体"/>
          <w:sz w:val="44"/>
          <w:szCs w:val="44"/>
        </w:rPr>
        <w:t>需求书</w:t>
      </w:r>
    </w:p>
    <w:p>
      <w:pPr>
        <w:pStyle w:val="8"/>
        <w:spacing w:line="560" w:lineRule="exact"/>
        <w:jc w:val="center"/>
        <w:rPr>
          <w:rFonts w:ascii="方正小标宋简体" w:hAnsi="方正小标宋简体" w:eastAsia="方正小标宋简体" w:cs="方正小标宋简体"/>
          <w:spacing w:val="17"/>
          <w:sz w:val="44"/>
          <w:szCs w:val="44"/>
        </w:rPr>
      </w:pPr>
    </w:p>
    <w:p>
      <w:pPr>
        <w:numPr>
          <w:ilvl w:val="0"/>
          <w:numId w:val="1"/>
        </w:numPr>
        <w:tabs>
          <w:tab w:val="left" w:pos="1820"/>
        </w:tabs>
        <w:snapToGrid w:val="0"/>
        <w:spacing w:line="56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项目目标</w:t>
      </w:r>
    </w:p>
    <w:p>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eastAsia="仿宋_GB2312"/>
          <w:lang w:eastAsia="zh-CN"/>
        </w:rPr>
      </w:pPr>
      <w:r>
        <w:rPr>
          <w:rFonts w:hint="eastAsia" w:ascii="仿宋_GB2312" w:hAnsi="仿宋" w:eastAsia="仿宋_GB2312" w:cs="仿宋"/>
          <w:kern w:val="2"/>
          <w:sz w:val="32"/>
          <w:szCs w:val="32"/>
          <w:lang w:val="en-US" w:eastAsia="zh-CN" w:bidi="ar-SA"/>
        </w:rPr>
        <w:t>完成</w:t>
      </w:r>
      <w:r>
        <w:rPr>
          <w:rFonts w:hint="eastAsia" w:ascii="仿宋_GB2312" w:hAnsi="仿宋_GB2312" w:eastAsia="仿宋_GB2312" w:cs="仿宋_GB2312"/>
          <w:color w:val="000000"/>
          <w:kern w:val="0"/>
          <w:sz w:val="32"/>
          <w:szCs w:val="32"/>
          <w:lang w:val="en-US" w:eastAsia="zh-CN" w:bidi="ar"/>
        </w:rPr>
        <w:t>2026年深圳市“龙华杯”青少年篮球比赛</w:t>
      </w:r>
      <w:r>
        <w:rPr>
          <w:rFonts w:hint="eastAsia" w:ascii="仿宋_GB2312" w:hAnsi="仿宋" w:eastAsia="仿宋_GB2312" w:cs="仿宋"/>
          <w:kern w:val="2"/>
          <w:sz w:val="32"/>
          <w:szCs w:val="32"/>
          <w:lang w:val="en-US" w:eastAsia="zh-CN" w:bidi="ar-SA"/>
        </w:rPr>
        <w:t>落地执行。</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rPr>
        <w:t>二、</w:t>
      </w:r>
      <w:r>
        <w:rPr>
          <w:rFonts w:hint="eastAsia" w:ascii="黑体" w:hAnsi="黑体" w:eastAsia="黑体" w:cs="黑体"/>
          <w:bCs/>
          <w:sz w:val="32"/>
          <w:szCs w:val="32"/>
          <w:lang w:eastAsia="zh-CN"/>
        </w:rPr>
        <w:t>服务时间</w:t>
      </w:r>
    </w:p>
    <w:p>
      <w:pPr>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eastAsia" w:ascii="仿宋_GB2312" w:eastAsia="仿宋_GB2312"/>
          <w:sz w:val="32"/>
          <w:szCs w:val="32"/>
        </w:rPr>
      </w:pPr>
      <w:r>
        <w:rPr>
          <w:rFonts w:hint="default" w:ascii="仿宋_GB2312" w:eastAsia="仿宋_GB2312"/>
          <w:sz w:val="32"/>
          <w:szCs w:val="32"/>
          <w:lang w:val="en" w:eastAsia="zh-CN"/>
        </w:rPr>
        <w:t>202</w:t>
      </w:r>
      <w:r>
        <w:rPr>
          <w:rFonts w:hint="eastAsia" w:ascii="仿宋_GB2312" w:eastAsia="仿宋_GB2312"/>
          <w:sz w:val="32"/>
          <w:szCs w:val="32"/>
          <w:lang w:val="en-US" w:eastAsia="zh-CN"/>
        </w:rPr>
        <w:t>6</w:t>
      </w:r>
      <w:r>
        <w:rPr>
          <w:rFonts w:hint="default" w:ascii="仿宋_GB2312" w:eastAsia="仿宋_GB2312"/>
          <w:sz w:val="32"/>
          <w:szCs w:val="32"/>
          <w:lang w:val="en" w:eastAsia="zh-CN"/>
        </w:rPr>
        <w:t>年</w:t>
      </w:r>
      <w:r>
        <w:rPr>
          <w:rFonts w:hint="eastAsia" w:ascii="仿宋_GB2312" w:eastAsia="仿宋_GB2312"/>
          <w:sz w:val="32"/>
          <w:szCs w:val="32"/>
          <w:lang w:val="en-US" w:eastAsia="zh-CN"/>
        </w:rPr>
        <w:t>7-11</w:t>
      </w:r>
      <w:r>
        <w:rPr>
          <w:rFonts w:hint="default" w:ascii="仿宋_GB2312" w:eastAsia="仿宋_GB2312"/>
          <w:sz w:val="32"/>
          <w:szCs w:val="32"/>
          <w:lang w:val="en" w:eastAsia="zh-CN"/>
        </w:rPr>
        <w:t>月</w:t>
      </w:r>
      <w:r>
        <w:rPr>
          <w:rFonts w:hint="eastAsia" w:ascii="仿宋_GB2312" w:eastAsia="仿宋_GB2312"/>
          <w:sz w:val="32"/>
          <w:szCs w:val="32"/>
          <w:lang w:val="en" w:eastAsia="zh-CN"/>
        </w:rPr>
        <w:t>（</w:t>
      </w:r>
      <w:r>
        <w:rPr>
          <w:rFonts w:hint="eastAsia" w:ascii="仿宋_GB2312" w:eastAsia="仿宋_GB2312"/>
          <w:sz w:val="32"/>
          <w:szCs w:val="32"/>
          <w:lang w:val="en-US" w:eastAsia="zh-CN"/>
        </w:rPr>
        <w:t>暂定</w:t>
      </w:r>
      <w:r>
        <w:rPr>
          <w:rFonts w:hint="eastAsia" w:ascii="仿宋_GB2312" w:eastAsia="仿宋_GB2312"/>
          <w:sz w:val="32"/>
          <w:szCs w:val="32"/>
          <w:lang w:eastAsia="zh-CN"/>
        </w:rPr>
        <w:t>）</w:t>
      </w:r>
    </w:p>
    <w:p>
      <w:pPr>
        <w:tabs>
          <w:tab w:val="left" w:pos="1820"/>
        </w:tabs>
        <w:snapToGrid w:val="0"/>
        <w:spacing w:line="560" w:lineRule="exact"/>
        <w:ind w:firstLine="640" w:firstLineChars="200"/>
        <w:rPr>
          <w:rFonts w:ascii="黑体" w:hAnsi="黑体" w:eastAsia="黑体" w:cs="黑体"/>
          <w:bCs/>
          <w:sz w:val="32"/>
          <w:szCs w:val="32"/>
        </w:rPr>
      </w:pPr>
      <w:r>
        <w:rPr>
          <w:rFonts w:hint="eastAsia" w:ascii="黑体" w:hAnsi="黑体" w:eastAsia="黑体" w:cs="黑体"/>
          <w:bCs/>
          <w:sz w:val="32"/>
          <w:szCs w:val="32"/>
        </w:rPr>
        <w:t>三、</w:t>
      </w:r>
      <w:bookmarkStart w:id="0" w:name="OLE_LINK2"/>
      <w:r>
        <w:rPr>
          <w:rFonts w:hint="eastAsia" w:ascii="黑体" w:hAnsi="黑体" w:eastAsia="黑体" w:cs="黑体"/>
          <w:bCs/>
          <w:sz w:val="32"/>
          <w:szCs w:val="32"/>
        </w:rPr>
        <w:t>项目内容及要求</w:t>
      </w:r>
      <w:bookmarkEnd w:id="0"/>
    </w:p>
    <w:p>
      <w:p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（一）项目内容</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为深化体教融合、完善全民健身公共服务体系、促进青少年健康成长，为龙华区内青少年篮球爱好者搭建专业竞技与交流平台，营造青少年体育发展良好氛围，推动龙华区青少年篮球事业发展，计划于2026年7月—11月开展2026年深圳市“龙华杯”青少年篮球比赛，赛事采用小组赛+淘汰赛的专业赛制，核心环节涵盖全流程赛事组织执行、竞赛编排、赛事保障、颁奖仪式等。</w:t>
      </w:r>
    </w:p>
    <w:p>
      <w:pPr>
        <w:numPr>
          <w:ilvl w:val="0"/>
          <w:numId w:val="2"/>
        </w:numPr>
        <w:spacing w:line="560" w:lineRule="exact"/>
        <w:ind w:firstLine="640" w:firstLineChars="200"/>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具体要求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1.制定2026年深圳市“龙华杯”青少年篮球比赛具体实施方案和报价单；</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2.负责赛事场地布置、宣传海报、横幅设计、物料制作等工作；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3.负责赛事全流程落地执行，涵盖人员调配、现场运营、赛事组织、竞赛编排等全环节；</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4.负责聘请裁判、主持、医疗、摄影摄像等各类专业工作人员并统筹调配；</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5.负责赛事保障、器材采购/租赁、工作餐饮、宣传推广等全品类物资与服务保障；</w:t>
      </w:r>
    </w:p>
    <w:p>
      <w:pPr>
        <w:pStyle w:val="8"/>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6.负责主办方交办的其他事项。</w:t>
      </w:r>
    </w:p>
    <w:p>
      <w:pPr>
        <w:tabs>
          <w:tab w:val="left" w:pos="1820"/>
        </w:tabs>
        <w:snapToGrid w:val="0"/>
        <w:spacing w:line="560" w:lineRule="exact"/>
        <w:ind w:firstLine="640" w:firstLineChars="200"/>
        <w:rPr>
          <w:rFonts w:hint="eastAsia" w:ascii="黑体" w:hAnsi="黑体" w:eastAsia="黑体" w:cs="黑体"/>
          <w:bCs/>
          <w:sz w:val="32"/>
          <w:szCs w:val="32"/>
          <w:lang w:eastAsia="zh-CN"/>
        </w:rPr>
      </w:pPr>
      <w:r>
        <w:rPr>
          <w:rFonts w:hint="eastAsia" w:ascii="黑体" w:hAnsi="黑体" w:eastAsia="黑体" w:cs="黑体"/>
          <w:bCs/>
          <w:sz w:val="32"/>
          <w:szCs w:val="32"/>
          <w:lang w:eastAsia="zh-CN"/>
        </w:rPr>
        <w:t>四、报价限额</w:t>
      </w:r>
    </w:p>
    <w:p>
      <w:pPr>
        <w:spacing w:line="560" w:lineRule="exact"/>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6"/>
          <w:lang w:val="en-US" w:eastAsia="zh-CN"/>
        </w:rPr>
        <w:t>25</w:t>
      </w:r>
      <w:r>
        <w:rPr>
          <w:rFonts w:hint="eastAsia" w:ascii="仿宋_GB2312" w:hAnsi="仿宋_GB2312" w:eastAsia="仿宋_GB2312" w:cs="仿宋_GB2312"/>
          <w:sz w:val="32"/>
          <w:szCs w:val="36"/>
          <w:lang w:eastAsia="zh-CN"/>
        </w:rPr>
        <w:t>万元，</w:t>
      </w:r>
      <w:r>
        <w:rPr>
          <w:rFonts w:hint="eastAsia" w:ascii="仿宋_GB2312" w:hAnsi="仿宋_GB2312" w:eastAsia="仿宋_GB2312" w:cs="仿宋_GB2312"/>
          <w:b/>
          <w:bCs/>
          <w:sz w:val="32"/>
          <w:szCs w:val="32"/>
          <w:lang w:eastAsia="zh-CN"/>
        </w:rPr>
        <w:t>项目报价表</w:t>
      </w:r>
      <w:r>
        <w:rPr>
          <w:rFonts w:hint="eastAsia" w:ascii="仿宋_GB2312" w:hAnsi="仿宋_GB2312" w:eastAsia="仿宋_GB2312" w:cs="仿宋_GB2312"/>
          <w:sz w:val="32"/>
          <w:szCs w:val="32"/>
        </w:rPr>
        <w:t>需</w:t>
      </w:r>
      <w:r>
        <w:rPr>
          <w:rFonts w:hint="eastAsia" w:ascii="仿宋_GB2312" w:hAnsi="仿宋_GB2312" w:eastAsia="仿宋_GB2312" w:cs="仿宋_GB2312"/>
          <w:sz w:val="32"/>
          <w:szCs w:val="32"/>
          <w:lang w:eastAsia="zh-CN"/>
        </w:rPr>
        <w:t>与下表</w:t>
      </w:r>
      <w:r>
        <w:rPr>
          <w:rFonts w:hint="eastAsia" w:ascii="仿宋_GB2312" w:hAnsi="仿宋_GB2312" w:eastAsia="仿宋_GB2312" w:cs="仿宋_GB2312"/>
          <w:sz w:val="32"/>
          <w:szCs w:val="32"/>
        </w:rPr>
        <w:t>保持一致</w:t>
      </w:r>
      <w:r>
        <w:rPr>
          <w:rFonts w:hint="eastAsia" w:ascii="仿宋_GB2312" w:hAnsi="仿宋_GB2312" w:eastAsia="仿宋_GB2312" w:cs="仿宋_GB2312"/>
          <w:sz w:val="32"/>
          <w:szCs w:val="32"/>
          <w:lang w:eastAsia="zh-CN"/>
        </w:rPr>
        <w:t>：</w:t>
      </w:r>
    </w:p>
    <w:tbl>
      <w:tblPr>
        <w:tblStyle w:val="12"/>
        <w:tblW w:w="852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63"/>
        <w:gridCol w:w="1083"/>
        <w:gridCol w:w="5804"/>
        <w:gridCol w:w="693"/>
        <w:gridCol w:w="37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bCs/>
                <w:i w:val="0"/>
                <w:iCs w:val="0"/>
                <w:color w:val="000000"/>
                <w:sz w:val="40"/>
                <w:szCs w:val="40"/>
                <w:u w:val="none"/>
              </w:rPr>
            </w:pPr>
            <w:r>
              <w:rPr>
                <w:rFonts w:hint="eastAsia" w:ascii="宋体" w:hAnsi="宋体" w:eastAsia="宋体" w:cs="宋体"/>
                <w:b/>
                <w:bCs/>
                <w:i w:val="0"/>
                <w:iCs w:val="0"/>
                <w:color w:val="000000"/>
                <w:kern w:val="0"/>
                <w:sz w:val="40"/>
                <w:szCs w:val="40"/>
                <w:u w:val="none"/>
                <w:lang w:val="en-US" w:eastAsia="zh-CN" w:bidi="ar"/>
              </w:rPr>
              <w:t>2026年深圳市“龙华杯”青少年篮球比赛报价单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tblHeader/>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序号</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项目</w:t>
            </w:r>
          </w:p>
        </w:tc>
        <w:tc>
          <w:tcPr>
            <w:tcW w:w="5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内容说明</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数量</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单位</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一、奖杯、奖牌、证书制作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奖杯</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4个组别；各组别前3名，3×4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12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奖牌</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4个组别；前4名  4×4×15 （每队15人）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240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奖状证书</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优秀教练员证书（各组前3名队伍，4×3）；各组别前4名的运动员 4×4×15，备用证书8张</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260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牌匾</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体育道德风尚奖   各组3名 3×4</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12 </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二、工作人员费用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比赛用水（25箱/天；16天，含裁判员、工作人员、运动员、教练、领队等）</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400</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箱</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工作用餐（21份/天，16天午餐；21人，含裁判16人、工作人员5人）</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default" w:ascii="微软雅黑" w:hAnsi="微软雅黑" w:eastAsia="微软雅黑" w:cs="微软雅黑"/>
                <w:i w:val="0"/>
                <w:iCs w:val="0"/>
                <w:color w:val="000000"/>
                <w:sz w:val="20"/>
                <w:szCs w:val="20"/>
                <w:u w:val="none"/>
                <w:lang w:val="en-US"/>
              </w:rPr>
            </w:pPr>
            <w:r>
              <w:rPr>
                <w:rFonts w:hint="eastAsia" w:ascii="微软雅黑" w:hAnsi="微软雅黑" w:eastAsia="微软雅黑" w:cs="微软雅黑"/>
                <w:i w:val="0"/>
                <w:iCs w:val="0"/>
                <w:color w:val="000000"/>
                <w:kern w:val="0"/>
                <w:sz w:val="20"/>
                <w:szCs w:val="20"/>
                <w:u w:val="none"/>
                <w:lang w:val="en-US" w:eastAsia="zh-CN" w:bidi="ar"/>
              </w:rPr>
              <w:t>336</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7</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竞赛编排与统筹</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2人，前期报名、竞赛编排、抽签、比赛成绩统计、赛事组织等工作，工作16天</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裁判长劳务费</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每天1名裁判长，16天</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9</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裁判员劳务费</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每天15名裁判（3人执裁+2人记录台，3片场地），16天</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240</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工作人员劳务费</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每天5名工作人员，16天</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80</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11</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医疗人员</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2名医疗人员加急救物资 250元/人/天，16天</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32</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12</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主持人</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颁奖仪式主持人，1天</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摄影人员</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每天1名摄影人员（含照片直播平台搭建）,16天</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赛事mc</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 xml:space="preserve">决赛2天  </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b/>
                <w:bCs/>
                <w:i w:val="0"/>
                <w:iCs w:val="0"/>
                <w:color w:val="000000"/>
                <w:sz w:val="20"/>
                <w:szCs w:val="20"/>
                <w:u w:val="none"/>
              </w:rPr>
            </w:pPr>
            <w:r>
              <w:rPr>
                <w:rFonts w:hint="eastAsia" w:ascii="微软雅黑" w:hAnsi="微软雅黑" w:eastAsia="微软雅黑" w:cs="微软雅黑"/>
                <w:b/>
                <w:bCs/>
                <w:i w:val="0"/>
                <w:iCs w:val="0"/>
                <w:color w:val="000000"/>
                <w:kern w:val="0"/>
                <w:sz w:val="20"/>
                <w:szCs w:val="20"/>
                <w:u w:val="none"/>
                <w:lang w:val="en-US" w:eastAsia="zh-CN" w:bidi="ar"/>
              </w:rPr>
              <w:t>三、其他项目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秩序册</w:t>
            </w:r>
          </w:p>
        </w:tc>
        <w:tc>
          <w:tcPr>
            <w:tcW w:w="5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排版印刷赛事秩序册</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100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本</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10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场地布置</w:t>
            </w:r>
          </w:p>
        </w:tc>
        <w:tc>
          <w:tcPr>
            <w:tcW w:w="5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背景板3m*10m（框架搭建）、颁奖台</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17</w:t>
            </w:r>
          </w:p>
        </w:tc>
        <w:tc>
          <w:tcPr>
            <w:tcW w:w="10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5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A字板、海报、横幅、音箱、指示牌、手举牌、成绩公告栏等含搭建布置</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18</w:t>
            </w:r>
          </w:p>
        </w:tc>
        <w:tc>
          <w:tcPr>
            <w:tcW w:w="1083"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体育用品</w:t>
            </w:r>
          </w:p>
        </w:tc>
        <w:tc>
          <w:tcPr>
            <w:tcW w:w="5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比赛用球</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40</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19</w:t>
            </w:r>
          </w:p>
        </w:tc>
        <w:tc>
          <w:tcPr>
            <w:tcW w:w="1083" w:type="dxa"/>
            <w:vMerge w:val="continue"/>
            <w:tcBorders>
              <w:top w:val="nil"/>
              <w:left w:val="single" w:color="000000" w:sz="4" w:space="0"/>
              <w:bottom w:val="single" w:color="000000" w:sz="4" w:space="0"/>
              <w:right w:val="single" w:color="000000" w:sz="4" w:space="0"/>
            </w:tcBorders>
            <w:shd w:val="clear" w:color="auto" w:fill="auto"/>
            <w:vAlign w:val="center"/>
          </w:tcPr>
          <w:p>
            <w:pPr>
              <w:snapToGrid w:val="0"/>
              <w:ind w:left="0" w:leftChars="0" w:right="0" w:rightChars="0" w:firstLine="0" w:firstLineChars="0"/>
              <w:jc w:val="center"/>
              <w:rPr>
                <w:rFonts w:hint="eastAsia" w:ascii="微软雅黑" w:hAnsi="微软雅黑" w:eastAsia="微软雅黑" w:cs="微软雅黑"/>
                <w:i w:val="0"/>
                <w:iCs w:val="0"/>
                <w:color w:val="000000"/>
                <w:sz w:val="20"/>
                <w:szCs w:val="20"/>
                <w:u w:val="none"/>
              </w:rPr>
            </w:pPr>
          </w:p>
        </w:tc>
        <w:tc>
          <w:tcPr>
            <w:tcW w:w="5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哨子、比分牌租赁、赛事器具等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20</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w:t>
            </w:r>
          </w:p>
        </w:tc>
        <w:tc>
          <w:tcPr>
            <w:tcW w:w="58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物料运输（背景板框架、赛事所需器具等），共8趟</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8</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21</w:t>
            </w:r>
          </w:p>
        </w:tc>
        <w:tc>
          <w:tcPr>
            <w:tcW w:w="108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宣传费</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赛事报道、总结，稿件600-1000字以内</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22</w:t>
            </w:r>
          </w:p>
        </w:tc>
        <w:tc>
          <w:tcPr>
            <w:tcW w:w="1083"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赛事设计费</w:t>
            </w:r>
          </w:p>
        </w:tc>
        <w:tc>
          <w:tcPr>
            <w:tcW w:w="5804"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设计（背景板、奖杯、奖牌、牌匾、证书、场地A字板、横幅、海报等）</w:t>
            </w:r>
          </w:p>
        </w:tc>
        <w:tc>
          <w:tcPr>
            <w:tcW w:w="6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23</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喷雾机</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6台喷雾机、用于颁奖仪式（租赁）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6</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24</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小篮球架</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16天含运输费 （租赁）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16</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天</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25</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地面LED</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长LED：长9.6m*高0.96m分辨率:3200*320</w:t>
            </w:r>
            <w:r>
              <w:rPr>
                <w:rFonts w:hint="eastAsia" w:ascii="微软雅黑" w:hAnsi="微软雅黑" w:eastAsia="微软雅黑" w:cs="微软雅黑"/>
                <w:i w:val="0"/>
                <w:iCs w:val="0"/>
                <w:color w:val="000000"/>
                <w:kern w:val="0"/>
                <w:sz w:val="20"/>
                <w:szCs w:val="20"/>
                <w:u w:val="none"/>
                <w:lang w:val="en-US" w:eastAsia="zh-CN" w:bidi="ar"/>
              </w:rPr>
              <w:br w:type="textWrapping"/>
            </w:r>
            <w:r>
              <w:rPr>
                <w:rFonts w:hint="eastAsia" w:ascii="微软雅黑" w:hAnsi="微软雅黑" w:eastAsia="微软雅黑" w:cs="微软雅黑"/>
                <w:i w:val="0"/>
                <w:iCs w:val="0"/>
                <w:color w:val="000000"/>
                <w:kern w:val="0"/>
                <w:sz w:val="20"/>
                <w:szCs w:val="20"/>
                <w:u w:val="none"/>
                <w:lang w:val="en-US" w:eastAsia="zh-CN" w:bidi="ar"/>
              </w:rPr>
              <w:t>短LED：长3.84m*高0.96m分辨率:1280*320，含来回运费及安装（租赁）</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5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26</w:t>
            </w:r>
          </w:p>
        </w:tc>
        <w:tc>
          <w:tcPr>
            <w:tcW w:w="10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门型架</w:t>
            </w:r>
          </w:p>
        </w:tc>
        <w:tc>
          <w:tcPr>
            <w:tcW w:w="58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车贴裱KT板：桁架6*4m(内空4*3m)，含安装及来回运输</w:t>
            </w:r>
          </w:p>
        </w:tc>
        <w:tc>
          <w:tcPr>
            <w:tcW w:w="69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left"/>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1</w:t>
            </w:r>
          </w:p>
        </w:tc>
        <w:tc>
          <w:tcPr>
            <w:tcW w:w="37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0"/>
                <w:szCs w:val="20"/>
                <w:u w:val="none"/>
              </w:rPr>
            </w:pPr>
            <w:r>
              <w:rPr>
                <w:rFonts w:hint="eastAsia" w:ascii="微软雅黑" w:hAnsi="微软雅黑" w:eastAsia="微软雅黑" w:cs="微软雅黑"/>
                <w:i w:val="0"/>
                <w:iCs w:val="0"/>
                <w:color w:val="000000"/>
                <w:kern w:val="0"/>
                <w:sz w:val="20"/>
                <w:szCs w:val="20"/>
                <w:u w:val="none"/>
                <w:lang w:val="en-US" w:eastAsia="zh-CN" w:bidi="ar"/>
              </w:rPr>
              <w:t>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0" w:hRule="atLeast"/>
          <w:jc w:val="center"/>
        </w:trPr>
        <w:tc>
          <w:tcPr>
            <w:tcW w:w="852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napToGrid w:val="0"/>
              <w:ind w:left="0" w:leftChars="0" w:right="0" w:rightChars="0" w:firstLine="0" w:firstLineChars="0"/>
              <w:jc w:val="center"/>
              <w:textAlignment w:val="center"/>
              <w:rPr>
                <w:rFonts w:hint="eastAsia" w:ascii="微软雅黑" w:hAnsi="微软雅黑" w:eastAsia="微软雅黑" w:cs="微软雅黑"/>
                <w:i w:val="0"/>
                <w:iCs w:val="0"/>
                <w:color w:val="000000"/>
                <w:sz w:val="24"/>
                <w:szCs w:val="24"/>
                <w:u w:val="none"/>
              </w:rPr>
            </w:pPr>
            <w:r>
              <w:rPr>
                <w:rFonts w:hint="eastAsia" w:ascii="微软雅黑" w:hAnsi="微软雅黑" w:eastAsia="微软雅黑" w:cs="微软雅黑"/>
                <w:i w:val="0"/>
                <w:iCs w:val="0"/>
                <w:color w:val="000000"/>
                <w:kern w:val="0"/>
                <w:sz w:val="24"/>
                <w:szCs w:val="24"/>
                <w:u w:val="none"/>
                <w:lang w:val="en-US" w:eastAsia="zh-CN" w:bidi="ar"/>
              </w:rPr>
              <w:t>投标价格（万元）：</w:t>
            </w:r>
            <w:r>
              <w:rPr>
                <w:rFonts w:hint="eastAsia" w:ascii="微软雅黑" w:hAnsi="微软雅黑" w:eastAsia="微软雅黑" w:cs="微软雅黑"/>
                <w:i w:val="0"/>
                <w:iCs w:val="0"/>
                <w:color w:val="000000"/>
                <w:kern w:val="0"/>
                <w:sz w:val="24"/>
                <w:szCs w:val="24"/>
                <w:u w:val="single"/>
                <w:lang w:val="en-US" w:eastAsia="zh-CN" w:bidi="ar"/>
              </w:rPr>
              <w:t xml:space="preserve">                 </w:t>
            </w:r>
            <w:r>
              <w:rPr>
                <w:rFonts w:hint="eastAsia" w:ascii="微软雅黑" w:hAnsi="微软雅黑" w:eastAsia="微软雅黑" w:cs="微软雅黑"/>
                <w:i w:val="0"/>
                <w:iCs w:val="0"/>
                <w:color w:val="000000"/>
                <w:kern w:val="0"/>
                <w:sz w:val="24"/>
                <w:szCs w:val="24"/>
                <w:u w:val="none"/>
                <w:lang w:val="en-US" w:eastAsia="zh-CN" w:bidi="ar"/>
              </w:rPr>
              <w:t xml:space="preserve"> （以万元为单位，最多保留两位小数）</w:t>
            </w:r>
          </w:p>
        </w:tc>
      </w:tr>
    </w:tbl>
    <w:p>
      <w:pPr>
        <w:spacing w:line="560" w:lineRule="exact"/>
        <w:ind w:firstLine="640" w:firstLineChars="200"/>
        <w:rPr>
          <w:rFonts w:ascii="仿宋_GB2312" w:hAnsi="仿宋_GB2312" w:eastAsia="仿宋_GB2312" w:cs="仿宋_GB2312"/>
          <w:sz w:val="32"/>
          <w:szCs w:val="32"/>
        </w:rPr>
      </w:pPr>
      <w:r>
        <w:rPr>
          <w:rFonts w:hint="eastAsia" w:ascii="黑体" w:hAnsi="黑体" w:eastAsia="黑体" w:cs="黑体"/>
          <w:bCs/>
          <w:sz w:val="32"/>
          <w:szCs w:val="32"/>
        </w:rPr>
        <w:t>五、</w:t>
      </w:r>
      <w:r>
        <w:rPr>
          <w:rFonts w:hint="eastAsia" w:ascii="黑体" w:hAnsi="黑体" w:eastAsia="黑体" w:cs="黑体"/>
          <w:sz w:val="32"/>
          <w:szCs w:val="32"/>
        </w:rPr>
        <w:t>供应商的资质要求</w:t>
      </w:r>
    </w:p>
    <w:p>
      <w:pPr>
        <w:pStyle w:val="15"/>
        <w:spacing w:line="560" w:lineRule="exact"/>
        <w:ind w:firstLine="640"/>
        <w:rPr>
          <w:rFonts w:ascii="仿宋_GB2312" w:hAnsi="仿宋" w:eastAsia="仿宋_GB2312" w:cs="仿宋"/>
          <w:sz w:val="32"/>
          <w:szCs w:val="32"/>
        </w:rPr>
      </w:pPr>
      <w:r>
        <w:rPr>
          <w:rFonts w:hint="eastAsia" w:ascii="仿宋_GB2312" w:hAnsi="仿宋" w:eastAsia="仿宋_GB2312" w:cs="仿宋"/>
          <w:sz w:val="32"/>
          <w:szCs w:val="32"/>
        </w:rPr>
        <w:t>（一）在中国境内注册的独立法人或其他组织（提供营业执照、事业法人证书、社会团体法人登记证书等扫描件）；</w:t>
      </w:r>
      <w:r>
        <w:rPr>
          <w:rFonts w:hint="eastAsia" w:ascii="仿宋_GB2312" w:hAnsi="仿宋" w:eastAsia="仿宋_GB2312" w:cs="仿宋"/>
          <w:bCs/>
          <w:kern w:val="2"/>
          <w:sz w:val="32"/>
          <w:szCs w:val="32"/>
          <w:lang w:val="en-US" w:eastAsia="zh-CN" w:bidi="ar-SA"/>
        </w:rPr>
        <w:t>总公司或者分公司只允许一家投标，不允许同时参与本项目投标，分公司参与投标的，须提供总公司或具有独立法人的上一级公司出具的愿为其参与本项目投标的行为以及履约等行为承担民事责任的加盖总公司公章的授权函，以及提供总、分公司的营业执照扫描件；</w:t>
      </w:r>
    </w:p>
    <w:p>
      <w:pPr>
        <w:pStyle w:val="15"/>
        <w:spacing w:line="560" w:lineRule="exact"/>
        <w:ind w:firstLine="640"/>
        <w:jc w:val="left"/>
        <w:rPr>
          <w:rFonts w:hint="eastAsia" w:ascii="仿宋_GB2312" w:hAnsi="仿宋" w:eastAsia="仿宋_GB2312" w:cs="仿宋"/>
          <w:sz w:val="32"/>
          <w:szCs w:val="32"/>
          <w:lang w:eastAsia="zh-CN"/>
        </w:rPr>
      </w:pPr>
      <w:r>
        <w:rPr>
          <w:rFonts w:hint="eastAsia" w:ascii="仿宋_GB2312" w:hAnsi="仿宋" w:eastAsia="仿宋_GB2312" w:cs="仿宋"/>
          <w:sz w:val="32"/>
          <w:szCs w:val="32"/>
        </w:rPr>
        <w:t>（二）参与本项目投标近三年内（供应商成立不足三年的可从成立之日起算），在经营活动中没有重大违法记录以及不存在被有关部门禁止参与政府采购活动且在有效期内的情况</w:t>
      </w:r>
      <w:r>
        <w:rPr>
          <w:rFonts w:hint="eastAsia" w:ascii="仿宋_GB2312" w:hAnsi="仿宋" w:cs="仿宋"/>
          <w:sz w:val="32"/>
          <w:szCs w:val="32"/>
          <w:lang w:eastAsia="zh-CN"/>
        </w:rPr>
        <w:t>；</w:t>
      </w:r>
    </w:p>
    <w:p>
      <w:pPr>
        <w:pStyle w:val="15"/>
        <w:spacing w:line="560" w:lineRule="exact"/>
        <w:ind w:firstLine="640"/>
        <w:jc w:val="left"/>
        <w:rPr>
          <w:rFonts w:hint="eastAsia" w:ascii="仿宋_GB2312" w:hAnsi="仿宋" w:eastAsia="仿宋_GB2312" w:cs="仿宋"/>
          <w:sz w:val="32"/>
          <w:szCs w:val="32"/>
          <w:highlight w:val="none"/>
          <w:lang w:eastAsia="zh-CN"/>
        </w:rPr>
      </w:pPr>
      <w:r>
        <w:rPr>
          <w:rFonts w:hint="eastAsia" w:ascii="仿宋_GB2312" w:hAnsi="仿宋" w:eastAsia="仿宋_GB2312" w:cs="仿宋"/>
          <w:sz w:val="32"/>
          <w:szCs w:val="32"/>
          <w:highlight w:val="none"/>
        </w:rPr>
        <w:t>（三）</w:t>
      </w:r>
      <w:r>
        <w:rPr>
          <w:rFonts w:hint="eastAsia" w:ascii="仿宋_GB2312" w:hAnsi="仿宋" w:eastAsia="仿宋_GB2312" w:cs="仿宋"/>
          <w:bCs/>
          <w:kern w:val="2"/>
          <w:sz w:val="32"/>
          <w:szCs w:val="32"/>
          <w:highlight w:val="none"/>
          <w:lang w:val="en-US" w:eastAsia="zh-CN" w:bidi="ar-SA"/>
        </w:rPr>
        <w:t>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w:t>
      </w:r>
      <w:r>
        <w:rPr>
          <w:rFonts w:hint="eastAsia" w:ascii="仿宋_GB2312" w:hAnsi="仿宋" w:eastAsia="仿宋_GB2312" w:cs="仿宋"/>
          <w:sz w:val="32"/>
          <w:szCs w:val="32"/>
          <w:highlight w:val="none"/>
        </w:rPr>
        <w:t>，不得同时参加本项目的采购活动</w:t>
      </w:r>
      <w:r>
        <w:rPr>
          <w:rFonts w:hint="eastAsia" w:ascii="仿宋_GB2312" w:hAnsi="仿宋" w:cs="仿宋"/>
          <w:sz w:val="32"/>
          <w:szCs w:val="32"/>
          <w:highlight w:val="none"/>
          <w:lang w:eastAsia="zh-CN"/>
        </w:rPr>
        <w:t>。</w:t>
      </w:r>
    </w:p>
    <w:p>
      <w:pPr>
        <w:spacing w:line="560" w:lineRule="exact"/>
        <w:ind w:firstLine="640" w:firstLineChars="200"/>
        <w:rPr>
          <w:rFonts w:ascii="黑体" w:hAnsi="黑体" w:eastAsia="黑体" w:cs="黑体"/>
          <w:sz w:val="32"/>
          <w:szCs w:val="32"/>
        </w:rPr>
      </w:pPr>
      <w:r>
        <w:rPr>
          <w:rFonts w:hint="eastAsia" w:ascii="黑体" w:hAnsi="黑体" w:eastAsia="黑体" w:cs="黑体"/>
          <w:sz w:val="32"/>
          <w:szCs w:val="32"/>
        </w:rPr>
        <w:t>六、选定供应商方法</w:t>
      </w:r>
    </w:p>
    <w:p>
      <w:pPr>
        <w:spacing w:line="560" w:lineRule="exact"/>
        <w:ind w:firstLine="640" w:firstLineChars="200"/>
        <w:rPr>
          <w:rFonts w:hint="eastAsia" w:ascii="仿宋_GB2312" w:hAnsi="仿宋" w:eastAsia="仿宋_GB2312"/>
          <w:sz w:val="32"/>
          <w:highlight w:val="none"/>
          <w:lang w:val="en-US" w:eastAsia="zh-CN"/>
        </w:rPr>
      </w:pPr>
      <w:r>
        <w:rPr>
          <w:rFonts w:hint="eastAsia" w:ascii="仿宋_GB2312" w:hAnsi="仿宋" w:eastAsia="仿宋_GB2312"/>
          <w:sz w:val="32"/>
          <w:highlight w:val="none"/>
        </w:rPr>
        <w:t>综合评分法</w:t>
      </w:r>
    </w:p>
    <w:p>
      <w:pPr>
        <w:spacing w:line="560" w:lineRule="exact"/>
        <w:ind w:firstLine="640" w:firstLineChars="200"/>
        <w:rPr>
          <w:rFonts w:hint="eastAsia" w:ascii="黑体" w:hAnsi="黑体" w:eastAsia="黑体" w:cs="黑体"/>
          <w:sz w:val="32"/>
          <w:szCs w:val="32"/>
          <w:lang w:eastAsia="zh-CN"/>
        </w:rPr>
      </w:pPr>
      <w:r>
        <w:rPr>
          <w:rFonts w:hint="eastAsia" w:ascii="黑体" w:hAnsi="黑体" w:eastAsia="黑体" w:cs="黑体"/>
          <w:sz w:val="32"/>
          <w:szCs w:val="32"/>
        </w:rPr>
        <w:t>七、评分要求</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（一）评分规则</w:t>
      </w:r>
    </w:p>
    <w:p>
      <w:pPr>
        <w:spacing w:line="560" w:lineRule="exact"/>
        <w:ind w:firstLine="640" w:firstLineChars="200"/>
      </w:pPr>
      <w:r>
        <w:rPr>
          <w:rFonts w:hint="eastAsia" w:ascii="仿宋_GB2312" w:eastAsia="仿宋_GB2312"/>
          <w:color w:val="000000"/>
          <w:sz w:val="32"/>
          <w:szCs w:val="32"/>
        </w:rPr>
        <w:t>采取综合评分标准，平均分最高的投标人为本项目中标人。</w:t>
      </w:r>
    </w:p>
    <w:p>
      <w:pPr>
        <w:pStyle w:val="17"/>
        <w:spacing w:line="560" w:lineRule="exact"/>
        <w:ind w:firstLine="640" w:firstLineChars="200"/>
        <w:rPr>
          <w:rFonts w:ascii="楷体_GB2312" w:hAnsi="楷体_GB2312" w:eastAsia="楷体_GB2312" w:cs="楷体_GB2312"/>
          <w:b w:val="0"/>
          <w:bCs/>
          <w:color w:val="000000"/>
          <w:sz w:val="32"/>
          <w:szCs w:val="32"/>
        </w:rPr>
      </w:pPr>
      <w:r>
        <w:rPr>
          <w:rFonts w:hint="eastAsia" w:ascii="楷体_GB2312" w:hAnsi="楷体_GB2312" w:eastAsia="楷体_GB2312" w:cs="楷体_GB2312"/>
          <w:b w:val="0"/>
          <w:bCs/>
          <w:color w:val="000000"/>
          <w:sz w:val="32"/>
          <w:szCs w:val="32"/>
        </w:rPr>
        <w:t>（二）评分权重</w:t>
      </w:r>
    </w:p>
    <w:tbl>
      <w:tblPr>
        <w:tblStyle w:val="12"/>
        <w:tblW w:w="8355"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88"/>
        <w:gridCol w:w="2089"/>
        <w:gridCol w:w="2089"/>
        <w:gridCol w:w="2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评分内容</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商务</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hint="eastAsia" w:ascii="仿宋_GB2312" w:hAnsi="仿宋_GB2312" w:eastAsia="仿宋_GB2312" w:cs="仿宋_GB2312"/>
                <w:b w:val="0"/>
                <w:bCs/>
                <w:szCs w:val="24"/>
                <w:lang w:eastAsia="zh-CN"/>
              </w:rPr>
            </w:pPr>
            <w:r>
              <w:rPr>
                <w:rFonts w:hint="eastAsia" w:ascii="仿宋_GB2312" w:hAnsi="仿宋_GB2312" w:eastAsia="仿宋_GB2312" w:cs="仿宋_GB2312"/>
                <w:b w:val="0"/>
                <w:bCs/>
                <w:szCs w:val="24"/>
              </w:rPr>
              <w:t>技术</w:t>
            </w:r>
            <w:r>
              <w:rPr>
                <w:rFonts w:hint="eastAsia" w:ascii="仿宋_GB2312" w:hAnsi="仿宋_GB2312" w:eastAsia="仿宋_GB2312" w:cs="仿宋_GB2312"/>
                <w:b w:val="0"/>
                <w:bCs/>
                <w:szCs w:val="24"/>
                <w:lang w:eastAsia="zh-CN"/>
              </w:rPr>
              <w:t>部分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88"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分值</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25分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45分</w:t>
            </w:r>
          </w:p>
        </w:tc>
        <w:tc>
          <w:tcPr>
            <w:tcW w:w="2089" w:type="dxa"/>
            <w:tcBorders>
              <w:top w:val="single" w:color="auto" w:sz="4" w:space="0"/>
              <w:left w:val="single" w:color="auto" w:sz="4" w:space="0"/>
              <w:bottom w:val="single" w:color="auto" w:sz="4" w:space="0"/>
              <w:right w:val="single" w:color="auto" w:sz="4" w:space="0"/>
            </w:tcBorders>
            <w:noWrap w:val="0"/>
            <w:vAlign w:val="top"/>
          </w:tcPr>
          <w:p>
            <w:pPr>
              <w:pStyle w:val="17"/>
              <w:spacing w:line="560" w:lineRule="exact"/>
              <w:jc w:val="center"/>
              <w:rPr>
                <w:rFonts w:ascii="仿宋_GB2312" w:hAnsi="仿宋_GB2312" w:eastAsia="仿宋_GB2312" w:cs="仿宋_GB2312"/>
                <w:b w:val="0"/>
                <w:bCs/>
                <w:szCs w:val="24"/>
              </w:rPr>
            </w:pPr>
            <w:r>
              <w:rPr>
                <w:rFonts w:hint="eastAsia" w:ascii="仿宋_GB2312" w:hAnsi="仿宋_GB2312" w:eastAsia="仿宋_GB2312" w:cs="仿宋_GB2312"/>
                <w:b w:val="0"/>
                <w:bCs/>
                <w:szCs w:val="24"/>
              </w:rPr>
              <w:t>30分</w:t>
            </w:r>
          </w:p>
        </w:tc>
      </w:tr>
    </w:tbl>
    <w:p>
      <w:pPr>
        <w:pStyle w:val="17"/>
        <w:spacing w:line="560" w:lineRule="exact"/>
        <w:ind w:firstLine="640" w:firstLineChars="200"/>
        <w:rPr>
          <w:rFonts w:ascii="仿宋_GB2312" w:eastAsia="仿宋_GB2312"/>
          <w:sz w:val="32"/>
          <w:szCs w:val="32"/>
        </w:rPr>
      </w:pPr>
      <w:r>
        <w:rPr>
          <w:rFonts w:hint="eastAsia" w:ascii="楷体_GB2312" w:hAnsi="楷体_GB2312" w:eastAsia="楷体_GB2312" w:cs="楷体_GB2312"/>
          <w:b w:val="0"/>
          <w:bCs/>
          <w:color w:val="000000"/>
          <w:sz w:val="32"/>
          <w:szCs w:val="32"/>
        </w:rPr>
        <w:t>（三）评分标准</w:t>
      </w:r>
    </w:p>
    <w:tbl>
      <w:tblPr>
        <w:tblStyle w:val="13"/>
        <w:tblW w:w="0" w:type="auto"/>
        <w:tblInd w:w="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861"/>
        <w:gridCol w:w="6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报价</w:t>
            </w:r>
          </w:p>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30分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评分因素</w:t>
            </w:r>
          </w:p>
        </w:tc>
        <w:tc>
          <w:tcPr>
            <w:tcW w:w="6916"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价格</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以本次报价或投标人所报的有效报价中的最低价作为基准报价。投标人报价得分=（基准价/投标人报价）*30分。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商务</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部分</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861" w:type="dxa"/>
            <w:noWrap w:val="0"/>
            <w:vAlign w:val="top"/>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评分因素</w:t>
            </w:r>
          </w:p>
        </w:tc>
        <w:tc>
          <w:tcPr>
            <w:tcW w:w="6916"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eastAsia="zh-CN"/>
              </w:rPr>
              <w:t>评分准则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lang w:eastAsia="zh-CN"/>
              </w:rPr>
              <w:t>同类项目经验（</w:t>
            </w:r>
            <w:r>
              <w:rPr>
                <w:rFonts w:hint="eastAsia" w:ascii="仿宋_GB2312" w:hAnsi="仿宋_GB2312" w:eastAsia="仿宋_GB2312" w:cs="仿宋_GB2312"/>
                <w:sz w:val="24"/>
                <w:szCs w:val="24"/>
                <w:lang w:val="en-US" w:eastAsia="zh-CN"/>
              </w:rPr>
              <w:t>10分</w:t>
            </w:r>
            <w:r>
              <w:rPr>
                <w:rFonts w:hint="eastAsia" w:ascii="仿宋_GB2312" w:hAnsi="仿宋_GB2312" w:eastAsia="仿宋_GB2312" w:cs="仿宋_GB2312"/>
                <w:sz w:val="24"/>
                <w:szCs w:val="24"/>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（一）评审内容：</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投标人自202</w:t>
            </w: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年1月1日至本项目投标截止日（以合同签订日期为准），</w:t>
            </w:r>
            <w:r>
              <w:rPr>
                <w:rFonts w:hint="eastAsia" w:ascii="仿宋_GB2312" w:hAnsi="仿宋_GB2312" w:eastAsia="仿宋_GB2312" w:cs="仿宋_GB2312"/>
                <w:sz w:val="24"/>
                <w:szCs w:val="24"/>
                <w:lang w:val="en-US" w:eastAsia="zh-CN"/>
              </w:rPr>
              <w:t>每提供一项相关组织体育类活动</w:t>
            </w:r>
            <w:r>
              <w:rPr>
                <w:rFonts w:hint="eastAsia" w:ascii="仿宋_GB2312" w:hAnsi="仿宋_GB2312" w:eastAsia="仿宋_GB2312" w:cs="仿宋_GB2312"/>
                <w:sz w:val="24"/>
                <w:szCs w:val="24"/>
                <w:lang w:eastAsia="zh-CN"/>
              </w:rPr>
              <w:t>项目业绩得</w:t>
            </w:r>
            <w:r>
              <w:rPr>
                <w:rFonts w:hint="eastAsia" w:ascii="仿宋_GB2312" w:hAnsi="仿宋_GB2312" w:eastAsia="仿宋_GB2312" w:cs="仿宋_GB2312"/>
                <w:sz w:val="24"/>
                <w:szCs w:val="24"/>
                <w:lang w:val="en-US" w:eastAsia="zh-CN"/>
              </w:rPr>
              <w:t>5</w:t>
            </w:r>
            <w:r>
              <w:rPr>
                <w:rFonts w:hint="eastAsia" w:ascii="仿宋_GB2312" w:hAnsi="仿宋_GB2312" w:eastAsia="仿宋_GB2312" w:cs="仿宋_GB2312"/>
                <w:sz w:val="24"/>
                <w:szCs w:val="24"/>
                <w:lang w:eastAsia="zh-CN"/>
              </w:rPr>
              <w:t>分，最高得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r>
              <w:rPr>
                <w:rFonts w:hint="eastAsia" w:ascii="仿宋_GB2312" w:hAnsi="仿宋_GB2312" w:eastAsia="仿宋_GB2312" w:cs="仿宋_GB2312"/>
                <w:sz w:val="24"/>
                <w:szCs w:val="24"/>
                <w:lang w:val="en-US" w:eastAsia="zh-CN"/>
              </w:rPr>
              <w:t>。</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每项业绩按以下要求提供完整准确的证明文件，一个合同计算一个业绩，一年一签的续签合同只计算一个业绩：</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合同关键页（关键信息包括但不仅限于合同的项目名称、服务内容、合同服务的起止时间、合同双方的盖章、签订日期等）；</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eastAsia="zh-CN"/>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未提供证明材料或者提供的证明材料不符合要求或提供的证明材料不清晰导致（临时）采购小组无法辨认的，不得分。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拟安排项目团队成员</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（10分）</w:t>
            </w:r>
          </w:p>
        </w:tc>
        <w:tc>
          <w:tcPr>
            <w:tcW w:w="6916" w:type="dxa"/>
            <w:shd w:val="clear" w:color="auto" w:fill="auto"/>
            <w:noWrap w:val="0"/>
            <w:vAlign w:val="center"/>
          </w:tcPr>
          <w:p>
            <w:pPr>
              <w:numPr>
                <w:ilvl w:val="0"/>
                <w:numId w:val="3"/>
              </w:num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评审内容</w:t>
            </w:r>
          </w:p>
          <w:p>
            <w:pPr>
              <w:numPr>
                <w:ilvl w:val="0"/>
                <w:numId w:val="0"/>
              </w:num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拟安排的项目团队成员情况：</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每提供一类专业学历证明资料的得分比例要求如下：具有</w:t>
            </w:r>
            <w:r>
              <w:rPr>
                <w:rFonts w:hint="eastAsia" w:ascii="仿宋_GB2312" w:hAnsi="宋体" w:eastAsia="仿宋_GB2312" w:cs="仿宋_GB2312"/>
                <w:i w:val="0"/>
                <w:iCs w:val="0"/>
                <w:color w:val="000000"/>
                <w:kern w:val="0"/>
                <w:sz w:val="24"/>
                <w:szCs w:val="24"/>
                <w:u w:val="none"/>
                <w:lang w:val="en-US" w:eastAsia="zh-CN" w:bidi="ar"/>
              </w:rPr>
              <w:t>相关体育专业大专学历得1分；具有相关体育专业本科及以上学历得2分，</w:t>
            </w:r>
            <w:r>
              <w:rPr>
                <w:rFonts w:hint="eastAsia" w:ascii="仿宋_GB2312" w:hAnsi="仿宋_GB2312" w:eastAsia="仿宋_GB2312" w:cs="仿宋_GB2312"/>
                <w:sz w:val="24"/>
                <w:szCs w:val="24"/>
                <w:lang w:eastAsia="zh-CN"/>
              </w:rPr>
              <w:t>本项最高得</w:t>
            </w:r>
            <w:r>
              <w:rPr>
                <w:rFonts w:hint="eastAsia" w:ascii="仿宋_GB2312" w:hAnsi="仿宋_GB2312" w:eastAsia="仿宋_GB2312" w:cs="仿宋_GB2312"/>
                <w:sz w:val="24"/>
                <w:szCs w:val="24"/>
                <w:lang w:val="en-US" w:eastAsia="zh-CN"/>
              </w:rPr>
              <w:t>10</w:t>
            </w:r>
            <w:r>
              <w:rPr>
                <w:rFonts w:hint="eastAsia" w:ascii="仿宋_GB2312" w:hAnsi="仿宋_GB2312" w:eastAsia="仿宋_GB2312" w:cs="仿宋_GB2312"/>
                <w:sz w:val="24"/>
                <w:szCs w:val="24"/>
                <w:lang w:eastAsia="zh-CN"/>
              </w:rPr>
              <w:t>分。</w:t>
            </w:r>
          </w:p>
          <w:p>
            <w:pPr>
              <w:topLinePunct/>
              <w:snapToGrid w:val="0"/>
              <w:jc w:val="both"/>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（注：提供重复学历按最高得分为准，同一人学历不参与累计分值。）</w:t>
            </w:r>
          </w:p>
          <w:p>
            <w:pPr>
              <w:topLinePunct/>
              <w:snapToGrid w:val="0"/>
              <w:jc w:val="both"/>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二</w:t>
            </w:r>
            <w:r>
              <w:rPr>
                <w:rFonts w:hint="eastAsia" w:ascii="仿宋_GB2312" w:hAnsi="仿宋_GB2312" w:eastAsia="仿宋_GB2312" w:cs="仿宋_GB2312"/>
                <w:b/>
                <w:bCs/>
                <w:sz w:val="24"/>
                <w:szCs w:val="24"/>
                <w:lang w:eastAsia="zh-CN"/>
              </w:rPr>
              <w:t>）评审依据：</w:t>
            </w:r>
          </w:p>
          <w:p>
            <w:pPr>
              <w:topLinePunct/>
              <w:snapToGrid w:val="0"/>
              <w:jc w:val="both"/>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提供毕业证书扫描件、学历信息在学信网查询结果截图，原件备查。</w:t>
            </w:r>
          </w:p>
          <w:p>
            <w:pPr>
              <w:pStyle w:val="2"/>
              <w:ind w:left="0" w:leftChars="0" w:firstLine="0" w:firstLineChars="0"/>
              <w:jc w:val="both"/>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2.以上证明文件原件备查，未提供或未按要求提供或提供的不清晰导致（临时）采购小组无法判断的，不得分。</w:t>
            </w:r>
          </w:p>
          <w:p>
            <w:pPr>
              <w:topLinePunct/>
              <w:snapToGrid w:val="0"/>
              <w:jc w:val="left"/>
              <w:rPr>
                <w:rFonts w:hint="eastAsia" w:ascii="仿宋_GB2312" w:hAnsi="仿宋_GB2312" w:eastAsia="仿宋_GB2312" w:cs="仿宋_GB2312"/>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left"/>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项目完成（服务期满）</w:t>
            </w:r>
          </w:p>
          <w:p>
            <w:pPr>
              <w:keepNext w:val="0"/>
              <w:keepLines w:val="0"/>
              <w:pageBreakBefore w:val="0"/>
              <w:widowControl w:val="0"/>
              <w:kinsoku/>
              <w:wordWrap/>
              <w:overflowPunct/>
              <w:topLinePunct/>
              <w:autoSpaceDE/>
              <w:autoSpaceDN/>
              <w:bidi w:val="0"/>
              <w:adjustRightInd/>
              <w:snapToGrid w:val="0"/>
              <w:spacing w:line="240" w:lineRule="auto"/>
              <w:jc w:val="center"/>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后的服务承诺（</w:t>
            </w:r>
            <w:r>
              <w:rPr>
                <w:rFonts w:hint="eastAsia" w:ascii="仿宋_GB2312" w:hAnsi="仿宋_GB2312" w:eastAsia="仿宋_GB2312" w:cs="仿宋_GB2312"/>
                <w:color w:val="auto"/>
                <w:sz w:val="24"/>
                <w:szCs w:val="24"/>
                <w:highlight w:val="none"/>
                <w:lang w:val="en-US" w:eastAsia="zh-CN"/>
              </w:rPr>
              <w:t>5</w:t>
            </w:r>
            <w:r>
              <w:rPr>
                <w:rFonts w:hint="eastAsia" w:ascii="仿宋_GB2312" w:hAnsi="仿宋_GB2312" w:eastAsia="仿宋_GB2312" w:cs="仿宋_GB2312"/>
                <w:sz w:val="24"/>
                <w:szCs w:val="24"/>
                <w:lang w:val="en-US" w:eastAsia="zh-CN"/>
              </w:rPr>
              <w:t>分）</w:t>
            </w:r>
          </w:p>
        </w:tc>
        <w:tc>
          <w:tcPr>
            <w:tcW w:w="6916" w:type="dxa"/>
            <w:noWrap w:val="0"/>
            <w:vAlign w:val="center"/>
          </w:tcPr>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（一）</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内容：</w:t>
            </w:r>
          </w:p>
          <w:p>
            <w:pPr>
              <w:keepNext w:val="0"/>
              <w:keepLines w:val="0"/>
              <w:pageBreakBefore w:val="0"/>
              <w:widowControl w:val="0"/>
              <w:kinsoku/>
              <w:wordWrap/>
              <w:overflowPunct/>
              <w:autoSpaceDE/>
              <w:autoSpaceDN/>
              <w:bidi w:val="0"/>
              <w:adjustRightInd/>
              <w:snapToGrid w:val="0"/>
              <w:spacing w:line="240" w:lineRule="auto"/>
              <w:jc w:val="both"/>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根据针对本项目做出的服务承诺，考察包括但不限于以下内容：</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1.在服务期满后主动交接项目相关资料；</w:t>
            </w:r>
          </w:p>
          <w:p>
            <w:pPr>
              <w:keepNext w:val="0"/>
              <w:keepLines w:val="0"/>
              <w:pageBreakBefore w:val="0"/>
              <w:widowControl w:val="0"/>
              <w:numPr>
                <w:ilvl w:val="-1"/>
                <w:numId w:val="0"/>
              </w:numPr>
              <w:kinsoku/>
              <w:wordWrap/>
              <w:overflowPunct/>
              <w:autoSpaceDE/>
              <w:autoSpaceDN/>
              <w:bidi w:val="0"/>
              <w:adjustRightInd/>
              <w:snapToGrid w:val="0"/>
              <w:spacing w:line="240" w:lineRule="auto"/>
              <w:jc w:val="both"/>
              <w:textAlignment w:val="auto"/>
              <w:rPr>
                <w:rFonts w:hint="default"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2.配合项目检查审计等事项。</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b/>
                <w:bCs/>
                <w:sz w:val="24"/>
                <w:szCs w:val="24"/>
                <w:highlight w:val="none"/>
              </w:rPr>
            </w:pPr>
            <w:r>
              <w:rPr>
                <w:rFonts w:hint="eastAsia" w:ascii="仿宋_GB2312" w:hAnsi="仿宋_GB2312" w:eastAsia="仿宋_GB2312" w:cs="仿宋_GB2312"/>
                <w:b/>
                <w:bCs/>
                <w:sz w:val="24"/>
                <w:szCs w:val="24"/>
                <w:highlight w:val="none"/>
              </w:rPr>
              <w:t>（二）</w:t>
            </w:r>
            <w:r>
              <w:rPr>
                <w:rFonts w:hint="eastAsia" w:ascii="仿宋_GB2312" w:hAnsi="仿宋_GB2312" w:eastAsia="仿宋_GB2312" w:cs="仿宋_GB2312"/>
                <w:b/>
                <w:bCs/>
                <w:sz w:val="24"/>
                <w:szCs w:val="24"/>
                <w:highlight w:val="none"/>
                <w:lang w:eastAsia="zh-CN"/>
              </w:rPr>
              <w:t>评审</w:t>
            </w:r>
            <w:r>
              <w:rPr>
                <w:rFonts w:hint="eastAsia" w:ascii="仿宋_GB2312" w:hAnsi="仿宋_GB2312" w:eastAsia="仿宋_GB2312" w:cs="仿宋_GB2312"/>
                <w:b/>
                <w:bCs/>
                <w:sz w:val="24"/>
                <w:szCs w:val="24"/>
                <w:highlight w:val="none"/>
              </w:rPr>
              <w:t>依据：</w:t>
            </w:r>
          </w:p>
          <w:p>
            <w:pPr>
              <w:keepNext w:val="0"/>
              <w:keepLines w:val="0"/>
              <w:pageBreakBefore w:val="0"/>
              <w:widowControl w:val="0"/>
              <w:kinsoku/>
              <w:wordWrap/>
              <w:overflowPunct/>
              <w:topLinePunct/>
              <w:autoSpaceDE/>
              <w:autoSpaceDN/>
              <w:bidi w:val="0"/>
              <w:adjustRightInd/>
              <w:snapToGrid w:val="0"/>
              <w:spacing w:line="240" w:lineRule="auto"/>
              <w:jc w:val="both"/>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highlight w:val="none"/>
              </w:rPr>
              <w:t>提供</w:t>
            </w:r>
            <w:r>
              <w:rPr>
                <w:rFonts w:hint="eastAsia" w:ascii="仿宋_GB2312" w:hAnsi="仿宋_GB2312" w:eastAsia="仿宋_GB2312" w:cs="仿宋_GB2312"/>
                <w:sz w:val="24"/>
                <w:szCs w:val="24"/>
                <w:highlight w:val="none"/>
                <w:lang w:eastAsia="zh-CN"/>
              </w:rPr>
              <w:t>服务</w:t>
            </w:r>
            <w:r>
              <w:rPr>
                <w:rFonts w:hint="eastAsia" w:ascii="仿宋_GB2312" w:hAnsi="仿宋_GB2312" w:eastAsia="仿宋_GB2312" w:cs="仿宋_GB2312"/>
                <w:sz w:val="24"/>
                <w:szCs w:val="24"/>
                <w:highlight w:val="none"/>
              </w:rPr>
              <w:t>承诺函（格式自拟）并加盖投标人公章，未提供承诺或承诺内容不满足要求不得分。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 w:type="dxa"/>
            <w:vMerge w:val="restart"/>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技术部分（45分）</w:t>
            </w:r>
          </w:p>
        </w:tc>
        <w:tc>
          <w:tcPr>
            <w:tcW w:w="861" w:type="dxa"/>
            <w:noWrap w:val="0"/>
            <w:vAlign w:val="center"/>
          </w:tcPr>
          <w:p>
            <w:pPr>
              <w:keepNext w:val="0"/>
              <w:keepLines w:val="0"/>
              <w:pageBreakBefore w:val="0"/>
              <w:widowControl w:val="0"/>
              <w:kinsoku/>
              <w:wordWrap/>
              <w:overflowPunct/>
              <w:autoSpaceDE/>
              <w:autoSpaceDN/>
              <w:bidi w:val="0"/>
              <w:adjustRightInd/>
              <w:spacing w:line="240" w:lineRule="auto"/>
              <w:jc w:val="center"/>
              <w:textAlignment w:val="auto"/>
              <w:rPr>
                <w:rFonts w:hint="eastAsia" w:ascii="仿宋_GB2312" w:hAnsi="仿宋_GB2312" w:eastAsia="仿宋_GB2312" w:cs="仿宋_GB2312"/>
                <w:sz w:val="24"/>
                <w:szCs w:val="24"/>
                <w:vertAlign w:val="baseline"/>
                <w:lang w:eastAsia="zh-CN"/>
              </w:rPr>
            </w:pPr>
            <w:r>
              <w:rPr>
                <w:rFonts w:hint="eastAsia" w:ascii="仿宋_GB2312" w:hAnsi="仿宋_GB2312" w:eastAsia="仿宋_GB2312" w:cs="仿宋_GB2312"/>
                <w:sz w:val="24"/>
                <w:szCs w:val="24"/>
                <w:vertAlign w:val="baseline"/>
                <w:lang w:eastAsia="zh-CN"/>
              </w:rPr>
              <w:t>实施方案</w:t>
            </w:r>
          </w:p>
          <w:p>
            <w:pPr>
              <w:pStyle w:val="6"/>
              <w:keepNext w:val="0"/>
              <w:keepLines w:val="0"/>
              <w:pageBreakBefore w:val="0"/>
              <w:widowControl w:val="0"/>
              <w:kinsoku/>
              <w:wordWrap/>
              <w:overflowPunct/>
              <w:autoSpaceDE/>
              <w:autoSpaceDN/>
              <w:bidi w:val="0"/>
              <w:adjustRightInd/>
              <w:spacing w:line="240" w:lineRule="auto"/>
              <w:jc w:val="center"/>
              <w:textAlignment w:val="auto"/>
              <w:rPr>
                <w:rFonts w:hint="eastAsia"/>
                <w:lang w:eastAsia="zh-CN"/>
              </w:rPr>
            </w:pPr>
            <w:r>
              <w:rPr>
                <w:rFonts w:hint="eastAsia" w:ascii="仿宋_GB2312" w:hAnsi="仿宋_GB2312" w:eastAsia="仿宋_GB2312" w:cs="仿宋_GB2312"/>
                <w:sz w:val="24"/>
                <w:szCs w:val="24"/>
                <w:vertAlign w:val="baseline"/>
                <w:lang w:eastAsia="zh-CN"/>
              </w:rPr>
              <w:t>（</w:t>
            </w:r>
            <w:r>
              <w:rPr>
                <w:rFonts w:hint="eastAsia" w:ascii="仿宋_GB2312" w:hAnsi="仿宋_GB2312" w:eastAsia="仿宋_GB2312" w:cs="仿宋_GB2312"/>
                <w:sz w:val="24"/>
                <w:szCs w:val="24"/>
                <w:vertAlign w:val="baseline"/>
                <w:lang w:val="en-US" w:eastAsia="zh-CN"/>
              </w:rPr>
              <w:t>25分</w:t>
            </w:r>
            <w:r>
              <w:rPr>
                <w:rFonts w:hint="eastAsia" w:ascii="仿宋_GB2312" w:hAnsi="仿宋_GB2312" w:eastAsia="仿宋_GB2312" w:cs="仿宋_GB2312"/>
                <w:sz w:val="24"/>
                <w:szCs w:val="24"/>
                <w:vertAlign w:val="baseline"/>
                <w:lang w:eastAsia="zh-CN"/>
              </w:rPr>
              <w:t>）</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根据投标人提供的实施方案，考察包括但不限于：</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1.对项目需求的认识和理解；</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2.项目目标和成果；</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3.组织架构和人员管理；</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4.工作思路和流程。</w:t>
            </w:r>
          </w:p>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r>
              <w:rPr>
                <w:rFonts w:hint="eastAsia" w:ascii="仿宋_GB2312" w:hAnsi="仿宋_GB2312" w:eastAsia="仿宋_GB2312" w:cs="仿宋_GB2312"/>
                <w:color w:val="auto"/>
                <w:sz w:val="24"/>
                <w:szCs w:val="24"/>
                <w:highlight w:val="none"/>
                <w:lang w:val="en-US" w:eastAsia="zh-CN"/>
              </w:rPr>
              <w:br w:type="textWrapping"/>
            </w:r>
            <w:r>
              <w:rPr>
                <w:rFonts w:hint="eastAsia" w:ascii="仿宋_GB2312" w:hAnsi="仿宋_GB2312" w:eastAsia="仿宋_GB2312" w:cs="仿宋_GB2312"/>
                <w:color w:val="auto"/>
                <w:sz w:val="24"/>
                <w:szCs w:val="24"/>
                <w:highlight w:val="none"/>
                <w:lang w:val="en-US" w:eastAsia="zh-CN"/>
              </w:rPr>
              <w:t>满足以上任意一项要求得4分，最高16得分，在此基础上。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1.优：项目实施方案内容全面、具体、针对性强、科学合理、可操作性强得9分；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2.良：项目实施方案内容较全面、较具体、针对性较强、较科学合理、可操作性较强得7分；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3.中：项目实施方案内容较基本全面、一般具体、针对性一般、一般科学合理、可操作性一般得5分；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4.差:其它情况不得分。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54" w:type="dxa"/>
            <w:vMerge w:val="continue"/>
            <w:noWrap w:val="0"/>
            <w:vAlign w:val="top"/>
          </w:tcPr>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vertAlign w:val="baseline"/>
                <w:lang w:val="en-US" w:eastAsia="zh-CN"/>
              </w:rPr>
            </w:pPr>
          </w:p>
        </w:tc>
        <w:tc>
          <w:tcPr>
            <w:tcW w:w="861" w:type="dxa"/>
            <w:noWrap w:val="0"/>
            <w:vAlign w:val="center"/>
          </w:tcPr>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项目重点难点分析、应对措施及相关的合理化建议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lang w:eastAsia="zh-CN"/>
              </w:rPr>
            </w:pPr>
            <w:r>
              <w:rPr>
                <w:rFonts w:hint="eastAsia" w:ascii="仿宋_GB2312" w:hAnsi="仿宋_GB2312" w:eastAsia="仿宋_GB2312" w:cs="仿宋_GB2312"/>
                <w:color w:val="auto"/>
                <w:sz w:val="24"/>
                <w:szCs w:val="24"/>
                <w:highlight w:val="none"/>
                <w:lang w:val="en-US" w:eastAsia="zh-CN"/>
              </w:rPr>
              <w:t>（20分）</w:t>
            </w:r>
          </w:p>
        </w:tc>
        <w:tc>
          <w:tcPr>
            <w:tcW w:w="6916" w:type="dxa"/>
            <w:noWrap w:val="0"/>
            <w:vAlign w:val="top"/>
          </w:tcPr>
          <w:p>
            <w:pPr>
              <w:keepNext w:val="0"/>
              <w:keepLines w:val="0"/>
              <w:pageBreakBefore w:val="0"/>
              <w:widowControl w:val="0"/>
              <w:kinsoku/>
              <w:wordWrap/>
              <w:overflowPunct/>
              <w:topLinePunct/>
              <w:autoSpaceDE/>
              <w:autoSpaceDN/>
              <w:bidi w:val="0"/>
              <w:adjustRightInd/>
              <w:snapToGrid w:val="0"/>
              <w:spacing w:line="240" w:lineRule="auto"/>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（一）</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考察对项目工作量、可完成度等重点难点问题的识别和分析能力，并就识别出的重点难点提出可行的应对措施及合理化建议。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包括但不限于以下内容：</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1.详细阐述本项目存在的重难点问题；</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2.根据项目重难点，详细阐述对应的应对措施；</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eastAsia="zh-CN"/>
              </w:rPr>
              <w:t>3.向招标方提出项目实施其他具体建议。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（二）</w:t>
            </w:r>
            <w:r>
              <w:rPr>
                <w:rFonts w:hint="eastAsia" w:ascii="仿宋_GB2312" w:hAnsi="仿宋_GB2312" w:eastAsia="仿宋_GB2312" w:cs="仿宋_GB2312"/>
                <w:b/>
                <w:bCs/>
                <w:sz w:val="24"/>
                <w:szCs w:val="24"/>
                <w:lang w:eastAsia="zh-CN"/>
              </w:rPr>
              <w:t>评审</w:t>
            </w:r>
            <w:r>
              <w:rPr>
                <w:rFonts w:hint="eastAsia" w:ascii="仿宋_GB2312" w:hAnsi="仿宋_GB2312" w:eastAsia="仿宋_GB2312" w:cs="仿宋_GB2312"/>
                <w:b/>
                <w:bCs/>
                <w:sz w:val="24"/>
                <w:szCs w:val="24"/>
              </w:rPr>
              <w:t>依据：</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满足以上任意一项要求得4分，最高得12分，在此基础上。</w:t>
            </w:r>
            <w:r>
              <w:rPr>
                <w:rFonts w:hint="eastAsia" w:ascii="仿宋_GB2312" w:hAnsi="仿宋_GB2312" w:eastAsia="仿宋_GB2312" w:cs="仿宋_GB2312"/>
                <w:sz w:val="24"/>
                <w:szCs w:val="24"/>
              </w:rPr>
              <w:t>根据各供应商的具体响应内容按照量化的评审因素指标进一步评审，设定优、良、中、差四个评分标准：</w:t>
            </w:r>
            <w:r>
              <w:rPr>
                <w:rFonts w:hint="eastAsia" w:ascii="仿宋_GB2312" w:hAnsi="仿宋_GB2312" w:eastAsia="仿宋_GB2312" w:cs="仿宋_GB2312"/>
                <w:color w:val="auto"/>
                <w:sz w:val="24"/>
                <w:szCs w:val="24"/>
                <w:highlight w:val="none"/>
                <w:lang w:val="en-US" w:eastAsia="zh-CN"/>
              </w:rPr>
              <w:t>：</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1.</w:t>
            </w:r>
            <w:r>
              <w:rPr>
                <w:rFonts w:hint="eastAsia" w:ascii="仿宋_GB2312" w:hAnsi="仿宋_GB2312" w:eastAsia="仿宋_GB2312" w:cs="仿宋_GB2312"/>
                <w:sz w:val="24"/>
                <w:szCs w:val="24"/>
              </w:rPr>
              <w:t>优：以上项目重点难点分析、应对措施及相关的合理化建议的三点内容全面具体、针对性强、可操作性强，加</w:t>
            </w:r>
            <w:r>
              <w:rPr>
                <w:rFonts w:hint="eastAsia" w:ascii="仿宋_GB2312" w:hAnsi="仿宋_GB2312" w:eastAsia="仿宋_GB2312" w:cs="仿宋_GB2312"/>
                <w:sz w:val="24"/>
                <w:szCs w:val="24"/>
                <w:lang w:val="en-US" w:eastAsia="zh-CN"/>
              </w:rPr>
              <w:t>8</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rPr>
              <w:t>良：以上项目重点难点分析、应对措施及相关的合理化建议的三点内容较全面、针对性较强、可操作性较强，加</w:t>
            </w:r>
            <w:r>
              <w:rPr>
                <w:rFonts w:hint="eastAsia" w:ascii="仿宋_GB2312" w:hAnsi="仿宋_GB2312" w:eastAsia="仿宋_GB2312" w:cs="仿宋_GB2312"/>
                <w:sz w:val="24"/>
                <w:szCs w:val="24"/>
                <w:lang w:val="en-US" w:eastAsia="zh-CN"/>
              </w:rPr>
              <w:t>6</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pacing w:line="240" w:lineRule="auto"/>
              <w:textAlignment w:val="auto"/>
              <w:rPr>
                <w:rFonts w:hint="eastAsia" w:ascii="仿宋_GB2312" w:hAnsi="仿宋_GB2312" w:eastAsia="仿宋_GB2312" w:cs="仿宋_GB2312"/>
                <w:sz w:val="24"/>
                <w:szCs w:val="24"/>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rPr>
              <w:t>中：以上项目重点难点分析、应对措施及相关的合理化建议的三点内容完整性、针对性、可操作性均一般，加</w:t>
            </w: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分；</w:t>
            </w:r>
          </w:p>
          <w:p>
            <w:pPr>
              <w:keepNext w:val="0"/>
              <w:keepLines w:val="0"/>
              <w:pageBreakBefore w:val="0"/>
              <w:widowControl w:val="0"/>
              <w:kinsoku/>
              <w:wordWrap/>
              <w:overflowPunct/>
              <w:autoSpaceDE/>
              <w:autoSpaceDN/>
              <w:bidi w:val="0"/>
              <w:adjustRightInd/>
              <w:snapToGrid/>
              <w:spacing w:line="240" w:lineRule="auto"/>
              <w:ind w:firstLine="0" w:firstLineChars="0"/>
              <w:jc w:val="left"/>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rPr>
              <w:t>差：</w:t>
            </w:r>
            <w:r>
              <w:rPr>
                <w:rFonts w:hint="eastAsia" w:ascii="仿宋_GB2312" w:hAnsi="仿宋_GB2312" w:eastAsia="仿宋_GB2312" w:cs="仿宋_GB2312"/>
                <w:color w:val="auto"/>
                <w:sz w:val="24"/>
                <w:szCs w:val="24"/>
                <w:highlight w:val="none"/>
                <w:lang w:val="en-US" w:eastAsia="zh-CN"/>
              </w:rPr>
              <w:t>其它情况不得分。</w:t>
            </w:r>
          </w:p>
        </w:tc>
      </w:tr>
    </w:tbl>
    <w:p>
      <w:pPr>
        <w:pStyle w:val="17"/>
        <w:spacing w:line="560" w:lineRule="exact"/>
        <w:ind w:firstLine="640" w:firstLineChars="200"/>
        <w:rPr>
          <w:rFonts w:hint="eastAsia" w:ascii="方正黑体_GBK" w:hAnsi="方正黑体_GBK" w:eastAsia="方正黑体_GBK" w:cs="方正黑体_GBK"/>
          <w:b w:val="0"/>
          <w:bCs/>
          <w:color w:val="000000"/>
          <w:sz w:val="32"/>
          <w:szCs w:val="32"/>
          <w:lang w:eastAsia="zh-CN"/>
        </w:rPr>
      </w:pPr>
      <w:r>
        <w:rPr>
          <w:rFonts w:hint="eastAsia" w:ascii="方正黑体_GBK" w:hAnsi="方正黑体_GBK" w:eastAsia="方正黑体_GBK" w:cs="方正黑体_GBK"/>
          <w:b w:val="0"/>
          <w:bCs/>
          <w:color w:val="000000"/>
          <w:sz w:val="32"/>
          <w:szCs w:val="32"/>
          <w:lang w:eastAsia="zh-CN"/>
        </w:rPr>
        <w:t>八、</w:t>
      </w:r>
      <w:r>
        <w:rPr>
          <w:rFonts w:hint="eastAsia" w:ascii="方正黑体_GBK" w:hAnsi="方正黑体_GBK" w:eastAsia="方正黑体_GBK" w:cs="方正黑体_GBK"/>
          <w:b w:val="0"/>
          <w:bCs/>
          <w:color w:val="000000"/>
          <w:sz w:val="32"/>
          <w:szCs w:val="32"/>
        </w:rPr>
        <w:t>供应商提供资料清单</w:t>
      </w:r>
    </w:p>
    <w:p>
      <w:pPr>
        <w:spacing w:line="560" w:lineRule="exact"/>
        <w:ind w:firstLine="642" w:firstLineChars="200"/>
        <w:jc w:val="left"/>
        <w:rPr>
          <w:rFonts w:hint="eastAsia" w:ascii="仿宋_GB2312" w:hAnsi="仿宋" w:eastAsia="仿宋_GB2312" w:cs="Times New Roman"/>
          <w:b/>
          <w:bCs/>
          <w:color w:val="FF0000"/>
          <w:sz w:val="32"/>
        </w:rPr>
      </w:pPr>
      <w:r>
        <w:rPr>
          <w:rFonts w:hint="eastAsia" w:ascii="仿宋_GB2312" w:hAnsi="仿宋" w:eastAsia="仿宋_GB2312" w:cs="Times New Roman"/>
          <w:b/>
          <w:bCs/>
          <w:color w:val="FF0000"/>
          <w:sz w:val="32"/>
          <w:lang w:val="en-US" w:eastAsia="zh-CN"/>
        </w:rPr>
        <w:t>注：以下全部资料每页均须加盖单位公章；第1至5项为投标资格必备资料，第1至5项任意一项资料缺失、未按要求完整提交的，作无效投标处理。</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1.营业执照、事业法人证书、社会团体法人登记证书、相关许可证书；</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2.法定代表人身份证复印件；</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3.项目报价表（需按格式提供）；</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4.诚信承诺书（详见附件1）；</w:t>
      </w:r>
    </w:p>
    <w:p>
      <w:pPr>
        <w:pStyle w:val="7"/>
        <w:spacing w:after="0" w:line="560" w:lineRule="exact"/>
        <w:ind w:left="0" w:leftChars="0" w:right="0" w:rightChars="0" w:firstLine="640"/>
        <w:jc w:val="left"/>
        <w:rPr>
          <w:rFonts w:hint="eastAsia" w:ascii="仿宋_GB2312" w:hAnsi="仿宋" w:eastAsia="仿宋_GB2312" w:cs="Times New Roman"/>
          <w:sz w:val="32"/>
        </w:rPr>
      </w:pPr>
      <w:r>
        <w:rPr>
          <w:rFonts w:hint="eastAsia" w:ascii="仿宋_GB2312" w:hAnsi="仿宋" w:eastAsia="仿宋_GB2312" w:cs="Times New Roman"/>
          <w:sz w:val="32"/>
        </w:rPr>
        <w:t>5.填写《供应商基本情况表》（加盖单位公章，详见附件2），并完整提交表格列明的供应商相关人员近三个月社保缴纳证明；法定代表人社保缴纳单位与本单位不一致的，需一并提供对应社保凭证，法定代表人已退休的应出具加盖公章的情况说明；当月社保凭证暂无法出具的，社保材料可整体往前顺延一个月；成立未满3个月的新设企业，可提交加盖公章的情况说明或其他有效佐证材料。</w:t>
      </w:r>
      <w:r>
        <w:rPr>
          <w:rFonts w:hint="eastAsia" w:ascii="仿宋_GB2312" w:hAnsi="仿宋" w:eastAsia="仿宋_GB2312" w:cs="Times New Roman"/>
          <w:b/>
          <w:bCs/>
          <w:color w:val="FF0000"/>
          <w:sz w:val="32"/>
        </w:rPr>
        <w:t>投标人未按要求完整提供对应人员社保材料的，按无效投标处理。</w:t>
      </w:r>
    </w:p>
    <w:p>
      <w:pPr>
        <w:pStyle w:val="7"/>
        <w:spacing w:after="0" w:line="560" w:lineRule="exact"/>
        <w:ind w:left="0" w:leftChars="0" w:right="0" w:rightChars="0" w:firstLine="640"/>
        <w:jc w:val="left"/>
        <w:rPr>
          <w:rFonts w:hint="eastAsia" w:ascii="仿宋_GB2312" w:hAnsi="仿宋" w:eastAsia="仿宋_GB2312" w:cs="Times New Roman"/>
          <w:sz w:val="32"/>
          <w:lang w:eastAsia="zh-CN"/>
        </w:rPr>
      </w:pPr>
      <w:r>
        <w:rPr>
          <w:rFonts w:hint="eastAsia" w:ascii="仿宋_GB2312" w:hAnsi="仿宋" w:eastAsia="仿宋_GB2312" w:cs="Times New Roman"/>
          <w:sz w:val="32"/>
        </w:rPr>
        <w:t>6.评分规则所需资料（同类业绩证明、方案等）</w:t>
      </w:r>
      <w:r>
        <w:rPr>
          <w:rFonts w:hint="eastAsia" w:ascii="仿宋_GB2312" w:hAnsi="仿宋" w:eastAsia="仿宋_GB2312" w:cs="Times New Roman"/>
          <w:sz w:val="32"/>
          <w:lang w:eastAsia="zh-CN"/>
        </w:rPr>
        <w:t>。</w:t>
      </w:r>
    </w:p>
    <w:p>
      <w:pPr>
        <w:pStyle w:val="7"/>
        <w:spacing w:after="0" w:line="560" w:lineRule="exact"/>
        <w:ind w:left="0" w:leftChars="0" w:right="0" w:rightChars="0" w:firstLine="640"/>
        <w:jc w:val="left"/>
        <w:rPr>
          <w:rFonts w:hint="eastAsia" w:ascii="方正黑体_GBK" w:hAnsi="方正黑体_GBK" w:eastAsia="方正黑体_GBK" w:cs="方正黑体_GBK"/>
          <w:sz w:val="32"/>
          <w:lang w:val="en-US" w:eastAsia="zh-CN"/>
        </w:rPr>
      </w:pPr>
      <w:r>
        <w:rPr>
          <w:rFonts w:hint="eastAsia" w:ascii="方正黑体_GBK" w:hAnsi="方正黑体_GBK" w:eastAsia="方正黑体_GBK" w:cs="方正黑体_GBK"/>
          <w:sz w:val="32"/>
          <w:lang w:val="en-US" w:eastAsia="zh-CN"/>
        </w:rPr>
        <w:t>九、其他注意事项</w:t>
      </w:r>
    </w:p>
    <w:p>
      <w:pPr>
        <w:keepNext w:val="0"/>
        <w:keepLines w:val="0"/>
        <w:widowControl/>
        <w:suppressLineNumbers w:val="0"/>
        <w:ind w:firstLine="640" w:firstLineChars="200"/>
        <w:jc w:val="both"/>
        <w:rPr>
          <w:rFonts w:hint="eastAsia" w:ascii="仿宋_GB2312" w:hAnsi="仿宋" w:eastAsia="仿宋_GB2312" w:cs="Times New Roman"/>
          <w:kern w:val="2"/>
          <w:sz w:val="32"/>
          <w:szCs w:val="24"/>
          <w:lang w:val="en-US" w:eastAsia="zh-CN" w:bidi="ar-SA"/>
        </w:rPr>
      </w:pPr>
      <w:r>
        <w:rPr>
          <w:rFonts w:hint="eastAsia" w:ascii="仿宋_GB2312" w:hAnsi="仿宋" w:eastAsia="仿宋_GB2312" w:cs="Times New Roman"/>
          <w:sz w:val="32"/>
          <w:lang w:val="en-US" w:eastAsia="zh-CN"/>
        </w:rPr>
        <w:t>1.供应商需</w:t>
      </w:r>
      <w:r>
        <w:rPr>
          <w:rFonts w:hint="default" w:ascii="仿宋_GB2312" w:hAnsi="仿宋" w:eastAsia="仿宋_GB2312" w:cs="Times New Roman"/>
          <w:sz w:val="32"/>
          <w:lang w:val="en-US" w:eastAsia="zh-CN"/>
        </w:rPr>
        <w:t>深圳政府采购自行采购系统</w:t>
      </w:r>
      <w:r>
        <w:rPr>
          <w:rFonts w:hint="eastAsia" w:ascii="仿宋_GB2312" w:hAnsi="仿宋" w:eastAsia="仿宋_GB2312" w:cs="Times New Roman"/>
          <w:kern w:val="2"/>
          <w:sz w:val="32"/>
          <w:szCs w:val="24"/>
          <w:lang w:val="en-US" w:eastAsia="zh-CN" w:bidi="ar-SA"/>
        </w:rPr>
        <w:t>完成供应商注册（网址：https://zxcg.szggzy.com/home/index.html），请于本项目投标截止时间前完成注册，否则如中标/成交，可能影响采购结果的发布。</w:t>
      </w:r>
    </w:p>
    <w:p>
      <w:pPr>
        <w:pStyle w:val="7"/>
        <w:spacing w:after="0" w:line="560" w:lineRule="exact"/>
        <w:ind w:left="0" w:leftChars="0" w:right="0" w:rightChars="0" w:firstLine="640"/>
        <w:rPr>
          <w:rFonts w:hint="default" w:ascii="仿宋_GB2312" w:hAnsi="仿宋" w:eastAsia="仿宋_GB2312" w:cs="Times New Roman"/>
          <w:sz w:val="32"/>
          <w:lang w:val="en-US" w:eastAsia="zh-CN"/>
        </w:rPr>
      </w:pPr>
      <w:r>
        <w:rPr>
          <w:rFonts w:hint="eastAsia" w:ascii="仿宋_GB2312" w:hAnsi="仿宋" w:eastAsia="仿宋_GB2312" w:cs="Times New Roman"/>
          <w:sz w:val="32"/>
          <w:lang w:val="en-US" w:eastAsia="zh-CN"/>
        </w:rPr>
        <w:t>2.</w:t>
      </w:r>
      <w:r>
        <w:rPr>
          <w:rFonts w:hint="eastAsia" w:ascii="仿宋_GB2312" w:hAnsi="仿宋" w:eastAsia="仿宋_GB2312" w:cs="Times New Roman"/>
          <w:sz w:val="32"/>
        </w:rPr>
        <w:t>供应商需</w:t>
      </w:r>
      <w:r>
        <w:rPr>
          <w:rFonts w:hint="eastAsia" w:ascii="仿宋_GB2312" w:hAnsi="仿宋" w:eastAsia="仿宋_GB2312" w:cs="Times New Roman"/>
          <w:sz w:val="32"/>
          <w:lang w:val="en-US" w:eastAsia="zh-CN"/>
        </w:rPr>
        <w:t>以</w:t>
      </w:r>
      <w:r>
        <w:rPr>
          <w:rFonts w:hint="eastAsia" w:ascii="仿宋_GB2312" w:hAnsi="仿宋" w:eastAsia="仿宋_GB2312" w:cs="Times New Roman"/>
          <w:sz w:val="32"/>
        </w:rPr>
        <w:t>邮寄</w:t>
      </w:r>
      <w:r>
        <w:rPr>
          <w:rFonts w:hint="eastAsia" w:ascii="仿宋_GB2312" w:hAnsi="仿宋" w:eastAsia="仿宋_GB2312" w:cs="Times New Roman"/>
          <w:sz w:val="32"/>
          <w:lang w:val="en-US" w:eastAsia="zh-CN"/>
        </w:rPr>
        <w:t>方式提供7</w:t>
      </w:r>
      <w:r>
        <w:rPr>
          <w:rFonts w:hint="eastAsia" w:ascii="仿宋_GB2312" w:hAnsi="仿宋" w:eastAsia="仿宋_GB2312" w:cs="Times New Roman"/>
          <w:sz w:val="32"/>
        </w:rPr>
        <w:t>份密封纸质版投标资料至本单位</w:t>
      </w:r>
      <w:r>
        <w:rPr>
          <w:rFonts w:hint="eastAsia" w:ascii="仿宋_GB2312" w:hAnsi="仿宋" w:eastAsia="仿宋_GB2312" w:cs="Times New Roman"/>
          <w:sz w:val="32"/>
          <w:lang w:eastAsia="zh-CN"/>
        </w:rPr>
        <w:t>，</w:t>
      </w:r>
      <w:r>
        <w:rPr>
          <w:rFonts w:hint="eastAsia" w:ascii="仿宋_GB2312" w:hAnsi="仿宋" w:eastAsia="仿宋_GB2312" w:cs="Times New Roman"/>
          <w:sz w:val="32"/>
          <w:lang w:val="en-US" w:eastAsia="zh-CN"/>
        </w:rPr>
        <w:t>并在封面备注“</w:t>
      </w:r>
      <w:r>
        <w:rPr>
          <w:rFonts w:hint="eastAsia" w:ascii="仿宋_GB2312" w:hAnsi="仿宋_GB2312" w:eastAsia="仿宋_GB2312" w:cs="仿宋_GB2312"/>
          <w:color w:val="000000"/>
          <w:kern w:val="0"/>
          <w:sz w:val="32"/>
          <w:szCs w:val="32"/>
          <w:lang w:val="en-US" w:eastAsia="zh-CN" w:bidi="ar"/>
        </w:rPr>
        <w:t>2026年深圳市“龙华杯”青少年篮球比赛</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项目+公司全称+日期+联系人+联系方式”。</w:t>
      </w:r>
    </w:p>
    <w:p>
      <w:pPr>
        <w:pStyle w:val="7"/>
        <w:spacing w:after="0" w:line="560" w:lineRule="exact"/>
        <w:ind w:left="0" w:leftChars="0" w:right="0" w:rightChars="0" w:firstLine="640" w:firstLineChars="200"/>
        <w:rPr>
          <w:rFonts w:ascii="仿宋_GB2312" w:hAnsi="仿宋" w:eastAsia="仿宋_GB2312" w:cs="Times New Roman"/>
          <w:sz w:val="32"/>
        </w:rPr>
      </w:pPr>
      <w:r>
        <w:rPr>
          <w:rFonts w:hint="eastAsia" w:ascii="仿宋_GB2312" w:hAnsi="仿宋" w:eastAsia="仿宋_GB2312" w:cs="Times New Roman"/>
          <w:sz w:val="32"/>
        </w:rPr>
        <w:t>地址：</w:t>
      </w:r>
      <w:bookmarkStart w:id="1" w:name="OLE_LINK5"/>
      <w:r>
        <w:rPr>
          <w:rFonts w:hint="eastAsia" w:ascii="仿宋_GB2312" w:hAnsi="仿宋" w:eastAsia="仿宋_GB2312" w:cs="Times New Roman"/>
          <w:sz w:val="32"/>
        </w:rPr>
        <w:t>深圳市龙华区</w:t>
      </w:r>
      <w:r>
        <w:rPr>
          <w:rFonts w:hint="eastAsia" w:ascii="仿宋_GB2312" w:hAnsi="仿宋" w:eastAsia="仿宋_GB2312" w:cs="Times New Roman"/>
          <w:sz w:val="32"/>
          <w:lang w:val="en-US" w:eastAsia="zh-CN"/>
        </w:rPr>
        <w:t>龙华街道</w:t>
      </w:r>
      <w:r>
        <w:rPr>
          <w:rFonts w:hint="eastAsia" w:ascii="仿宋_GB2312" w:hAnsi="仿宋" w:eastAsia="仿宋_GB2312" w:cs="Times New Roman"/>
          <w:sz w:val="32"/>
        </w:rPr>
        <w:t>富康行政</w:t>
      </w:r>
      <w:r>
        <w:rPr>
          <w:rFonts w:hint="eastAsia" w:ascii="仿宋_GB2312" w:hAnsi="仿宋" w:eastAsia="仿宋_GB2312" w:cs="Times New Roman"/>
          <w:sz w:val="32"/>
          <w:lang w:val="en-US" w:eastAsia="zh-CN"/>
        </w:rPr>
        <w:t>服务</w:t>
      </w:r>
      <w:r>
        <w:rPr>
          <w:rFonts w:hint="eastAsia" w:ascii="仿宋_GB2312" w:hAnsi="仿宋" w:eastAsia="仿宋_GB2312" w:cs="Times New Roman"/>
          <w:sz w:val="32"/>
        </w:rPr>
        <w:t>办公区</w:t>
      </w:r>
      <w:bookmarkEnd w:id="1"/>
    </w:p>
    <w:p>
      <w:pPr>
        <w:pStyle w:val="18"/>
        <w:spacing w:line="560" w:lineRule="exact"/>
        <w:rPr>
          <w:rFonts w:ascii="仿宋_GB2312" w:hAnsi="仿宋" w:eastAsia="仿宋_GB2312" w:cs="Times New Roman"/>
          <w:sz w:val="32"/>
        </w:rPr>
      </w:pPr>
      <w:r>
        <w:rPr>
          <w:rFonts w:hint="eastAsia" w:ascii="仿宋_GB2312" w:hAnsi="仿宋" w:eastAsia="仿宋_GB2312" w:cs="Times New Roman"/>
          <w:sz w:val="32"/>
        </w:rPr>
        <w:t>收件人：吴先生</w:t>
      </w:r>
    </w:p>
    <w:p>
      <w:pPr>
        <w:ind w:firstLine="640" w:firstLineChars="200"/>
        <w:rPr>
          <w:rFonts w:hint="default" w:ascii="仿宋_GB2312" w:hAnsi="仿宋" w:eastAsia="仿宋_GB2312" w:cs="Times New Roman"/>
          <w:sz w:val="32"/>
          <w:szCs w:val="22"/>
          <w:lang w:val="en-US" w:eastAsia="zh-CN"/>
        </w:rPr>
      </w:pPr>
      <w:r>
        <w:rPr>
          <w:rFonts w:hint="eastAsia" w:ascii="仿宋_GB2312" w:hAnsi="仿宋" w:eastAsia="仿宋_GB2312" w:cs="Times New Roman"/>
          <w:sz w:val="32"/>
        </w:rPr>
        <w:t>联系方式</w:t>
      </w:r>
      <w:r>
        <w:rPr>
          <w:rFonts w:hint="eastAsia" w:ascii="仿宋_GB2312" w:hAnsi="仿宋" w:eastAsia="仿宋_GB2312" w:cs="Times New Roman"/>
          <w:sz w:val="32"/>
          <w:lang w:eastAsia="zh-CN"/>
        </w:rPr>
        <w:t>：</w:t>
      </w:r>
      <w:r>
        <w:rPr>
          <w:rFonts w:hint="eastAsia" w:ascii="仿宋_GB2312" w:hAnsi="仿宋" w:eastAsia="仿宋_GB2312" w:cs="Times New Roman"/>
          <w:sz w:val="32"/>
          <w:szCs w:val="22"/>
        </w:rPr>
        <w:t>0755-</w:t>
      </w:r>
      <w:r>
        <w:rPr>
          <w:rFonts w:hint="eastAsia" w:ascii="仿宋_GB2312" w:hAnsi="仿宋" w:eastAsia="仿宋_GB2312" w:cs="Times New Roman"/>
          <w:sz w:val="32"/>
          <w:szCs w:val="22"/>
          <w:lang w:val="en-US" w:eastAsia="zh-CN"/>
        </w:rPr>
        <w:t>23338032</w:t>
      </w: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p>
    <w:p>
      <w:pPr>
        <w:pStyle w:val="8"/>
        <w:rPr>
          <w:rFonts w:hint="eastAsia" w:ascii="仿宋_GB2312" w:hAnsi="仿宋" w:eastAsia="仿宋_GB2312" w:cs="Times New Roman"/>
          <w:sz w:val="32"/>
          <w:szCs w:val="22"/>
        </w:rPr>
      </w:pPr>
      <w:bookmarkStart w:id="2" w:name="_GoBack"/>
      <w:bookmarkEnd w:id="2"/>
    </w:p>
    <w:p>
      <w:pPr>
        <w:pStyle w:val="18"/>
        <w:spacing w:line="560" w:lineRule="exact"/>
        <w:ind w:firstLine="0" w:firstLineChars="0"/>
        <w:rPr>
          <w:rFonts w:hint="default" w:ascii="黑体" w:hAnsi="黑体" w:eastAsia="黑体" w:cs="黑体"/>
          <w:color w:val="000000"/>
          <w:sz w:val="32"/>
          <w:szCs w:val="32"/>
          <w:lang w:val="en-US" w:eastAsia="zh-CN"/>
        </w:rPr>
      </w:pPr>
      <w:r>
        <w:rPr>
          <w:rFonts w:hint="eastAsia" w:ascii="仿宋_GB2312" w:hAnsi="仿宋" w:eastAsia="仿宋_GB2312" w:cs="Times New Roman"/>
          <w:sz w:val="32"/>
          <w:szCs w:val="22"/>
        </w:rPr>
        <w:br w:type="page"/>
      </w:r>
      <w:r>
        <w:rPr>
          <w:rFonts w:hint="eastAsia" w:ascii="黑体" w:hAnsi="黑体" w:eastAsia="黑体" w:cs="黑体"/>
          <w:color w:val="000000"/>
          <w:sz w:val="32"/>
          <w:szCs w:val="32"/>
          <w:lang w:eastAsia="zh-CN"/>
        </w:rPr>
        <w:t>附件</w:t>
      </w:r>
      <w:r>
        <w:rPr>
          <w:rFonts w:hint="eastAsia" w:ascii="黑体" w:hAnsi="黑体" w:eastAsia="黑体" w:cs="黑体"/>
          <w:color w:val="000000"/>
          <w:sz w:val="32"/>
          <w:szCs w:val="32"/>
          <w:lang w:val="en-US" w:eastAsia="zh-CN"/>
        </w:rPr>
        <w:t>1</w:t>
      </w:r>
    </w:p>
    <w:p>
      <w:pPr>
        <w:pStyle w:val="4"/>
        <w:numPr>
          <w:ilvl w:val="0"/>
          <w:numId w:val="0"/>
        </w:numPr>
        <w:jc w:val="center"/>
        <w:outlineLvl w:val="3"/>
        <w:rPr>
          <w:rFonts w:hint="eastAsia" w:ascii="黑体" w:eastAsia="黑体"/>
          <w:b w:val="0"/>
          <w:color w:val="auto"/>
          <w:kern w:val="0"/>
          <w:sz w:val="24"/>
          <w:highlight w:val="none"/>
          <w:lang w:eastAsia="zh-CN"/>
        </w:rPr>
      </w:pPr>
      <w:r>
        <w:rPr>
          <w:rFonts w:hint="eastAsia" w:ascii="黑体"/>
          <w:b w:val="0"/>
          <w:color w:val="auto"/>
          <w:kern w:val="0"/>
          <w:sz w:val="24"/>
          <w:highlight w:val="none"/>
          <w:lang w:eastAsia="zh-CN"/>
        </w:rPr>
        <w:t>诚信承诺书</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宋体" w:hAnsi="宋体"/>
          <w:color w:val="auto"/>
          <w:sz w:val="21"/>
          <w:szCs w:val="21"/>
          <w:highlight w:val="none"/>
        </w:rPr>
      </w:pPr>
      <w:r>
        <w:rPr>
          <w:rFonts w:hint="eastAsia" w:ascii="宋体" w:hAnsi="宋体"/>
          <w:color w:val="auto"/>
          <w:sz w:val="21"/>
          <w:szCs w:val="21"/>
          <w:highlight w:val="none"/>
        </w:rPr>
        <w:t>致：</w:t>
      </w:r>
      <w:r>
        <w:rPr>
          <w:rFonts w:hint="eastAsia" w:ascii="宋体" w:hAnsi="宋体"/>
          <w:color w:val="auto"/>
          <w:sz w:val="21"/>
          <w:szCs w:val="21"/>
          <w:highlight w:val="none"/>
          <w:u w:val="single"/>
        </w:rPr>
        <w:t>深圳市龙华区文化广电旅游体育局</w:t>
      </w:r>
    </w:p>
    <w:p>
      <w:pPr>
        <w:keepNext w:val="0"/>
        <w:keepLines w:val="0"/>
        <w:pageBreakBefore w:val="0"/>
        <w:widowControl w:val="0"/>
        <w:kinsoku/>
        <w:wordWrap/>
        <w:overflowPunct/>
        <w:topLinePunct w:val="0"/>
        <w:autoSpaceDE/>
        <w:autoSpaceDN/>
        <w:bidi w:val="0"/>
        <w:adjustRightInd/>
        <w:snapToGrid/>
        <w:spacing w:line="400" w:lineRule="exact"/>
        <w:ind w:right="-815"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我单位承诺：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1.我单位参与本项目所投标（响应）的货物、工程或服务，不存在侵犯知识产权的情况。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2.我单位参与本项目</w:t>
      </w:r>
      <w:r>
        <w:rPr>
          <w:rFonts w:hint="eastAsia"/>
          <w:color w:val="auto"/>
          <w:sz w:val="21"/>
          <w:szCs w:val="21"/>
          <w:highlight w:val="none"/>
        </w:rPr>
        <w:t>政府采购活动时不存在被有关部门禁止参与政府采购活动且在有效期内的情况。</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3.我单位具备《中华人民共和国政府采购法》第二十二条第一款规定的六项条件。</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4.我单位</w:t>
      </w:r>
      <w:r>
        <w:rPr>
          <w:rFonts w:hint="eastAsia"/>
          <w:color w:val="auto"/>
          <w:sz w:val="21"/>
          <w:szCs w:val="21"/>
          <w:highlight w:val="none"/>
        </w:rPr>
        <w:t>未被列入失信被执行人、</w:t>
      </w:r>
      <w:r>
        <w:rPr>
          <w:rFonts w:hint="eastAsia"/>
          <w:color w:val="auto"/>
          <w:sz w:val="21"/>
          <w:szCs w:val="21"/>
          <w:highlight w:val="none"/>
          <w:lang w:eastAsia="zh-CN"/>
        </w:rPr>
        <w:t>重大税收违法案件当事人名单</w:t>
      </w:r>
      <w:r>
        <w:rPr>
          <w:rFonts w:hint="eastAsia"/>
          <w:color w:val="auto"/>
          <w:sz w:val="21"/>
          <w:szCs w:val="21"/>
          <w:highlight w:val="none"/>
        </w:rPr>
        <w:t>、政府采购严重违法失信行为记录名单。</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5.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lang w:val="en-US" w:eastAsia="zh-CN"/>
        </w:rPr>
        <w:t>6</w:t>
      </w:r>
      <w:r>
        <w:rPr>
          <w:rFonts w:hint="eastAsia" w:ascii="宋体" w:hAnsi="宋体"/>
          <w:color w:val="auto"/>
          <w:sz w:val="21"/>
          <w:szCs w:val="21"/>
          <w:highlight w:val="none"/>
        </w:rPr>
        <w:t>.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bCs/>
          <w:color w:val="auto"/>
          <w:sz w:val="21"/>
          <w:szCs w:val="21"/>
          <w:highlight w:val="none"/>
        </w:rPr>
      </w:pPr>
      <w:r>
        <w:rPr>
          <w:rFonts w:hint="eastAsia" w:ascii="宋体" w:hAnsi="宋体"/>
          <w:bCs/>
          <w:color w:val="auto"/>
          <w:sz w:val="21"/>
          <w:szCs w:val="21"/>
          <w:highlight w:val="none"/>
          <w:lang w:val="en-US" w:eastAsia="zh-CN"/>
        </w:rPr>
        <w:t>7</w:t>
      </w:r>
      <w:r>
        <w:rPr>
          <w:rFonts w:hint="eastAsia" w:ascii="宋体" w:hAnsi="宋体"/>
          <w:bCs/>
          <w:color w:val="auto"/>
          <w:sz w:val="21"/>
          <w:szCs w:val="21"/>
          <w:highlight w:val="none"/>
        </w:rPr>
        <w:t>.我单位保证，符合《中华人民共和国政府采购法实施条例》第十八条规定，与其他投标供应商不存在单位负责人为同一人或者存在直接控股、管理关系；未对本次采购项目提供整体设计、规范编制或者项目管理、监理、检测等服务的情形。</w:t>
      </w:r>
    </w:p>
    <w:p>
      <w:pPr>
        <w:keepNext w:val="0"/>
        <w:keepLines w:val="0"/>
        <w:pageBreakBefore w:val="0"/>
        <w:widowControl w:val="0"/>
        <w:kinsoku/>
        <w:wordWrap/>
        <w:overflowPunct/>
        <w:topLinePunct w:val="0"/>
        <w:autoSpaceDE/>
        <w:autoSpaceDN/>
        <w:bidi w:val="0"/>
        <w:adjustRightInd/>
        <w:snapToGrid/>
        <w:spacing w:line="400" w:lineRule="exact"/>
        <w:ind w:firstLine="421" w:firstLineChars="200"/>
        <w:textAlignment w:val="auto"/>
        <w:rPr>
          <w:rFonts w:ascii="宋体" w:hAnsi="宋体"/>
          <w:color w:val="auto"/>
          <w:sz w:val="21"/>
          <w:szCs w:val="21"/>
          <w:highlight w:val="none"/>
        </w:rPr>
      </w:pPr>
      <w:r>
        <w:rPr>
          <w:rFonts w:hint="eastAsia" w:ascii="宋体" w:hAnsi="宋体"/>
          <w:b/>
          <w:color w:val="auto"/>
          <w:sz w:val="21"/>
          <w:szCs w:val="21"/>
          <w:highlight w:val="none"/>
          <w:lang w:val="en-US" w:eastAsia="zh-CN"/>
        </w:rPr>
        <w:t>8</w:t>
      </w:r>
      <w:r>
        <w:rPr>
          <w:rFonts w:hint="eastAsia" w:ascii="宋体" w:hAnsi="宋体"/>
          <w:b/>
          <w:color w:val="auto"/>
          <w:sz w:val="21"/>
          <w:szCs w:val="21"/>
          <w:highlight w:val="none"/>
        </w:rPr>
        <w:t>.我单位清楚，如存在违反投标承诺行为情节严重的，将根据《深圳市财政局关于印发&lt;深圳市财政局政府采购供应商信用信息管理办法&gt;的通知》，依法被列入失信信息。</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ascii="宋体" w:hAnsi="宋体"/>
          <w:color w:val="auto"/>
          <w:sz w:val="21"/>
          <w:szCs w:val="21"/>
          <w:highlight w:val="none"/>
        </w:rPr>
      </w:pPr>
      <w:r>
        <w:rPr>
          <w:rFonts w:hint="eastAsia" w:ascii="宋体" w:hAnsi="宋体"/>
          <w:color w:val="auto"/>
          <w:sz w:val="21"/>
          <w:szCs w:val="21"/>
          <w:highlight w:val="none"/>
        </w:rPr>
        <w:t>以上承诺，如有违反，愿依照国家相关法律法规处理，并承担由此给采购人带来的损失。</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hint="eastAsia" w:ascii="宋体" w:hAnsi="宋体"/>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rFonts w:ascii="宋体" w:hAnsi="宋体"/>
          <w:color w:val="auto"/>
          <w:sz w:val="21"/>
          <w:szCs w:val="21"/>
          <w:highlight w:val="none"/>
        </w:rPr>
      </w:pPr>
      <w:r>
        <w:rPr>
          <w:rFonts w:hint="eastAsia" w:ascii="宋体" w:hAnsi="宋体"/>
          <w:color w:val="auto"/>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before="60" w:beforeLines="25" w:after="60" w:afterLines="25" w:line="400" w:lineRule="exact"/>
        <w:ind w:firstLine="5460" w:firstLineChars="2600"/>
        <w:textAlignment w:val="auto"/>
        <w:rPr>
          <w:color w:val="auto"/>
          <w:sz w:val="21"/>
          <w:szCs w:val="21"/>
          <w:highlight w:val="none"/>
        </w:rPr>
      </w:pPr>
      <w:r>
        <w:rPr>
          <w:rFonts w:hint="eastAsia"/>
          <w:color w:val="auto"/>
          <w:sz w:val="21"/>
          <w:szCs w:val="21"/>
          <w:highlight w:val="none"/>
        </w:rPr>
        <w:t>投标人：</w:t>
      </w:r>
      <w:r>
        <w:rPr>
          <w:rFonts w:hint="eastAsia"/>
          <w:color w:val="auto"/>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645"/>
        <w:textAlignment w:val="auto"/>
        <w:rPr>
          <w:rFonts w:ascii="宋体" w:hAnsi="宋体"/>
          <w:color w:val="auto"/>
          <w:sz w:val="21"/>
          <w:szCs w:val="21"/>
          <w:highlight w:val="none"/>
        </w:rPr>
      </w:pPr>
      <w:r>
        <w:rPr>
          <w:rFonts w:hint="eastAsia" w:ascii="宋体" w:hAnsi="宋体"/>
          <w:color w:val="auto"/>
          <w:sz w:val="21"/>
          <w:szCs w:val="21"/>
          <w:highlight w:val="none"/>
        </w:rPr>
        <w:t xml:space="preserve">                                              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rPr>
          <w:rFonts w:hint="default"/>
          <w:lang w:val="en-US" w:eastAsia="zh-CN"/>
        </w:rPr>
      </w:pPr>
    </w:p>
    <w:p>
      <w:pPr>
        <w:pStyle w:val="6"/>
        <w:rPr>
          <w:rFonts w:hint="default"/>
          <w:lang w:val="en-US" w:eastAsia="zh-CN"/>
        </w:rPr>
      </w:pPr>
    </w:p>
    <w:p>
      <w:pPr>
        <w:pStyle w:val="18"/>
        <w:spacing w:line="560" w:lineRule="exact"/>
        <w:ind w:firstLine="0" w:firstLineChars="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pStyle w:val="11"/>
        <w:snapToGrid w:val="0"/>
        <w:spacing w:before="0" w:after="0" w:line="560" w:lineRule="exact"/>
        <w:rPr>
          <w:rFonts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供应商基本情况表</w:t>
      </w:r>
    </w:p>
    <w:p>
      <w:pPr>
        <w:spacing w:line="560" w:lineRule="exact"/>
        <w:jc w:val="left"/>
        <w:rPr>
          <w:rFonts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填表单位：（加盖单位公章）</w:t>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ab/>
      </w:r>
      <w:r>
        <w:rPr>
          <w:rFonts w:hint="eastAsia" w:ascii="方正仿宋_GBK" w:hAnsi="方正仿宋_GBK" w:eastAsia="方正仿宋_GBK" w:cs="方正仿宋_GBK"/>
          <w:sz w:val="28"/>
          <w:szCs w:val="28"/>
        </w:rPr>
        <w:t xml:space="preserve">   填表日期：    年   月   日</w:t>
      </w:r>
    </w:p>
    <w:tbl>
      <w:tblPr>
        <w:tblStyle w:val="13"/>
        <w:tblW w:w="10545" w:type="dxa"/>
        <w:tblInd w:w="-9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94"/>
        <w:gridCol w:w="1062"/>
        <w:gridCol w:w="1283"/>
        <w:gridCol w:w="1270"/>
        <w:gridCol w:w="791"/>
        <w:gridCol w:w="1200"/>
        <w:gridCol w:w="1500"/>
        <w:gridCol w:w="21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trPr>
        <w:tc>
          <w:tcPr>
            <w:tcW w:w="2356"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采购人</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项目名称</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56"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投标（响应）供应商</w:t>
            </w:r>
          </w:p>
        </w:tc>
        <w:tc>
          <w:tcPr>
            <w:tcW w:w="2553" w:type="dxa"/>
            <w:gridSpan w:val="2"/>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供应商统一社会信用代码</w:t>
            </w:r>
          </w:p>
        </w:tc>
        <w:tc>
          <w:tcPr>
            <w:tcW w:w="3645" w:type="dxa"/>
            <w:gridSpan w:val="2"/>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投标（响应）供应商相关人员情况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94"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职务</w:t>
            </w:r>
          </w:p>
        </w:tc>
        <w:tc>
          <w:tcPr>
            <w:tcW w:w="1270"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姓名</w:t>
            </w:r>
          </w:p>
        </w:tc>
        <w:tc>
          <w:tcPr>
            <w:tcW w:w="199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身份证号码</w:t>
            </w:r>
          </w:p>
        </w:tc>
        <w:tc>
          <w:tcPr>
            <w:tcW w:w="1500"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劳动合同</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关系单位</w:t>
            </w:r>
          </w:p>
        </w:tc>
        <w:tc>
          <w:tcPr>
            <w:tcW w:w="2145" w:type="dxa"/>
            <w:tcBorders>
              <w:bottom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缴纳社会</w:t>
            </w:r>
          </w:p>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保险单位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法定代表人/单位负责人/主要经营负责人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2"/>
                <w:szCs w:val="22"/>
              </w:rPr>
              <w:t>项目投标授权代表人</w:t>
            </w:r>
          </w:p>
        </w:tc>
        <w:tc>
          <w:tcPr>
            <w:tcW w:w="127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3</w:t>
            </w:r>
          </w:p>
        </w:tc>
        <w:tc>
          <w:tcPr>
            <w:tcW w:w="2345" w:type="dxa"/>
            <w:gridSpan w:val="2"/>
            <w:tcBorders>
              <w:top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项目负责人</w:t>
            </w:r>
          </w:p>
        </w:tc>
        <w:tc>
          <w:tcPr>
            <w:tcW w:w="127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1991" w:type="dxa"/>
            <w:gridSpan w:val="2"/>
            <w:tcBorders>
              <w:top w:val="single" w:color="auto" w:sz="4" w:space="0"/>
            </w:tcBorders>
            <w:noWrap w:val="0"/>
            <w:vAlign w:val="center"/>
          </w:tcPr>
          <w:p>
            <w:pPr>
              <w:jc w:val="left"/>
              <w:rPr>
                <w:rFonts w:ascii="方正仿宋_GBK" w:hAnsi="方正仿宋_GBK" w:eastAsia="方正仿宋_GBK" w:cs="方正仿宋_GBK"/>
                <w:sz w:val="24"/>
              </w:rPr>
            </w:pPr>
          </w:p>
        </w:tc>
        <w:tc>
          <w:tcPr>
            <w:tcW w:w="1500" w:type="dxa"/>
            <w:tcBorders>
              <w:top w:val="single" w:color="auto" w:sz="4" w:space="0"/>
            </w:tcBorders>
            <w:noWrap w:val="0"/>
            <w:vAlign w:val="center"/>
          </w:tcPr>
          <w:p>
            <w:pPr>
              <w:jc w:val="left"/>
              <w:rPr>
                <w:rFonts w:ascii="方正仿宋_GBK" w:hAnsi="方正仿宋_GBK" w:eastAsia="方正仿宋_GBK" w:cs="方正仿宋_GBK"/>
                <w:sz w:val="24"/>
              </w:rPr>
            </w:pPr>
          </w:p>
        </w:tc>
        <w:tc>
          <w:tcPr>
            <w:tcW w:w="2145" w:type="dxa"/>
            <w:tcBorders>
              <w:top w:val="single" w:color="auto" w:sz="4" w:space="0"/>
            </w:tcBorders>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4</w:t>
            </w:r>
          </w:p>
        </w:tc>
        <w:tc>
          <w:tcPr>
            <w:tcW w:w="2345" w:type="dxa"/>
            <w:gridSpan w:val="2"/>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主要技术人员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5</w:t>
            </w:r>
          </w:p>
        </w:tc>
        <w:tc>
          <w:tcPr>
            <w:tcW w:w="2345" w:type="dxa"/>
            <w:gridSpan w:val="2"/>
            <w:noWrap w:val="0"/>
            <w:vAlign w:val="center"/>
          </w:tcPr>
          <w:p>
            <w:pPr>
              <w:pStyle w:val="2"/>
              <w:snapToGrid w:val="0"/>
              <w:spacing w:line="240" w:lineRule="auto"/>
              <w:ind w:firstLine="0" w:firstLineChars="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投标文件编制人员</w:t>
            </w:r>
          </w:p>
        </w:tc>
        <w:tc>
          <w:tcPr>
            <w:tcW w:w="1270" w:type="dxa"/>
            <w:noWrap w:val="0"/>
            <w:vAlign w:val="center"/>
          </w:tcPr>
          <w:p>
            <w:pPr>
              <w:jc w:val="left"/>
              <w:rPr>
                <w:rFonts w:ascii="方正仿宋_GBK" w:hAnsi="方正仿宋_GBK" w:eastAsia="方正仿宋_GBK" w:cs="方正仿宋_GBK"/>
                <w:sz w:val="24"/>
              </w:rPr>
            </w:pPr>
          </w:p>
        </w:tc>
        <w:tc>
          <w:tcPr>
            <w:tcW w:w="1991" w:type="dxa"/>
            <w:gridSpan w:val="2"/>
            <w:noWrap w:val="0"/>
            <w:vAlign w:val="center"/>
          </w:tcPr>
          <w:p>
            <w:pPr>
              <w:jc w:val="left"/>
              <w:rPr>
                <w:rFonts w:ascii="方正仿宋_GBK" w:hAnsi="方正仿宋_GBK" w:eastAsia="方正仿宋_GBK" w:cs="方正仿宋_GBK"/>
                <w:sz w:val="24"/>
              </w:rPr>
            </w:pPr>
          </w:p>
        </w:tc>
        <w:tc>
          <w:tcPr>
            <w:tcW w:w="1500" w:type="dxa"/>
            <w:noWrap w:val="0"/>
            <w:vAlign w:val="center"/>
          </w:tcPr>
          <w:p>
            <w:pPr>
              <w:jc w:val="left"/>
              <w:rPr>
                <w:rFonts w:ascii="方正仿宋_GBK" w:hAnsi="方正仿宋_GBK" w:eastAsia="方正仿宋_GBK" w:cs="方正仿宋_GBK"/>
                <w:sz w:val="24"/>
              </w:rPr>
            </w:pPr>
          </w:p>
        </w:tc>
        <w:tc>
          <w:tcPr>
            <w:tcW w:w="2145" w:type="dxa"/>
            <w:noWrap w:val="0"/>
            <w:vAlign w:val="center"/>
          </w:tcPr>
          <w:p>
            <w:pPr>
              <w:jc w:val="left"/>
              <w:rPr>
                <w:rFonts w:ascii="方正仿宋_GBK" w:hAnsi="方正仿宋_GBK" w:eastAsia="方正仿宋_GBK" w:cs="方正仿宋_GBK"/>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说明：同一职务有多人担任（如主要技术人员），应分行填写。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trPr>
        <w:tc>
          <w:tcPr>
            <w:tcW w:w="10545" w:type="dxa"/>
            <w:gridSpan w:val="8"/>
            <w:noWrap w:val="0"/>
            <w:vAlign w:val="center"/>
          </w:tcPr>
          <w:p>
            <w:pPr>
              <w:jc w:val="left"/>
              <w:rPr>
                <w:rFonts w:ascii="方正仿宋_GBK" w:hAnsi="方正仿宋_GBK" w:eastAsia="方正仿宋_GBK" w:cs="方正仿宋_GBK"/>
                <w:b/>
                <w:bCs/>
                <w:sz w:val="24"/>
              </w:rPr>
            </w:pPr>
            <w:r>
              <w:rPr>
                <w:rFonts w:hint="eastAsia" w:ascii="方正仿宋_GBK" w:hAnsi="方正仿宋_GBK" w:eastAsia="方正仿宋_GBK" w:cs="方正仿宋_GBK"/>
                <w:b/>
                <w:bCs/>
                <w:sz w:val="24"/>
              </w:rPr>
              <w:t>投标（响应）供应商关联关系情况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序号</w:t>
            </w:r>
          </w:p>
        </w:tc>
        <w:tc>
          <w:tcPr>
            <w:tcW w:w="2345"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关联关系类型</w:t>
            </w:r>
          </w:p>
        </w:tc>
        <w:tc>
          <w:tcPr>
            <w:tcW w:w="2061" w:type="dxa"/>
            <w:gridSpan w:val="2"/>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关联主体名称</w:t>
            </w:r>
          </w:p>
        </w:tc>
        <w:tc>
          <w:tcPr>
            <w:tcW w:w="4845" w:type="dxa"/>
            <w:gridSpan w:val="3"/>
            <w:tcBorders>
              <w:bottom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1</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控股股东</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18"/>
                <w:szCs w:val="18"/>
              </w:rPr>
              <w:t>指出资额（或持有股份）占投标（响应）供应商资本总额（或股本总额）50%以上的股东，以及出资额（或持有股份）的比例虽然不足50%，但依其出资额（或持有股份）所享有的表决权已足以对投标（响应）供应商股东会（或股东大会）的决议产生重要影响的股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94" w:type="dxa"/>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2</w:t>
            </w:r>
          </w:p>
        </w:tc>
        <w:tc>
          <w:tcPr>
            <w:tcW w:w="2345"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管理关系</w:t>
            </w:r>
          </w:p>
        </w:tc>
        <w:tc>
          <w:tcPr>
            <w:tcW w:w="2061" w:type="dxa"/>
            <w:gridSpan w:val="2"/>
            <w:tcBorders>
              <w:top w:val="single" w:color="auto" w:sz="4" w:space="0"/>
              <w:left w:val="single" w:color="auto" w:sz="4" w:space="0"/>
              <w:bottom w:val="single" w:color="auto" w:sz="4" w:space="0"/>
              <w:right w:val="single" w:color="auto" w:sz="4" w:space="0"/>
            </w:tcBorders>
            <w:noWrap w:val="0"/>
            <w:vAlign w:val="center"/>
          </w:tcPr>
          <w:p>
            <w:pPr>
              <w:jc w:val="left"/>
              <w:rPr>
                <w:rFonts w:ascii="方正仿宋_GBK" w:hAnsi="方正仿宋_GBK" w:eastAsia="方正仿宋_GBK" w:cs="方正仿宋_GBK"/>
                <w:sz w:val="24"/>
              </w:rPr>
            </w:pPr>
          </w:p>
        </w:tc>
        <w:tc>
          <w:tcPr>
            <w:tcW w:w="4845" w:type="dxa"/>
            <w:gridSpan w:val="3"/>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sz w:val="24"/>
              </w:rPr>
              <w:t>指对投标（响应）供应商不具有出资持股关系，但对其存在管理关系的主体。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45" w:type="dxa"/>
            <w:gridSpan w:val="8"/>
            <w:tcBorders>
              <w:top w:val="single" w:color="auto" w:sz="4" w:space="0"/>
              <w:left w:val="single" w:color="auto" w:sz="4" w:space="0"/>
              <w:bottom w:val="single" w:color="auto" w:sz="4" w:space="0"/>
              <w:right w:val="single" w:color="auto" w:sz="4" w:space="0"/>
            </w:tcBorders>
            <w:noWrap w:val="0"/>
            <w:vAlign w:val="center"/>
          </w:tcPr>
          <w:p>
            <w:pPr>
              <w:snapToGrid w:val="0"/>
              <w:jc w:val="left"/>
              <w:rPr>
                <w:rFonts w:ascii="方正仿宋_GBK" w:hAnsi="方正仿宋_GBK" w:eastAsia="方正仿宋_GBK" w:cs="方正仿宋_GBK"/>
                <w:sz w:val="24"/>
              </w:rPr>
            </w:pPr>
            <w:r>
              <w:rPr>
                <w:rFonts w:hint="eastAsia" w:ascii="方正仿宋_GBK" w:hAnsi="方正仿宋_GBK" w:eastAsia="方正仿宋_GBK" w:cs="方正仿宋_GBK"/>
                <w:b/>
                <w:bCs/>
                <w:sz w:val="24"/>
              </w:rPr>
              <w:t>说明：同一关联关系类型有多个主体的，应分行填写。</w:t>
            </w:r>
          </w:p>
        </w:tc>
      </w:tr>
    </w:tbl>
    <w:p>
      <w:pPr>
        <w:rPr>
          <w:rFonts w:hint="default"/>
          <w:lang w:val="en-US" w:eastAsia="zh-CN"/>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modern"/>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Light">
    <w:altName w:val="华文中宋"/>
    <w:panose1 w:val="02010600030101010101"/>
    <w:charset w:val="00"/>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Times">
    <w:altName w:val="DejaVu Sans"/>
    <w:panose1 w:val="02020603050405020304"/>
    <w:charset w:val="00"/>
    <w:family w:val="roman"/>
    <w:pitch w:val="default"/>
    <w:sig w:usb0="00000000" w:usb1="00000000" w:usb2="00000009" w:usb3="00000000" w:csb0="000001FF" w:csb1="00000000"/>
  </w:font>
  <w:font w:name="等线">
    <w:altName w:val="华文中宋"/>
    <w:panose1 w:val="02010600030101010101"/>
    <w:charset w:val="00"/>
    <w:family w:val="auto"/>
    <w:pitch w:val="default"/>
    <w:sig w:usb0="00000000" w:usb1="00000000" w:usb2="00000016" w:usb3="00000000" w:csb0="0004000F" w:csb1="00000000"/>
  </w:font>
  <w:font w:name="微软雅黑">
    <w:altName w:val="方正黑体_GBK"/>
    <w:panose1 w:val="020B0503020204020204"/>
    <w:charset w:val="86"/>
    <w:family w:val="auto"/>
    <w:pitch w:val="default"/>
    <w:sig w:usb0="00000000" w:usb1="00000000" w:usb2="00000016" w:usb3="00000000" w:csb0="0004001F" w:csb1="00000000"/>
  </w:font>
  <w:font w:name="方正小标宋简体">
    <w:panose1 w:val="02000000000000000000"/>
    <w:charset w:val="86"/>
    <w:family w:val="auto"/>
    <w:pitch w:val="default"/>
    <w:sig w:usb0="A00002BF" w:usb1="184F6CFA" w:usb2="00000012" w:usb3="00000000" w:csb0="00040001"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9DDE81"/>
    <w:multiLevelType w:val="singleLevel"/>
    <w:tmpl w:val="EB9DDE81"/>
    <w:lvl w:ilvl="0" w:tentative="0">
      <w:start w:val="1"/>
      <w:numFmt w:val="chineseCounting"/>
      <w:suff w:val="nothing"/>
      <w:lvlText w:val="%1、"/>
      <w:lvlJc w:val="left"/>
      <w:rPr>
        <w:rFonts w:hint="eastAsia"/>
      </w:rPr>
    </w:lvl>
  </w:abstractNum>
  <w:abstractNum w:abstractNumId="1">
    <w:nsid w:val="4A99746B"/>
    <w:multiLevelType w:val="singleLevel"/>
    <w:tmpl w:val="4A99746B"/>
    <w:lvl w:ilvl="0" w:tentative="0">
      <w:start w:val="1"/>
      <w:numFmt w:val="chineseCounting"/>
      <w:suff w:val="nothing"/>
      <w:lvlText w:val="（%1）"/>
      <w:lvlJc w:val="left"/>
      <w:rPr>
        <w:rFonts w:hint="eastAsia"/>
      </w:rPr>
    </w:lvl>
  </w:abstractNum>
  <w:abstractNum w:abstractNumId="2">
    <w:nsid w:val="66309E8F"/>
    <w:multiLevelType w:val="singleLevel"/>
    <w:tmpl w:val="66309E8F"/>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76E1AF"/>
    <w:rsid w:val="00532B84"/>
    <w:rsid w:val="00A65FA9"/>
    <w:rsid w:val="04003C23"/>
    <w:rsid w:val="04D5397F"/>
    <w:rsid w:val="04EA3143"/>
    <w:rsid w:val="05D860D3"/>
    <w:rsid w:val="0A4725AB"/>
    <w:rsid w:val="0D3B0F36"/>
    <w:rsid w:val="0D566BC9"/>
    <w:rsid w:val="0D7D62E4"/>
    <w:rsid w:val="135366B2"/>
    <w:rsid w:val="14A2631D"/>
    <w:rsid w:val="14C34F24"/>
    <w:rsid w:val="165D6C96"/>
    <w:rsid w:val="17CA43B1"/>
    <w:rsid w:val="1CA8200C"/>
    <w:rsid w:val="1EFA5B6D"/>
    <w:rsid w:val="1FF16DE9"/>
    <w:rsid w:val="20D34CF2"/>
    <w:rsid w:val="252209F9"/>
    <w:rsid w:val="27A56A4D"/>
    <w:rsid w:val="293E783A"/>
    <w:rsid w:val="2E825641"/>
    <w:rsid w:val="2FC72F9E"/>
    <w:rsid w:val="30A134FB"/>
    <w:rsid w:val="326E42CA"/>
    <w:rsid w:val="340805C4"/>
    <w:rsid w:val="34B77A7C"/>
    <w:rsid w:val="34E56399"/>
    <w:rsid w:val="38E74FAB"/>
    <w:rsid w:val="39CE38A0"/>
    <w:rsid w:val="3AFD213B"/>
    <w:rsid w:val="3DFC634D"/>
    <w:rsid w:val="3F9024D6"/>
    <w:rsid w:val="44574D74"/>
    <w:rsid w:val="448648CA"/>
    <w:rsid w:val="4B4B2FA2"/>
    <w:rsid w:val="4D143C7F"/>
    <w:rsid w:val="4F751EFD"/>
    <w:rsid w:val="4FBE245E"/>
    <w:rsid w:val="50344A78"/>
    <w:rsid w:val="505312A6"/>
    <w:rsid w:val="50BF7C5D"/>
    <w:rsid w:val="50FB2D75"/>
    <w:rsid w:val="52672C2E"/>
    <w:rsid w:val="57266671"/>
    <w:rsid w:val="58A1230D"/>
    <w:rsid w:val="58B24661"/>
    <w:rsid w:val="59F842F5"/>
    <w:rsid w:val="5F2BE56A"/>
    <w:rsid w:val="66275D7F"/>
    <w:rsid w:val="671D4941"/>
    <w:rsid w:val="69701D6D"/>
    <w:rsid w:val="6BEA339E"/>
    <w:rsid w:val="6DF758F9"/>
    <w:rsid w:val="6DFFCD9E"/>
    <w:rsid w:val="6EBD5A97"/>
    <w:rsid w:val="6F051921"/>
    <w:rsid w:val="71511EEF"/>
    <w:rsid w:val="71BB412E"/>
    <w:rsid w:val="720C2BDC"/>
    <w:rsid w:val="777ECDFC"/>
    <w:rsid w:val="795310F0"/>
    <w:rsid w:val="7A7B5643"/>
    <w:rsid w:val="7D9F3A20"/>
    <w:rsid w:val="7DD39989"/>
    <w:rsid w:val="B7FE4D38"/>
    <w:rsid w:val="BBFF548B"/>
    <w:rsid w:val="DFFF69F1"/>
    <w:rsid w:val="E376E1AF"/>
    <w:rsid w:val="EBDD9587"/>
    <w:rsid w:val="FA9F3AE0"/>
    <w:rsid w:val="FFEF2F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5">
    <w:name w:val="annotation text"/>
    <w:basedOn w:val="1"/>
    <w:qFormat/>
    <w:uiPriority w:val="0"/>
    <w:pPr>
      <w:autoSpaceDE w:val="0"/>
      <w:autoSpaceDN w:val="0"/>
      <w:adjustRightInd w:val="0"/>
      <w:jc w:val="left"/>
      <w:textAlignment w:val="baseline"/>
    </w:pPr>
    <w:rPr>
      <w:rFonts w:ascii="宋体"/>
      <w:kern w:val="0"/>
      <w:sz w:val="34"/>
      <w:szCs w:val="20"/>
    </w:rPr>
  </w:style>
  <w:style w:type="paragraph" w:styleId="6">
    <w:name w:val="Body Text"/>
    <w:basedOn w:val="1"/>
    <w:next w:val="1"/>
    <w:qFormat/>
    <w:uiPriority w:val="0"/>
    <w:pPr>
      <w:spacing w:after="120"/>
    </w:pPr>
  </w:style>
  <w:style w:type="paragraph" w:styleId="7">
    <w:name w:val="Block Text"/>
    <w:basedOn w:val="1"/>
    <w:qFormat/>
    <w:uiPriority w:val="0"/>
    <w:pPr>
      <w:tabs>
        <w:tab w:val="left" w:pos="426"/>
      </w:tabs>
      <w:spacing w:after="120"/>
      <w:ind w:left="1440" w:leftChars="700" w:right="1440" w:rightChars="700"/>
    </w:pPr>
  </w:style>
  <w:style w:type="paragraph" w:styleId="8">
    <w:name w:val="Plain Text"/>
    <w:basedOn w:val="1"/>
    <w:unhideWhenUsed/>
    <w:qFormat/>
    <w:uiPriority w:val="99"/>
    <w:rPr>
      <w:rFonts w:ascii="宋体" w:hAnsi="Calibri" w:cs="Courier New"/>
      <w:szCs w:val="21"/>
    </w:rPr>
  </w:style>
  <w:style w:type="paragraph" w:styleId="9">
    <w:name w:val="toc 1"/>
    <w:basedOn w:val="1"/>
    <w:next w:val="1"/>
    <w:qFormat/>
    <w:uiPriority w:val="39"/>
    <w:rPr>
      <w:rFonts w:ascii="Calibri" w:hAnsi="Calibri" w:eastAsia="宋体" w:cs="Times New Roman"/>
    </w:rPr>
  </w:style>
  <w:style w:type="paragraph" w:styleId="10">
    <w:name w:val="Body Text 2"/>
    <w:basedOn w:val="1"/>
    <w:qFormat/>
    <w:uiPriority w:val="0"/>
    <w:pPr>
      <w:spacing w:line="360" w:lineRule="auto"/>
    </w:pPr>
    <w:rPr>
      <w:sz w:val="24"/>
    </w:rPr>
  </w:style>
  <w:style w:type="paragraph" w:styleId="11">
    <w:name w:val="Title"/>
    <w:basedOn w:val="1"/>
    <w:next w:val="1"/>
    <w:qFormat/>
    <w:uiPriority w:val="10"/>
    <w:pPr>
      <w:spacing w:before="240" w:after="60"/>
      <w:jc w:val="center"/>
      <w:outlineLvl w:val="0"/>
    </w:pPr>
    <w:rPr>
      <w:rFonts w:ascii="等线 Light" w:hAnsi="等线 Light" w:eastAsia="宋体" w:cs="Times New Roman"/>
      <w:b/>
      <w:bCs/>
      <w:sz w:val="32"/>
      <w:szCs w:val="32"/>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5">
    <w:name w:val="List Paragraph"/>
    <w:basedOn w:val="16"/>
    <w:qFormat/>
    <w:uiPriority w:val="34"/>
    <w:pPr>
      <w:ind w:firstLine="420" w:firstLineChars="200"/>
    </w:pPr>
  </w:style>
  <w:style w:type="paragraph" w:customStyle="1" w:styleId="16">
    <w:name w:val="星耀正文"/>
    <w:basedOn w:val="1"/>
    <w:qFormat/>
    <w:uiPriority w:val="3"/>
    <w:pPr>
      <w:ind w:firstLine="422" w:firstLineChars="200"/>
    </w:pPr>
    <w:rPr>
      <w:rFonts w:ascii="宋体" w:hAnsi="宋体" w:eastAsia="仿宋_GB2312"/>
      <w:bCs/>
    </w:rPr>
  </w:style>
  <w:style w:type="paragraph" w:customStyle="1" w:styleId="17">
    <w:name w:val="USE 1"/>
    <w:basedOn w:val="1"/>
    <w:qFormat/>
    <w:uiPriority w:val="0"/>
    <w:pPr>
      <w:spacing w:line="200" w:lineRule="atLeast"/>
      <w:jc w:val="left"/>
    </w:pPr>
    <w:rPr>
      <w:rFonts w:ascii="宋体" w:hAnsi="宋体"/>
      <w:b/>
      <w:sz w:val="24"/>
      <w:szCs w:val="28"/>
    </w:rPr>
  </w:style>
  <w:style w:type="paragraph" w:customStyle="1" w:styleId="18">
    <w:name w:val="l正文"/>
    <w:basedOn w:val="1"/>
    <w:qFormat/>
    <w:uiPriority w:val="0"/>
    <w:pPr>
      <w:spacing w:line="300" w:lineRule="auto"/>
      <w:ind w:firstLine="200" w:firstLineChars="200"/>
      <w:jc w:val="left"/>
    </w:pPr>
    <w:rPr>
      <w:rFonts w:ascii="楷体_GB2312" w:hAnsi="Times" w:eastAsia="楷体_GB2312" w:cs="等线"/>
      <w:sz w:val="24"/>
    </w:rPr>
  </w:style>
  <w:style w:type="paragraph" w:customStyle="1" w:styleId="19">
    <w:name w:val="_Style 3"/>
    <w:basedOn w:val="1"/>
    <w:next w:val="1"/>
    <w:qFormat/>
    <w:uiPriority w:val="99"/>
    <w:pPr>
      <w:spacing w:line="360" w:lineRule="auto"/>
      <w:ind w:firstLine="420" w:firstLineChars="200"/>
    </w:pPr>
  </w:style>
  <w:style w:type="character" w:customStyle="1" w:styleId="20">
    <w:name w:val="font21"/>
    <w:basedOn w:val="14"/>
    <w:qFormat/>
    <w:uiPriority w:val="0"/>
    <w:rPr>
      <w:rFonts w:hint="eastAsia" w:ascii="宋体" w:hAnsi="宋体" w:eastAsia="宋体" w:cs="宋体"/>
      <w:color w:val="000000"/>
      <w:sz w:val="22"/>
      <w:szCs w:val="22"/>
      <w:u w:val="single"/>
    </w:rPr>
  </w:style>
  <w:style w:type="character" w:customStyle="1" w:styleId="21">
    <w:name w:val="font51"/>
    <w:basedOn w:val="14"/>
    <w:qFormat/>
    <w:uiPriority w:val="0"/>
    <w:rPr>
      <w:rFonts w:hint="eastAsia" w:ascii="宋体" w:hAnsi="宋体" w:eastAsia="宋体" w:cs="宋体"/>
      <w:b/>
      <w:bCs/>
      <w:color w:val="000000"/>
      <w:sz w:val="22"/>
      <w:szCs w:val="22"/>
      <w:u w:val="single"/>
    </w:rPr>
  </w:style>
  <w:style w:type="character" w:customStyle="1" w:styleId="22">
    <w:name w:val="font91"/>
    <w:basedOn w:val="14"/>
    <w:qFormat/>
    <w:uiPriority w:val="0"/>
    <w:rPr>
      <w:rFonts w:hint="eastAsia" w:ascii="微软雅黑" w:hAnsi="微软雅黑" w:eastAsia="微软雅黑" w:cs="微软雅黑"/>
      <w:color w:val="000000"/>
      <w:sz w:val="24"/>
      <w:szCs w:val="24"/>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4222</Words>
  <Characters>4478</Characters>
  <Lines>0</Lines>
  <Paragraphs>0</Paragraphs>
  <TotalTime>0</TotalTime>
  <ScaleCrop>false</ScaleCrop>
  <LinksUpToDate>false</LinksUpToDate>
  <CharactersWithSpaces>4633</CharactersWithSpaces>
  <Application>WPS Office_11.8.2.12128_F1E327BC-269C-435d-A152-05C5408002CA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2025-04-14T09:16:00Z</dcterms:created>
  <dc:creator>yang</dc:creator>
  <cp:lastModifiedBy>lxy</cp:lastModifiedBy>
  <dcterms:modified xsi:type="dcterms:W3CDTF">2026-06-18T17:42:36Z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2052-11.8.2.12128</vt:lpwstr>
  </property>
  <property fmtid="{D5CDD505-2E9C-101B-9397-08002B2CF9AE}" pid="3" name="ICV">
    <vt:lpwstr>500FEA5C9BC94CB89535D931E6CFC800_13</vt:lpwstr>
  </property>
  <property fmtid="{D5CDD505-2E9C-101B-9397-08002B2CF9AE}" pid="4" name="KSOTemplateDocerSaveRecord">
    <vt:lpwstr>eyJoZGlkIjoiNjI1M2EyYWJiMDc1NDk4Yzc0MzY5NDVhY2ZkY2UxZGEiLCJ1c2VySWQiOiI0MjEyNzAwNTAifQ==</vt:lpwstr>
  </property>
</Properties>
</file>