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2026年深圳市“龙华杯”青少年三棋团体赛</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sz w:val="44"/>
          <w:szCs w:val="44"/>
        </w:rPr>
        <w:t>需求书</w:t>
      </w:r>
    </w:p>
    <w:p>
      <w:pPr>
        <w:pStyle w:val="8"/>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color w:val="000000"/>
          <w:kern w:val="0"/>
          <w:sz w:val="32"/>
          <w:szCs w:val="32"/>
          <w:lang w:val="en-US" w:eastAsia="zh-CN" w:bidi="ar"/>
        </w:rPr>
        <w:t>2026年深圳市“龙华杯”青少年三棋团体赛</w:t>
      </w:r>
      <w:r>
        <w:rPr>
          <w:rFonts w:hint="eastAsia" w:ascii="仿宋_GB2312" w:hAnsi="仿宋" w:eastAsia="仿宋_GB2312" w:cs="仿宋"/>
          <w:kern w:val="2"/>
          <w:sz w:val="32"/>
          <w:szCs w:val="32"/>
          <w:lang w:val="en-US" w:eastAsia="zh-CN" w:bidi="ar-SA"/>
        </w:rPr>
        <w:t>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6</w:t>
      </w:r>
      <w:r>
        <w:rPr>
          <w:rFonts w:hint="default" w:ascii="仿宋_GB2312" w:eastAsia="仿宋_GB2312"/>
          <w:sz w:val="32"/>
          <w:szCs w:val="32"/>
          <w:lang w:val="en" w:eastAsia="zh-CN"/>
        </w:rPr>
        <w:t>年</w:t>
      </w:r>
      <w:r>
        <w:rPr>
          <w:rFonts w:hint="eastAsia" w:ascii="仿宋_GB2312" w:eastAsia="仿宋_GB2312"/>
          <w:sz w:val="32"/>
          <w:szCs w:val="32"/>
          <w:lang w:val="en-US" w:eastAsia="zh-CN"/>
        </w:rPr>
        <w:t>7-11</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为深化体教融合、完善全民健身公共服务体系、促进青少年健康成长，为龙华区内青少年三棋爱好者搭建专业竞技与交流平台，营造青少年体育发展良好氛围，推动龙华区青少年三棋事业发展，计划于2026年7月—11月开展2026年深圳市“龙华杯”青少年三棋团体赛，赛事采用小组赛+淘汰赛的专业赛制，核心环节涵盖全流程赛事组织执行、竞赛编排、赛事保障、颁奖仪式等。</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1.制定2026年深圳市“龙华杯”青少年三棋团体赛具体实施方案和报价单；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2.负责赛事场地布置、宣传海报、横幅设计、物料制作等工作；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3.负责赛事全流程落地执行，涵盖人员调配、现场运营、赛事组织、竞赛编排等全环节；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4.负责聘请裁判、主持、医疗、摄影摄像等各类专业工作人员并统筹调配；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5.负责赛事保障、器材采购/租赁、工作餐饮、宣传推广等全品类物资与服务保障；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6.负责主办方交办的其他事项。</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10</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951"/>
        <w:gridCol w:w="5984"/>
        <w:gridCol w:w="553"/>
        <w:gridCol w:w="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right" w:pos="7770"/>
              </w:tabs>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2026年深圳市“龙华杯”青少年三棋团体赛报价单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内容说明</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一、奖杯、奖牌、证书制作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奖杯</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小团体3个组别x前6名x3个项目=54个；总团体8个x3个项目=24个（注：小团体3个组别为一二年级组前六名，三四年级组前六名，五六年级组前六名；总团体为一至六年级前八名）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78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奖牌</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6个组别x前3名x3个项目=54枚；（个人奖牌为一二年级男子组、女子个人前三名；三四年级男子组、女子组个人前三名；五六年级男子组、女子组个人前三名）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54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奖状证书</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优秀教练员证书（总团体前8名x3个项目=24张）；6个组别x前8名x3个项目=144张，备用证书12张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180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牌匾</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体育道德风尚奖（5个x3个项目=15人）</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15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二、工作人员费用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比赛用水（25箱/天；3天，含裁判员、工作人员、运动员、教练、领队等）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工作用餐（17份/天，3天午餐；17人，含裁判12人、工作人员5人）</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竞赛编排与统筹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2人，前期报名、竞赛编排、抽签、比赛成绩统计、赛事组织等工作，工作3天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裁判长劳务费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每天1名裁判长（作为总监督），3天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裁判员劳务费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每天11名裁判，3天（开10个场地，每个场地15张桌，每天1人记录编排，10人执裁）</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每天5名工作人员，3天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医疗人员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2名医疗人员加急救物资 250元/人/天，3天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主持人</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颁奖仪式主持人，1天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摄影人员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每天1名摄影人员（含照片直播平台搭建）,3天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秩序册</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排版印刷赛事秩序册</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场地布置</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背景板3m*10m（框架搭建）、颁奖台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val="0"/>
                <w:iCs w:val="0"/>
                <w:color w:val="000000"/>
                <w:sz w:val="20"/>
                <w:szCs w:val="20"/>
                <w:u w:val="none"/>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场地A字板、海报、横幅、音箱、指示牌、手举牌、成绩公告栏等含搭建布置</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9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体育用品</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比赛棋盘、棋子租用（中国象棋150副、国际象棋150副、围棋150副）</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951"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val="0"/>
                <w:iCs w:val="0"/>
                <w:color w:val="000000"/>
                <w:sz w:val="20"/>
                <w:szCs w:val="20"/>
                <w:u w:val="none"/>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棋钟租用</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物料运输（背景板框架、赛事所需器具等），共2趟</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宣传费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赛事报道、总结，稿件600-1000字以内</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95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赛事设计费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设计（背景板、奖杯、奖牌、牌匾、证书、场地A字板、横幅、海报等）</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投标价格（万元）：</w:t>
            </w:r>
            <w:r>
              <w:rPr>
                <w:rFonts w:hint="eastAsia" w:ascii="微软雅黑" w:hAnsi="微软雅黑" w:eastAsia="微软雅黑" w:cs="微软雅黑"/>
                <w:i w:val="0"/>
                <w:iCs w:val="0"/>
                <w:color w:val="000000"/>
                <w:kern w:val="0"/>
                <w:sz w:val="24"/>
                <w:szCs w:val="24"/>
                <w:u w:val="single"/>
                <w:lang w:val="en-US" w:eastAsia="zh-CN" w:bidi="ar"/>
              </w:rPr>
              <w:t xml:space="preserve">            </w:t>
            </w:r>
            <w:r>
              <w:rPr>
                <w:rFonts w:hint="eastAsia" w:ascii="微软雅黑" w:hAnsi="微软雅黑" w:eastAsia="微软雅黑" w:cs="微软雅黑"/>
                <w:i w:val="0"/>
                <w:iCs w:val="0"/>
                <w:color w:val="000000"/>
                <w:kern w:val="0"/>
                <w:sz w:val="24"/>
                <w:szCs w:val="24"/>
                <w:u w:val="none"/>
                <w:lang w:val="en-US" w:eastAsia="zh-CN" w:bidi="ar"/>
              </w:rPr>
              <w:t>（以万元为单位，最多保留两位小数）</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eastAsia="仿宋_GB2312" w:cs="仿宋"/>
          <w:bCs/>
          <w:kern w:val="2"/>
          <w:sz w:val="32"/>
          <w:szCs w:val="32"/>
          <w:lang w:val="en-US" w:eastAsia="zh-CN" w:bidi="ar-SA"/>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每提供一项相关组织体育类活动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916" w:type="dxa"/>
            <w:noWrap w:val="0"/>
            <w:vAlign w:val="center"/>
          </w:tcPr>
          <w:p>
            <w:pPr>
              <w:numPr>
                <w:ilvl w:val="0"/>
                <w:numId w:val="3"/>
              </w:num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每提供一类专业学历证明资料的得分比例要求如下：具有</w:t>
            </w:r>
            <w:r>
              <w:rPr>
                <w:rFonts w:hint="eastAsia" w:ascii="仿宋_GB2312" w:hAnsi="宋体" w:eastAsia="仿宋_GB2312" w:cs="仿宋_GB2312"/>
                <w:i w:val="0"/>
                <w:iCs w:val="0"/>
                <w:color w:val="000000"/>
                <w:kern w:val="0"/>
                <w:sz w:val="24"/>
                <w:szCs w:val="24"/>
                <w:u w:val="none"/>
                <w:lang w:val="en-US" w:eastAsia="zh-CN" w:bidi="ar"/>
              </w:rPr>
              <w:t>相关体育专业大专学历得1分；具有相关体育专业本科及以上学历得2分，</w:t>
            </w:r>
            <w:r>
              <w:rPr>
                <w:rFonts w:hint="eastAsia" w:ascii="仿宋_GB2312" w:hAnsi="仿宋_GB2312" w:eastAsia="仿宋_GB2312" w:cs="仿宋_GB2312"/>
                <w:sz w:val="24"/>
                <w:szCs w:val="24"/>
                <w:lang w:eastAsia="zh-CN"/>
              </w:rPr>
              <w:t>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（注：提供重复学历按最高得分为准，同一人学历不参与累计分值。）</w:t>
            </w:r>
          </w:p>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提供毕业证书扫描件、学历信息在学信网查询结果截图，原件备查。</w:t>
            </w:r>
          </w:p>
          <w:p>
            <w:pPr>
              <w:pStyle w:val="2"/>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2.以上证明文件原件备查，未提供或未按要求提供或提供的不清晰导致（临时）采购小组无法判断的，不得分。</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kinsoku/>
              <w:wordWrap/>
              <w:overflowPunct/>
              <w:autoSpaceDE/>
              <w:autoSpaceDN/>
              <w:bidi w:val="0"/>
              <w:adjustRightInd/>
              <w:snapToGrid w:val="0"/>
              <w:spacing w:line="240" w:lineRule="auto"/>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pageBreakBefore w:val="0"/>
              <w:widowControl w:val="0"/>
              <w:numPr>
                <w:ilvl w:val="-1"/>
                <w:numId w:val="0"/>
              </w:numPr>
              <w:kinsoku/>
              <w:wordWrap/>
              <w:overflowPunct/>
              <w:autoSpaceDE/>
              <w:autoSpaceDN/>
              <w:bidi w:val="0"/>
              <w:adjustRightInd/>
              <w:snapToGrid w:val="0"/>
              <w:spacing w:line="240" w:lineRule="auto"/>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（20分）</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3.向招标方提出项目实施其他具体建议。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p>
    <w:p>
      <w:pPr>
        <w:spacing w:line="560" w:lineRule="exact"/>
        <w:ind w:firstLine="642" w:firstLineChars="200"/>
        <w:jc w:val="left"/>
        <w:rPr>
          <w:rFonts w:hint="eastAsia" w:ascii="仿宋_GB2312" w:hAnsi="仿宋" w:eastAsia="仿宋_GB2312" w:cs="Times New Roman"/>
          <w:b/>
          <w:bCs/>
          <w:color w:val="FF0000"/>
          <w:sz w:val="32"/>
        </w:rPr>
      </w:pPr>
      <w:r>
        <w:rPr>
          <w:rFonts w:hint="eastAsia" w:ascii="仿宋_GB2312" w:hAnsi="仿宋" w:eastAsia="仿宋_GB2312" w:cs="Times New Roman"/>
          <w:b/>
          <w:bCs/>
          <w:color w:val="FF0000"/>
          <w:sz w:val="32"/>
          <w:lang w:val="en-US" w:eastAsia="zh-CN"/>
        </w:rPr>
        <w:t>注：以下全部资料每页均须加盖单位公章；第1至5项为投标资格必备资料，第1至5项任意一项资料缺失、未按要求完整提交的，作无效投标处理。</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1.营业执照、事业法人证书、社会团体法人登记证书、相关许可证书；</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3.项目报价表（需按格式提供）；</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w:t>
      </w:r>
      <w:r>
        <w:rPr>
          <w:rFonts w:hint="eastAsia" w:ascii="仿宋_GB2312" w:hAnsi="仿宋" w:eastAsia="仿宋_GB2312" w:cs="Times New Roman"/>
          <w:b/>
          <w:bCs/>
          <w:color w:val="FF0000"/>
          <w:sz w:val="32"/>
        </w:rPr>
        <w:t>投标人未按要求完整提供对应人员社保材料的，按无效投标处理。</w:t>
      </w:r>
    </w:p>
    <w:p>
      <w:pPr>
        <w:pStyle w:val="7"/>
        <w:spacing w:after="0" w:line="560" w:lineRule="exact"/>
        <w:ind w:left="0" w:leftChars="0" w:right="0" w:rightChars="0" w:firstLine="640"/>
        <w:jc w:val="left"/>
        <w:rPr>
          <w:rFonts w:hint="eastAsia" w:ascii="仿宋_GB2312" w:hAnsi="仿宋" w:eastAsia="仿宋_GB2312" w:cs="Times New Roman"/>
          <w:sz w:val="32"/>
          <w:lang w:eastAsia="zh-CN"/>
        </w:rPr>
      </w:pPr>
      <w:r>
        <w:rPr>
          <w:rFonts w:hint="eastAsia" w:ascii="仿宋_GB2312" w:hAnsi="仿宋" w:eastAsia="仿宋_GB2312" w:cs="Times New Roman"/>
          <w:sz w:val="32"/>
        </w:rPr>
        <w:t>6.评分规则所需资料（同类业绩证明、方案等）</w:t>
      </w:r>
      <w:r>
        <w:rPr>
          <w:rFonts w:hint="eastAsia" w:ascii="仿宋_GB2312" w:hAnsi="仿宋" w:eastAsia="仿宋_GB2312" w:cs="Times New Roman"/>
          <w:sz w:val="32"/>
          <w:lang w:eastAsia="zh-CN"/>
        </w:rPr>
        <w:t>。</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lang w:val="en-US" w:eastAsia="zh-CN" w:bidi="ar"/>
        </w:rPr>
        <w:t>2026年深圳市“龙华杯”青少年三棋团体赛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default" w:ascii="仿宋_GB2312" w:hAnsi="仿宋" w:eastAsia="仿宋_GB2312" w:cs="Times New Roman"/>
          <w:sz w:val="32"/>
          <w:szCs w:val="2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w:t>
      </w:r>
      <w:r>
        <w:rPr>
          <w:rFonts w:hint="eastAsia" w:ascii="仿宋_GB2312" w:hAnsi="仿宋" w:eastAsia="仿宋_GB2312" w:cs="Times New Roman"/>
          <w:sz w:val="32"/>
          <w:szCs w:val="22"/>
          <w:lang w:val="en-US" w:eastAsia="zh-CN"/>
        </w:rPr>
        <w:t>23338032</w:t>
      </w: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18"/>
        <w:spacing w:line="560" w:lineRule="exact"/>
        <w:ind w:firstLine="0" w:firstLineChars="0"/>
        <w:rPr>
          <w:rFonts w:hint="default" w:ascii="黑体" w:hAnsi="黑体" w:eastAsia="黑体" w:cs="黑体"/>
          <w:color w:val="000000"/>
          <w:sz w:val="32"/>
          <w:szCs w:val="32"/>
          <w:lang w:val="en-US" w:eastAsia="zh-CN"/>
        </w:rPr>
      </w:pPr>
      <w:bookmarkStart w:id="2" w:name="_GoBack"/>
      <w:bookmarkEnd w:id="2"/>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18"/>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532B84"/>
    <w:rsid w:val="00A65FA9"/>
    <w:rsid w:val="04003C23"/>
    <w:rsid w:val="04D5397F"/>
    <w:rsid w:val="04EA3143"/>
    <w:rsid w:val="05D860D3"/>
    <w:rsid w:val="06C832F7"/>
    <w:rsid w:val="0A4725AB"/>
    <w:rsid w:val="0D3B0F36"/>
    <w:rsid w:val="0D566BC9"/>
    <w:rsid w:val="0D7D62E4"/>
    <w:rsid w:val="0DC878B8"/>
    <w:rsid w:val="0E3A4164"/>
    <w:rsid w:val="0FF14B0B"/>
    <w:rsid w:val="135366B2"/>
    <w:rsid w:val="13933D74"/>
    <w:rsid w:val="14A2631D"/>
    <w:rsid w:val="14C34F24"/>
    <w:rsid w:val="15301E19"/>
    <w:rsid w:val="165D6C96"/>
    <w:rsid w:val="1CA8200C"/>
    <w:rsid w:val="1EFA5B6D"/>
    <w:rsid w:val="1FF16DE9"/>
    <w:rsid w:val="20D34CF2"/>
    <w:rsid w:val="23AF4CD1"/>
    <w:rsid w:val="252209F9"/>
    <w:rsid w:val="27A56A4D"/>
    <w:rsid w:val="293E783A"/>
    <w:rsid w:val="2E825641"/>
    <w:rsid w:val="2FC72F9E"/>
    <w:rsid w:val="326E42CA"/>
    <w:rsid w:val="340805C4"/>
    <w:rsid w:val="34E56399"/>
    <w:rsid w:val="38E74FAB"/>
    <w:rsid w:val="39CE38A0"/>
    <w:rsid w:val="3AFD213B"/>
    <w:rsid w:val="3DFC634D"/>
    <w:rsid w:val="3F7F938D"/>
    <w:rsid w:val="3F9024D6"/>
    <w:rsid w:val="44574D74"/>
    <w:rsid w:val="448648CA"/>
    <w:rsid w:val="45A47447"/>
    <w:rsid w:val="4B4B2FA2"/>
    <w:rsid w:val="4F751EFD"/>
    <w:rsid w:val="50344A78"/>
    <w:rsid w:val="50BF7C5D"/>
    <w:rsid w:val="50FB2D75"/>
    <w:rsid w:val="52672C2E"/>
    <w:rsid w:val="569E77D5"/>
    <w:rsid w:val="57185640"/>
    <w:rsid w:val="57266671"/>
    <w:rsid w:val="58A1230D"/>
    <w:rsid w:val="58B24661"/>
    <w:rsid w:val="59F842F5"/>
    <w:rsid w:val="5F2BE56A"/>
    <w:rsid w:val="66275D7F"/>
    <w:rsid w:val="671D4941"/>
    <w:rsid w:val="68470F50"/>
    <w:rsid w:val="69701D6D"/>
    <w:rsid w:val="6B0D5727"/>
    <w:rsid w:val="6DF758F9"/>
    <w:rsid w:val="6DFFCD9E"/>
    <w:rsid w:val="6EBD5A97"/>
    <w:rsid w:val="71511EEF"/>
    <w:rsid w:val="71BB412E"/>
    <w:rsid w:val="720C2BDC"/>
    <w:rsid w:val="795310F0"/>
    <w:rsid w:val="79EB767A"/>
    <w:rsid w:val="7D9F3A20"/>
    <w:rsid w:val="7DD39989"/>
    <w:rsid w:val="B7FE4D38"/>
    <w:rsid w:val="BBFF548B"/>
    <w:rsid w:val="C7FFD9B9"/>
    <w:rsid w:val="DFFF69F1"/>
    <w:rsid w:val="E376E1AF"/>
    <w:rsid w:val="FEF3B894"/>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oc 1"/>
    <w:basedOn w:val="1"/>
    <w:next w:val="1"/>
    <w:qFormat/>
    <w:uiPriority w:val="39"/>
    <w:rPr>
      <w:rFonts w:ascii="Calibri" w:hAnsi="Calibri" w:eastAsia="宋体" w:cs="Times New Roman"/>
    </w:rPr>
  </w:style>
  <w:style w:type="paragraph" w:styleId="10">
    <w:name w:val="Body Text 2"/>
    <w:basedOn w:val="1"/>
    <w:qFormat/>
    <w:uiPriority w:val="0"/>
    <w:pPr>
      <w:spacing w:line="360" w:lineRule="auto"/>
    </w:pPr>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21"/>
    <w:basedOn w:val="14"/>
    <w:qFormat/>
    <w:uiPriority w:val="0"/>
    <w:rPr>
      <w:rFonts w:hint="eastAsia" w:ascii="宋体" w:hAnsi="宋体" w:eastAsia="宋体" w:cs="宋体"/>
      <w:color w:val="000000"/>
      <w:sz w:val="22"/>
      <w:szCs w:val="22"/>
      <w:u w:val="single"/>
    </w:rPr>
  </w:style>
  <w:style w:type="character" w:customStyle="1" w:styleId="21">
    <w:name w:val="font51"/>
    <w:basedOn w:val="14"/>
    <w:qFormat/>
    <w:uiPriority w:val="0"/>
    <w:rPr>
      <w:rFonts w:hint="eastAsia" w:ascii="宋体" w:hAnsi="宋体" w:eastAsia="宋体" w:cs="宋体"/>
      <w:b/>
      <w:bCs/>
      <w:color w:val="000000"/>
      <w:sz w:val="22"/>
      <w:szCs w:val="22"/>
      <w:u w:val="single"/>
    </w:rPr>
  </w:style>
  <w:style w:type="character" w:customStyle="1" w:styleId="22">
    <w:name w:val="font91"/>
    <w:basedOn w:val="14"/>
    <w:qFormat/>
    <w:uiPriority w:val="0"/>
    <w:rPr>
      <w:rFonts w:hint="eastAsia" w:ascii="微软雅黑" w:hAnsi="微软雅黑" w:eastAsia="微软雅黑" w:cs="微软雅黑"/>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4605</Words>
  <Characters>4821</Characters>
  <Lines>0</Lines>
  <Paragraphs>0</Paragraphs>
  <TotalTime>1</TotalTime>
  <ScaleCrop>false</ScaleCrop>
  <LinksUpToDate>false</LinksUpToDate>
  <CharactersWithSpaces>4959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2025-04-14T09:16:00Z</dcterms:created>
  <dc:creator>yang</dc:creator>
  <cp:lastModifiedBy>lxy</cp:lastModifiedBy>
  <dcterms:modified xsi:type="dcterms:W3CDTF">2026-06-18T17:44:21Z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500FEA5C9BC94CB89535D931E6CFC800_13</vt:lpwstr>
  </property>
  <property fmtid="{D5CDD505-2E9C-101B-9397-08002B2CF9AE}" pid="4" name="KSOTemplateDocerSaveRecord">
    <vt:lpwstr>eyJoZGlkIjoiNjI1M2EyYWJiMDc1NDk4Yzc0MzY5NDVhY2ZkY2UxZGEiLCJ1c2VySWQiOiI0MjEyNzAwNTAifQ==</vt:lpwstr>
  </property>
</Properties>
</file>