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sz w:val="44"/>
          <w:szCs w:val="44"/>
          <w:lang w:val="en-US" w:eastAsia="zh-CN"/>
        </w:rPr>
      </w:pPr>
      <w:bookmarkStart w:id="0" w:name="_Toc4479"/>
      <w:r>
        <w:rPr>
          <w:rFonts w:hint="eastAsia" w:ascii="方正小标宋简体" w:hAnsi="方正小标宋简体" w:eastAsia="方正小标宋简体" w:cs="方正小标宋简体"/>
          <w:sz w:val="44"/>
          <w:szCs w:val="44"/>
          <w:lang w:val="en-US" w:eastAsia="zh-CN"/>
        </w:rPr>
        <w:t>龙华区民政局2026年养老服务场所安全生产检查工作项目需求书</w:t>
      </w:r>
    </w:p>
    <w:p>
      <w:pPr>
        <w:rPr>
          <w:rFonts w:hint="eastAsia"/>
          <w:lang w:val="en-US" w:eastAsia="zh-CN"/>
        </w:rPr>
      </w:pPr>
    </w:p>
    <w:bookmarkEnd w:id="0"/>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outlineLvl w:val="9"/>
        <w:rPr>
          <w:rFonts w:hint="eastAsia" w:ascii="黑体" w:hAnsi="黑体" w:eastAsia="黑体" w:cs="黑体"/>
          <w:sz w:val="32"/>
          <w:szCs w:val="32"/>
          <w:highlight w:val="none"/>
          <w:lang w:eastAsia="zh-CN"/>
        </w:rPr>
      </w:pPr>
      <w:r>
        <w:rPr>
          <w:rFonts w:hint="eastAsia" w:ascii="仿宋_GB2312" w:hAnsi="仿宋_GB2312" w:eastAsia="仿宋_GB2312" w:cs="仿宋_GB2312"/>
          <w:sz w:val="32"/>
          <w:szCs w:val="32"/>
          <w:highlight w:val="none"/>
          <w:lang w:val="en-US" w:eastAsia="zh-CN"/>
        </w:rPr>
        <w:t>为了进一步落实行业主管部门安全生产监管责任，</w:t>
      </w:r>
      <w:r>
        <w:rPr>
          <w:rFonts w:hint="eastAsia" w:ascii="仿宋_GB2312" w:hAnsi="仿宋_GB2312" w:eastAsia="仿宋_GB2312" w:cs="仿宋_GB2312"/>
          <w:sz w:val="32"/>
          <w:szCs w:val="32"/>
          <w:highlight w:val="none"/>
        </w:rPr>
        <w:t>有效预防和遏制</w:t>
      </w:r>
      <w:r>
        <w:rPr>
          <w:rFonts w:hint="eastAsia" w:ascii="仿宋_GB2312" w:hAnsi="仿宋_GB2312" w:eastAsia="仿宋_GB2312" w:cs="仿宋_GB2312"/>
          <w:sz w:val="32"/>
          <w:szCs w:val="32"/>
          <w:highlight w:val="none"/>
          <w:lang w:eastAsia="zh-CN"/>
        </w:rPr>
        <w:t>养老服务场所</w:t>
      </w:r>
      <w:r>
        <w:rPr>
          <w:rFonts w:hint="eastAsia" w:ascii="仿宋_GB2312" w:hAnsi="仿宋_GB2312" w:eastAsia="仿宋_GB2312" w:cs="仿宋_GB2312"/>
          <w:sz w:val="32"/>
          <w:szCs w:val="32"/>
          <w:highlight w:val="none"/>
        </w:rPr>
        <w:t>安全生产事故的发生</w:t>
      </w:r>
      <w:r>
        <w:rPr>
          <w:rFonts w:hint="eastAsia" w:ascii="仿宋_GB2312" w:hAnsi="仿宋_GB2312" w:eastAsia="仿宋_GB2312" w:cs="仿宋_GB2312"/>
          <w:sz w:val="32"/>
          <w:szCs w:val="32"/>
          <w:highlight w:val="none"/>
          <w:lang w:val="en-US" w:eastAsia="zh-CN"/>
        </w:rPr>
        <w:t>，保障养老服务场所人员生命和财产安全</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根据《关于进一步加强养老机构安全管理的意见》《深圳市民政局办公室关于印发〈深圳市民政系统安全生产和消防安全治本攻坚三年行动方案（2024-2026年）〉的通知》（深民办〔2024〕7号）</w:t>
      </w:r>
      <w:r>
        <w:rPr>
          <w:rFonts w:hint="eastAsia" w:ascii="仿宋_GB2312" w:hAnsi="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深圳市民政局等19部门关于印发</w:t>
      </w:r>
      <w:r>
        <w:rPr>
          <w:rFonts w:hint="eastAsia" w:ascii="仿宋_GB2312" w:hAnsi="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关于加强养老服务机构综合监管的实施方案</w:t>
      </w:r>
      <w:r>
        <w:rPr>
          <w:rFonts w:hint="eastAsia" w:ascii="仿宋_GB2312" w:hAnsi="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的通知</w:t>
      </w:r>
      <w:r>
        <w:rPr>
          <w:rFonts w:hint="eastAsia" w:ascii="仿宋_GB2312" w:hAnsi="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文件要求</w:t>
      </w:r>
      <w:r>
        <w:rPr>
          <w:rFonts w:hint="eastAsia" w:ascii="仿宋_GB2312" w:hAnsi="仿宋_GB2312" w:cs="仿宋_GB2312"/>
          <w:sz w:val="32"/>
          <w:szCs w:val="32"/>
          <w:highlight w:val="none"/>
          <w:lang w:val="en-US" w:eastAsia="zh-CN"/>
        </w:rPr>
        <w:t>以及“三管三必须”原则</w:t>
      </w:r>
      <w:r>
        <w:rPr>
          <w:rFonts w:hint="eastAsia" w:ascii="仿宋_GB2312" w:hAnsi="仿宋_GB2312" w:eastAsia="仿宋_GB2312" w:cs="仿宋_GB2312"/>
          <w:sz w:val="32"/>
          <w:szCs w:val="32"/>
          <w:highlight w:val="none"/>
          <w:lang w:val="en-US" w:eastAsia="zh-CN"/>
        </w:rPr>
        <w:t>，我科</w:t>
      </w:r>
      <w:r>
        <w:rPr>
          <w:rFonts w:hint="eastAsia" w:ascii="仿宋_GB2312" w:hAnsi="仿宋_GB2312" w:eastAsia="仿宋_GB2312" w:cs="仿宋_GB2312"/>
          <w:sz w:val="32"/>
          <w:szCs w:val="32"/>
          <w:highlight w:val="none"/>
        </w:rPr>
        <w:t>拟</w:t>
      </w:r>
      <w:r>
        <w:rPr>
          <w:rFonts w:hint="eastAsia" w:ascii="仿宋_GB2312" w:hAnsi="仿宋_GB2312" w:eastAsia="仿宋_GB2312" w:cs="仿宋_GB2312"/>
          <w:sz w:val="32"/>
          <w:szCs w:val="32"/>
          <w:highlight w:val="none"/>
          <w:lang w:eastAsia="zh-CN"/>
        </w:rPr>
        <w:t>委托第三方机构对辖区</w:t>
      </w:r>
      <w:r>
        <w:rPr>
          <w:rFonts w:hint="eastAsia" w:ascii="仿宋_GB2312" w:hAnsi="仿宋_GB2312" w:eastAsia="仿宋_GB2312" w:cs="仿宋_GB2312"/>
          <w:sz w:val="32"/>
          <w:szCs w:val="32"/>
          <w:highlight w:val="none"/>
          <w:lang w:val="en-US" w:eastAsia="zh-CN"/>
        </w:rPr>
        <w:t>养老服务场所开展风险</w:t>
      </w:r>
      <w:r>
        <w:rPr>
          <w:rFonts w:hint="eastAsia" w:ascii="仿宋_GB2312" w:hAnsi="仿宋_GB2312" w:eastAsia="仿宋_GB2312" w:cs="仿宋_GB2312"/>
          <w:sz w:val="32"/>
          <w:szCs w:val="32"/>
          <w:highlight w:val="none"/>
          <w:lang w:eastAsia="zh-CN"/>
        </w:rPr>
        <w:t>隐患排查、培训、演练等安全生产</w:t>
      </w:r>
      <w:r>
        <w:rPr>
          <w:rFonts w:hint="eastAsia" w:ascii="仿宋_GB2312" w:hAnsi="仿宋_GB2312" w:cs="仿宋_GB2312"/>
          <w:sz w:val="32"/>
          <w:szCs w:val="32"/>
          <w:highlight w:val="none"/>
          <w:lang w:eastAsia="zh-CN"/>
        </w:rPr>
        <w:t>和消防安全</w:t>
      </w:r>
      <w:r>
        <w:rPr>
          <w:rFonts w:hint="eastAsia" w:ascii="仿宋_GB2312" w:hAnsi="仿宋_GB2312" w:eastAsia="仿宋_GB2312" w:cs="仿宋_GB2312"/>
          <w:sz w:val="32"/>
          <w:szCs w:val="32"/>
          <w:highlight w:val="none"/>
        </w:rPr>
        <w:t>工作</w:t>
      </w:r>
      <w:r>
        <w:rPr>
          <w:rFonts w:hint="eastAsia" w:ascii="仿宋_GB2312" w:hAnsi="仿宋_GB2312" w:eastAsia="仿宋_GB2312" w:cs="仿宋_GB2312"/>
          <w:sz w:val="32"/>
          <w:szCs w:val="32"/>
          <w:highlight w:val="none"/>
          <w:lang w:eastAsia="zh-CN"/>
        </w:rPr>
        <w:t>项目，现结合实际，制定本方案</w:t>
      </w:r>
      <w:r>
        <w:rPr>
          <w:rFonts w:hint="eastAsia" w:ascii="仿宋_GB2312" w:hAnsi="仿宋_GB2312" w:eastAsia="仿宋_GB2312" w:cs="仿宋_GB2312"/>
          <w:sz w:val="32"/>
          <w:szCs w:val="32"/>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jc w:val="both"/>
        <w:textAlignment w:val="auto"/>
        <w:outlineLvl w:val="9"/>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一、项目目标及服务保障</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通过</w:t>
      </w:r>
      <w:r>
        <w:rPr>
          <w:rFonts w:hint="eastAsia" w:ascii="仿宋_GB2312" w:hAnsi="仿宋_GB2312" w:eastAsia="仿宋_GB2312" w:cs="仿宋_GB2312"/>
          <w:sz w:val="32"/>
          <w:szCs w:val="32"/>
          <w:highlight w:val="none"/>
        </w:rPr>
        <w:t>全面排查</w:t>
      </w:r>
      <w:r>
        <w:rPr>
          <w:rFonts w:hint="eastAsia" w:ascii="仿宋_GB2312" w:hAnsi="仿宋_GB2312" w:eastAsia="仿宋_GB2312" w:cs="仿宋_GB2312"/>
          <w:sz w:val="32"/>
          <w:szCs w:val="32"/>
          <w:highlight w:val="none"/>
          <w:lang w:eastAsia="zh-CN"/>
        </w:rPr>
        <w:t>辖区</w:t>
      </w:r>
      <w:r>
        <w:rPr>
          <w:rFonts w:hint="eastAsia" w:ascii="仿宋_GB2312" w:hAnsi="仿宋_GB2312" w:eastAsia="仿宋_GB2312" w:cs="仿宋_GB2312"/>
          <w:sz w:val="32"/>
          <w:szCs w:val="32"/>
          <w:highlight w:val="none"/>
          <w:lang w:val="en-US" w:eastAsia="zh-CN"/>
        </w:rPr>
        <w:t>养老服务场所</w:t>
      </w:r>
      <w:r>
        <w:rPr>
          <w:rFonts w:hint="eastAsia" w:ascii="仿宋_GB2312" w:hAnsi="仿宋_GB2312" w:eastAsia="仿宋_GB2312" w:cs="仿宋_GB2312"/>
          <w:sz w:val="32"/>
          <w:szCs w:val="32"/>
          <w:highlight w:val="none"/>
        </w:rPr>
        <w:t>安全生产</w:t>
      </w:r>
      <w:r>
        <w:rPr>
          <w:rFonts w:hint="eastAsia" w:ascii="仿宋_GB2312" w:hAnsi="仿宋_GB2312" w:cs="仿宋_GB2312"/>
          <w:sz w:val="32"/>
          <w:szCs w:val="32"/>
          <w:highlight w:val="none"/>
          <w:lang w:eastAsia="zh-CN"/>
        </w:rPr>
        <w:t>和消防安全</w:t>
      </w:r>
      <w:r>
        <w:rPr>
          <w:rFonts w:hint="eastAsia" w:ascii="仿宋_GB2312" w:hAnsi="仿宋_GB2312" w:eastAsia="仿宋_GB2312" w:cs="仿宋_GB2312"/>
          <w:sz w:val="32"/>
          <w:szCs w:val="32"/>
          <w:highlight w:val="none"/>
        </w:rPr>
        <w:t>隐患，针对性提出相应整改措施，确保隐患排查整治工作标准统一、整治隐患精准、整治成效明显</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全面筑牢安全生产</w:t>
      </w:r>
      <w:r>
        <w:rPr>
          <w:rFonts w:hint="eastAsia" w:ascii="仿宋_GB2312" w:hAnsi="仿宋_GB2312" w:cs="仿宋_GB2312"/>
          <w:sz w:val="32"/>
          <w:szCs w:val="32"/>
          <w:highlight w:val="none"/>
          <w:lang w:eastAsia="zh-CN"/>
        </w:rPr>
        <w:t>和消防安全</w:t>
      </w:r>
      <w:r>
        <w:rPr>
          <w:rFonts w:hint="eastAsia" w:ascii="仿宋_GB2312" w:hAnsi="仿宋_GB2312" w:eastAsia="仿宋_GB2312" w:cs="仿宋_GB2312"/>
          <w:sz w:val="32"/>
          <w:szCs w:val="32"/>
          <w:highlight w:val="none"/>
        </w:rPr>
        <w:t>“防火墙”，夯实安全生产</w:t>
      </w:r>
      <w:r>
        <w:rPr>
          <w:rFonts w:hint="eastAsia" w:ascii="仿宋_GB2312" w:hAnsi="仿宋_GB2312" w:cs="仿宋_GB2312"/>
          <w:sz w:val="32"/>
          <w:szCs w:val="32"/>
          <w:highlight w:val="none"/>
          <w:lang w:eastAsia="zh-CN"/>
        </w:rPr>
        <w:t>和消防安全</w:t>
      </w:r>
      <w:r>
        <w:rPr>
          <w:rFonts w:hint="eastAsia" w:ascii="仿宋_GB2312" w:hAnsi="仿宋_GB2312" w:eastAsia="仿宋_GB2312" w:cs="仿宋_GB2312"/>
          <w:sz w:val="32"/>
          <w:szCs w:val="32"/>
          <w:highlight w:val="none"/>
        </w:rPr>
        <w:t>工作基础，高标准完成隐患整治</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将安全风险降到最低。</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jc w:val="both"/>
        <w:textAlignment w:val="auto"/>
        <w:outlineLvl w:val="9"/>
        <w:rPr>
          <w:rFonts w:hint="default" w:ascii="仿宋_GB2312" w:hAnsi="仿宋_GB2312" w:cs="仿宋_GB2312"/>
          <w:sz w:val="32"/>
          <w:szCs w:val="32"/>
          <w:highlight w:val="none"/>
          <w:lang w:val="en" w:eastAsia="zh-CN"/>
        </w:rPr>
      </w:pPr>
      <w:r>
        <w:rPr>
          <w:rFonts w:hint="default" w:ascii="仿宋_GB2312" w:hAnsi="仿宋_GB2312" w:cs="仿宋_GB2312"/>
          <w:sz w:val="32"/>
          <w:szCs w:val="32"/>
          <w:highlight w:val="none"/>
          <w:lang w:val="en" w:eastAsia="zh-CN"/>
        </w:rPr>
        <w:t>第三方机构需委派不少于</w:t>
      </w:r>
      <w:r>
        <w:rPr>
          <w:rFonts w:hint="eastAsia" w:ascii="仿宋_GB2312" w:hAnsi="仿宋_GB2312" w:cs="仿宋_GB2312"/>
          <w:sz w:val="32"/>
          <w:szCs w:val="32"/>
          <w:highlight w:val="none"/>
          <w:lang w:val="en-US" w:eastAsia="zh-CN"/>
        </w:rPr>
        <w:t>4</w:t>
      </w:r>
      <w:r>
        <w:rPr>
          <w:rFonts w:hint="default" w:ascii="仿宋_GB2312" w:hAnsi="仿宋_GB2312" w:cs="仿宋_GB2312"/>
          <w:sz w:val="32"/>
          <w:szCs w:val="32"/>
          <w:highlight w:val="none"/>
          <w:lang w:val="en" w:eastAsia="zh-CN"/>
        </w:rPr>
        <w:t>名专业技术人员组成项目团队，其中：</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jc w:val="both"/>
        <w:textAlignment w:val="auto"/>
        <w:outlineLvl w:val="9"/>
        <w:rPr>
          <w:rFonts w:hint="default" w:ascii="仿宋_GB2312" w:hAnsi="仿宋_GB2312" w:cs="仿宋_GB2312"/>
          <w:sz w:val="32"/>
          <w:szCs w:val="32"/>
          <w:highlight w:val="none"/>
          <w:lang w:val="en" w:eastAsia="zh-CN"/>
        </w:rPr>
      </w:pPr>
      <w:r>
        <w:rPr>
          <w:rFonts w:hint="default" w:ascii="仿宋_GB2312" w:hAnsi="仿宋_GB2312" w:cs="仿宋_GB2312"/>
          <w:sz w:val="32"/>
          <w:szCs w:val="32"/>
          <w:highlight w:val="none"/>
          <w:lang w:val="en" w:eastAsia="zh-CN"/>
        </w:rPr>
        <w:t>项目负责人1名：负责整体协调</w:t>
      </w:r>
      <w:r>
        <w:rPr>
          <w:rFonts w:hint="eastAsia" w:ascii="仿宋_GB2312" w:hAnsi="仿宋_GB2312" w:cs="仿宋_GB2312"/>
          <w:sz w:val="32"/>
          <w:szCs w:val="32"/>
          <w:highlight w:val="none"/>
          <w:lang w:val="en" w:eastAsia="zh-CN"/>
        </w:rPr>
        <w:t>和</w:t>
      </w:r>
      <w:r>
        <w:rPr>
          <w:rFonts w:hint="default" w:ascii="仿宋_GB2312" w:hAnsi="仿宋_GB2312" w:cs="仿宋_GB2312"/>
          <w:sz w:val="32"/>
          <w:szCs w:val="32"/>
          <w:highlight w:val="none"/>
          <w:lang w:val="en" w:eastAsia="zh-CN"/>
        </w:rPr>
        <w:t>专家支持（非驻点，但需参加重大节点工作）</w:t>
      </w:r>
      <w:r>
        <w:rPr>
          <w:rFonts w:hint="eastAsia" w:ascii="仿宋_GB2312" w:hAnsi="仿宋_GB2312" w:cs="仿宋_GB2312"/>
          <w:sz w:val="32"/>
          <w:szCs w:val="32"/>
          <w:highlight w:val="none"/>
          <w:lang w:val="en" w:eastAsia="zh-CN"/>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jc w:val="both"/>
        <w:textAlignment w:val="auto"/>
        <w:outlineLvl w:val="9"/>
        <w:rPr>
          <w:rFonts w:hint="default" w:ascii="仿宋_GB2312" w:hAnsi="仿宋_GB2312" w:cs="仿宋_GB2312"/>
          <w:sz w:val="32"/>
          <w:szCs w:val="32"/>
          <w:highlight w:val="none"/>
          <w:lang w:val="en-US" w:eastAsia="zh-CN"/>
        </w:rPr>
      </w:pPr>
      <w:r>
        <w:rPr>
          <w:rFonts w:hint="default" w:ascii="仿宋_GB2312" w:hAnsi="仿宋_GB2312" w:cs="仿宋_GB2312"/>
          <w:sz w:val="32"/>
          <w:szCs w:val="32"/>
          <w:highlight w:val="none"/>
          <w:lang w:val="en" w:eastAsia="zh-CN"/>
        </w:rPr>
        <w:t>项目质量技术审核人</w:t>
      </w:r>
      <w:r>
        <w:rPr>
          <w:rFonts w:hint="eastAsia" w:ascii="仿宋_GB2312" w:hAnsi="仿宋_GB2312" w:cs="仿宋_GB2312"/>
          <w:sz w:val="32"/>
          <w:szCs w:val="32"/>
          <w:highlight w:val="none"/>
          <w:lang w:val="en-US" w:eastAsia="zh-CN"/>
        </w:rPr>
        <w:t>1名：负责项目成果质量审核。</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jc w:val="both"/>
        <w:textAlignment w:val="auto"/>
        <w:outlineLvl w:val="9"/>
        <w:rPr>
          <w:rFonts w:hint="default" w:ascii="仿宋_GB2312" w:hAnsi="仿宋_GB2312" w:cs="仿宋_GB2312"/>
          <w:sz w:val="32"/>
          <w:szCs w:val="32"/>
          <w:highlight w:val="none"/>
          <w:lang w:val="en" w:eastAsia="zh-CN"/>
        </w:rPr>
      </w:pPr>
      <w:r>
        <w:rPr>
          <w:rFonts w:hint="default" w:ascii="仿宋_GB2312" w:hAnsi="仿宋_GB2312" w:cs="仿宋_GB2312"/>
          <w:sz w:val="32"/>
          <w:szCs w:val="32"/>
          <w:highlight w:val="none"/>
          <w:lang w:val="en" w:eastAsia="zh-CN"/>
        </w:rPr>
        <w:t>技术骨干2名：需具备中级注册安全工程师或一级注册消防工程师资格，负责全时驻点协助开展工作。</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jc w:val="both"/>
        <w:textAlignment w:val="auto"/>
        <w:outlineLvl w:val="9"/>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二、服务范围及时间</w:t>
      </w:r>
    </w:p>
    <w:p>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sz w:val="32"/>
          <w:szCs w:val="32"/>
          <w:highlight w:val="none"/>
          <w:lang w:val="en-US" w:eastAsia="zh-CN"/>
        </w:rPr>
      </w:pPr>
      <w:r>
        <w:rPr>
          <w:rFonts w:hint="eastAsia" w:ascii="仿宋_GB2312" w:hAnsi="仿宋_GB2312" w:cs="仿宋_GB2312"/>
          <w:sz w:val="32"/>
          <w:szCs w:val="32"/>
          <w:highlight w:val="none"/>
          <w:lang w:val="en-US" w:eastAsia="zh-CN"/>
        </w:rPr>
        <w:t>辖</w:t>
      </w:r>
      <w:r>
        <w:rPr>
          <w:rFonts w:hint="eastAsia" w:ascii="仿宋_GB2312" w:hAnsi="仿宋_GB2312" w:eastAsia="仿宋_GB2312" w:cs="仿宋_GB2312"/>
          <w:sz w:val="32"/>
          <w:szCs w:val="32"/>
          <w:highlight w:val="none"/>
          <w:lang w:val="en-US" w:eastAsia="zh-CN"/>
        </w:rPr>
        <w:t>区</w:t>
      </w:r>
      <w:r>
        <w:rPr>
          <w:rFonts w:hint="eastAsia" w:ascii="仿宋_GB2312" w:hAnsi="仿宋_GB2312" w:cs="仿宋_GB2312"/>
          <w:sz w:val="32"/>
          <w:szCs w:val="32"/>
          <w:highlight w:val="none"/>
          <w:lang w:val="en-US" w:eastAsia="zh-CN"/>
        </w:rPr>
        <w:t>大型</w:t>
      </w:r>
      <w:r>
        <w:rPr>
          <w:rFonts w:hint="eastAsia" w:ascii="仿宋_GB2312" w:hAnsi="仿宋_GB2312" w:eastAsia="仿宋_GB2312" w:cs="仿宋_GB2312"/>
          <w:sz w:val="32"/>
          <w:szCs w:val="32"/>
          <w:highlight w:val="none"/>
          <w:lang w:val="en-US" w:eastAsia="zh-CN"/>
        </w:rPr>
        <w:t>养老机构</w:t>
      </w:r>
      <w:r>
        <w:rPr>
          <w:rFonts w:hint="eastAsia" w:ascii="仿宋_GB2312" w:hAnsi="仿宋_GB2312" w:cs="仿宋_GB2312"/>
          <w:sz w:val="32"/>
          <w:szCs w:val="32"/>
          <w:highlight w:val="none"/>
          <w:lang w:val="en-US" w:eastAsia="zh-CN"/>
        </w:rPr>
        <w:t>（指床位数不少于60张的机构）、街道长者服务中心、社区长者服务站</w:t>
      </w:r>
      <w:r>
        <w:rPr>
          <w:rFonts w:hint="default" w:ascii="仿宋_GB2312" w:hAnsi="仿宋_GB2312" w:cs="仿宋_GB2312"/>
          <w:sz w:val="32"/>
          <w:szCs w:val="32"/>
          <w:highlight w:val="none"/>
          <w:lang w:val="en-US" w:eastAsia="zh-CN"/>
        </w:rPr>
        <w:t>（日间照料中心）</w:t>
      </w:r>
      <w:r>
        <w:rPr>
          <w:rFonts w:hint="eastAsia" w:ascii="仿宋_GB2312" w:hAnsi="仿宋_GB2312" w:cs="仿宋_GB2312"/>
          <w:sz w:val="32"/>
          <w:szCs w:val="32"/>
          <w:highlight w:val="none"/>
          <w:lang w:val="en-US" w:eastAsia="zh-CN"/>
        </w:rPr>
        <w:t>和社区长者服务点（星光老年之家）。</w:t>
      </w:r>
    </w:p>
    <w:p>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cs="仿宋_GB2312"/>
          <w:sz w:val="32"/>
          <w:szCs w:val="32"/>
          <w:highlight w:val="none"/>
          <w:lang w:val="en-US" w:eastAsia="zh-CN"/>
        </w:rPr>
      </w:pPr>
      <w:r>
        <w:rPr>
          <w:rFonts w:hint="eastAsia" w:ascii="仿宋_GB2312" w:hAnsi="仿宋_GB2312" w:cs="仿宋_GB2312"/>
          <w:sz w:val="32"/>
          <w:szCs w:val="32"/>
          <w:highlight w:val="none"/>
          <w:lang w:val="en-US" w:eastAsia="zh-CN"/>
        </w:rPr>
        <w:t>服务时间：2026年6月-2027年6月</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jc w:val="both"/>
        <w:textAlignment w:val="auto"/>
        <w:outlineLvl w:val="9"/>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三、项目内容及要求</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right="0" w:rightChars="0" w:firstLine="640" w:firstLineChars="200"/>
        <w:jc w:val="left"/>
        <w:textAlignment w:val="auto"/>
        <w:outlineLvl w:val="9"/>
        <w:rPr>
          <w:rFonts w:hint="default" w:ascii="仿宋_GB2312" w:hAnsi="仿宋_GB2312" w:eastAsia="仿宋_GB2312" w:cs="仿宋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（一）安全教育培训。</w:t>
      </w:r>
      <w:r>
        <w:rPr>
          <w:rFonts w:hint="eastAsia" w:ascii="仿宋_GB2312" w:hAnsi="仿宋_GB2312" w:cs="仿宋_GB2312"/>
          <w:sz w:val="32"/>
          <w:szCs w:val="32"/>
          <w:highlight w:val="none"/>
          <w:lang w:eastAsia="zh-CN"/>
        </w:rPr>
        <w:t>制定符合龙华区养老服务领域实际的安全教育培训课程，定期开展安全教育培训。</w:t>
      </w:r>
      <w:r>
        <w:rPr>
          <w:rFonts w:hint="eastAsia" w:ascii="仿宋_GB2312" w:hAnsi="仿宋_GB2312" w:cs="仿宋_GB2312"/>
          <w:sz w:val="32"/>
          <w:szCs w:val="32"/>
          <w:highlight w:val="none"/>
          <w:lang w:val="en-US" w:eastAsia="zh-CN"/>
        </w:rPr>
        <w:t>对大型养老机构每年度开展不少于8次安全教育培训，街道长者服务中心和社区长者服务站（日间照料中心），每年度开展不少于38次安全教育培训。通过系统培训，全面提升养老服务机构工作人员安全责任意识和应急处置能力。</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hint="default" w:ascii="仿宋_GB2312" w:hAnsi="仿宋_GB2312" w:cs="仿宋_GB2312"/>
          <w:sz w:val="32"/>
          <w:szCs w:val="32"/>
          <w:highlight w:val="none"/>
          <w:lang w:val="en" w:eastAsia="zh-CN"/>
        </w:rPr>
      </w:pPr>
      <w:r>
        <w:rPr>
          <w:rFonts w:hint="eastAsia" w:ascii="楷体_GB2312" w:hAnsi="楷体_GB2312" w:eastAsia="楷体_GB2312" w:cs="楷体_GB2312"/>
          <w:sz w:val="32"/>
          <w:szCs w:val="32"/>
          <w:highlight w:val="none"/>
          <w:lang w:val="en-US" w:eastAsia="zh-CN"/>
        </w:rPr>
        <w:t>（二）安全监管档案整理。</w:t>
      </w:r>
      <w:r>
        <w:rPr>
          <w:rFonts w:hint="eastAsia" w:ascii="仿宋_GB2312" w:hAnsi="仿宋_GB2312" w:cs="仿宋_GB2312"/>
          <w:sz w:val="32"/>
          <w:szCs w:val="32"/>
          <w:highlight w:val="none"/>
          <w:lang w:val="en-US" w:eastAsia="zh-CN"/>
        </w:rPr>
        <w:t>协助整理龙华区民政局养老服务领域安全监管档案，包括但不限于安全生产政策文件、隐患整治档案、应急演练档案、安全教育培训档案及其它档案等</w:t>
      </w:r>
      <w:r>
        <w:rPr>
          <w:rFonts w:hint="default" w:ascii="仿宋_GB2312" w:hAnsi="仿宋_GB2312" w:cs="仿宋_GB2312"/>
          <w:sz w:val="32"/>
          <w:szCs w:val="32"/>
          <w:highlight w:val="none"/>
          <w:lang w:val="en" w:eastAsia="zh-CN"/>
        </w:rPr>
        <w:t>。</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kern w:val="2"/>
          <w:sz w:val="32"/>
          <w:szCs w:val="32"/>
          <w:highlight w:val="none"/>
          <w:lang w:val="en-US" w:eastAsia="zh-CN" w:bidi="ar-SA"/>
        </w:rPr>
      </w:pPr>
      <w:r>
        <w:rPr>
          <w:rFonts w:hint="eastAsia" w:ascii="楷体_GB2312" w:hAnsi="楷体_GB2312" w:eastAsia="楷体_GB2312" w:cs="楷体_GB2312"/>
          <w:b w:val="0"/>
          <w:kern w:val="2"/>
          <w:sz w:val="32"/>
          <w:szCs w:val="32"/>
          <w:highlight w:val="none"/>
          <w:lang w:val="en" w:eastAsia="zh-CN" w:bidi="ar-SA"/>
        </w:rPr>
        <w:t>（三）常态化检查。</w:t>
      </w:r>
      <w:r>
        <w:rPr>
          <w:rFonts w:hint="eastAsia" w:ascii="仿宋_GB2312" w:hAnsi="仿宋_GB2312" w:eastAsia="仿宋_GB2312" w:cs="仿宋_GB2312"/>
          <w:b w:val="0"/>
          <w:bCs/>
          <w:kern w:val="2"/>
          <w:sz w:val="32"/>
          <w:szCs w:val="32"/>
          <w:highlight w:val="none"/>
          <w:lang w:val="en" w:eastAsia="zh-CN" w:bidi="ar-SA"/>
        </w:rPr>
        <w:t>一是对</w:t>
      </w:r>
      <w:r>
        <w:rPr>
          <w:rFonts w:hint="eastAsia" w:ascii="仿宋_GB2312" w:hAnsi="仿宋_GB2312" w:cs="仿宋_GB2312"/>
          <w:b w:val="0"/>
          <w:bCs/>
          <w:kern w:val="2"/>
          <w:sz w:val="32"/>
          <w:szCs w:val="32"/>
          <w:highlight w:val="none"/>
          <w:lang w:val="en-US" w:eastAsia="zh-CN" w:bidi="ar-SA"/>
        </w:rPr>
        <w:t>大型养老机构年度开展安全隐患排查不少于62次</w:t>
      </w:r>
      <w:r>
        <w:rPr>
          <w:rFonts w:hint="eastAsia" w:ascii="仿宋_GB2312" w:hAnsi="仿宋_GB2312" w:eastAsia="仿宋_GB2312" w:cs="仿宋_GB2312"/>
          <w:b w:val="0"/>
          <w:bCs/>
          <w:kern w:val="2"/>
          <w:sz w:val="32"/>
          <w:szCs w:val="32"/>
          <w:highlight w:val="none"/>
          <w:lang w:val="en" w:eastAsia="zh-CN" w:bidi="ar-SA"/>
        </w:rPr>
        <w:t>。二是对街道（社区）长者服务中心（站）</w:t>
      </w:r>
      <w:r>
        <w:rPr>
          <w:rFonts w:hint="eastAsia" w:ascii="仿宋_GB2312" w:hAnsi="仿宋_GB2312" w:cs="仿宋_GB2312"/>
          <w:b w:val="0"/>
          <w:bCs/>
          <w:kern w:val="2"/>
          <w:sz w:val="32"/>
          <w:szCs w:val="32"/>
          <w:highlight w:val="none"/>
          <w:lang w:val="en" w:eastAsia="zh-CN" w:bidi="ar-SA"/>
        </w:rPr>
        <w:t>年度开展安全隐患排查不少于</w:t>
      </w:r>
      <w:r>
        <w:rPr>
          <w:rFonts w:hint="eastAsia" w:ascii="仿宋_GB2312" w:hAnsi="仿宋_GB2312" w:cs="仿宋_GB2312"/>
          <w:b w:val="0"/>
          <w:bCs/>
          <w:kern w:val="2"/>
          <w:sz w:val="32"/>
          <w:szCs w:val="32"/>
          <w:highlight w:val="none"/>
          <w:lang w:val="en-US" w:eastAsia="zh-CN" w:bidi="ar-SA"/>
        </w:rPr>
        <w:t>76次</w:t>
      </w:r>
      <w:r>
        <w:rPr>
          <w:rFonts w:hint="eastAsia" w:ascii="仿宋_GB2312" w:hAnsi="仿宋_GB2312" w:eastAsia="仿宋_GB2312" w:cs="仿宋_GB2312"/>
          <w:b w:val="0"/>
          <w:bCs/>
          <w:kern w:val="2"/>
          <w:sz w:val="32"/>
          <w:szCs w:val="32"/>
          <w:highlight w:val="none"/>
          <w:lang w:val="en" w:eastAsia="zh-CN" w:bidi="ar-SA"/>
        </w:rPr>
        <w:t>。三是对社区长者服务点（星光）</w:t>
      </w:r>
      <w:r>
        <w:rPr>
          <w:rFonts w:hint="eastAsia" w:ascii="仿宋_GB2312" w:hAnsi="仿宋_GB2312" w:cs="仿宋_GB2312"/>
          <w:b w:val="0"/>
          <w:bCs/>
          <w:kern w:val="2"/>
          <w:sz w:val="32"/>
          <w:szCs w:val="32"/>
          <w:highlight w:val="none"/>
          <w:lang w:val="en" w:eastAsia="zh-CN" w:bidi="ar-SA"/>
        </w:rPr>
        <w:t>年度</w:t>
      </w:r>
      <w:r>
        <w:rPr>
          <w:rFonts w:hint="eastAsia" w:ascii="仿宋_GB2312" w:hAnsi="仿宋_GB2312" w:eastAsia="仿宋_GB2312" w:cs="仿宋_GB2312"/>
          <w:b w:val="0"/>
          <w:bCs/>
          <w:kern w:val="2"/>
          <w:sz w:val="32"/>
          <w:szCs w:val="32"/>
          <w:highlight w:val="none"/>
          <w:lang w:val="en" w:eastAsia="zh-CN" w:bidi="ar-SA"/>
        </w:rPr>
        <w:t>开展安全隐患排查</w:t>
      </w:r>
      <w:r>
        <w:rPr>
          <w:rFonts w:hint="eastAsia" w:ascii="仿宋_GB2312" w:hAnsi="仿宋_GB2312" w:cs="仿宋_GB2312"/>
          <w:b w:val="0"/>
          <w:bCs/>
          <w:kern w:val="2"/>
          <w:sz w:val="32"/>
          <w:szCs w:val="32"/>
          <w:highlight w:val="none"/>
          <w:lang w:val="en" w:eastAsia="zh-CN" w:bidi="ar-SA"/>
        </w:rPr>
        <w:t>不少于</w:t>
      </w:r>
      <w:r>
        <w:rPr>
          <w:rFonts w:hint="default" w:ascii="仿宋_GB2312" w:hAnsi="仿宋_GB2312" w:cs="仿宋_GB2312"/>
          <w:b w:val="0"/>
          <w:bCs/>
          <w:kern w:val="2"/>
          <w:sz w:val="32"/>
          <w:szCs w:val="32"/>
          <w:highlight w:val="none"/>
          <w:lang w:val="en-US" w:eastAsia="zh-CN" w:bidi="ar-SA"/>
        </w:rPr>
        <w:t>29</w:t>
      </w:r>
      <w:r>
        <w:rPr>
          <w:rFonts w:hint="eastAsia" w:ascii="仿宋_GB2312" w:hAnsi="仿宋_GB2312" w:cs="仿宋_GB2312"/>
          <w:b w:val="0"/>
          <w:bCs/>
          <w:kern w:val="2"/>
          <w:sz w:val="32"/>
          <w:szCs w:val="32"/>
          <w:highlight w:val="none"/>
          <w:lang w:val="en-US" w:eastAsia="zh-CN" w:bidi="ar-SA"/>
        </w:rPr>
        <w:t>次</w:t>
      </w:r>
      <w:r>
        <w:rPr>
          <w:rFonts w:hint="eastAsia" w:ascii="仿宋_GB2312" w:hAnsi="仿宋_GB2312" w:eastAsia="仿宋_GB2312" w:cs="仿宋_GB2312"/>
          <w:b w:val="0"/>
          <w:bCs/>
          <w:kern w:val="2"/>
          <w:sz w:val="32"/>
          <w:szCs w:val="32"/>
          <w:highlight w:val="none"/>
          <w:lang w:val="en" w:eastAsia="zh-CN" w:bidi="ar-SA"/>
        </w:rPr>
        <w:t>。</w:t>
      </w:r>
      <w:r>
        <w:rPr>
          <w:rFonts w:hint="eastAsia" w:ascii="仿宋_GB2312" w:hAnsi="仿宋_GB2312" w:cs="仿宋_GB2312"/>
          <w:b w:val="0"/>
          <w:bCs/>
          <w:kern w:val="2"/>
          <w:sz w:val="32"/>
          <w:szCs w:val="32"/>
          <w:highlight w:val="none"/>
          <w:lang w:val="en" w:eastAsia="zh-CN" w:bidi="ar-SA"/>
        </w:rPr>
        <w:t>四</w:t>
      </w:r>
      <w:r>
        <w:rPr>
          <w:rFonts w:hint="eastAsia" w:ascii="仿宋_GB2312" w:hAnsi="仿宋_GB2312" w:eastAsia="仿宋_GB2312" w:cs="仿宋_GB2312"/>
          <w:b w:val="0"/>
          <w:bCs/>
          <w:kern w:val="2"/>
          <w:sz w:val="32"/>
          <w:szCs w:val="32"/>
          <w:highlight w:val="none"/>
          <w:lang w:val="en" w:eastAsia="zh-CN" w:bidi="ar-SA"/>
        </w:rPr>
        <w:t>是</w:t>
      </w:r>
      <w:r>
        <w:rPr>
          <w:rFonts w:hint="eastAsia" w:ascii="仿宋_GB2312" w:hAnsi="仿宋_GB2312" w:eastAsia="仿宋_GB2312" w:cs="仿宋_GB2312"/>
          <w:b w:val="0"/>
          <w:bCs/>
          <w:kern w:val="2"/>
          <w:sz w:val="32"/>
          <w:szCs w:val="32"/>
          <w:highlight w:val="none"/>
          <w:lang w:val="en-US" w:eastAsia="zh-CN" w:bidi="ar-SA"/>
        </w:rPr>
        <w:t>现场开展安全检查发现隐患问题时，给予被检查单位可行的整改建议及指导，及时跟进隐患问题整改落实情况进行复查，并建立隐患排查治理台账电子记录。</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kern w:val="2"/>
          <w:sz w:val="32"/>
          <w:szCs w:val="32"/>
          <w:highlight w:val="none"/>
          <w:lang w:val="en-US" w:eastAsia="zh-CN" w:bidi="ar-SA"/>
        </w:rPr>
      </w:pPr>
      <w:r>
        <w:rPr>
          <w:rFonts w:hint="eastAsia" w:ascii="楷体_GB2312" w:hAnsi="楷体_GB2312" w:eastAsia="楷体_GB2312" w:cs="楷体_GB2312"/>
          <w:b w:val="0"/>
          <w:kern w:val="2"/>
          <w:sz w:val="32"/>
          <w:szCs w:val="32"/>
          <w:highlight w:val="none"/>
          <w:lang w:val="en" w:eastAsia="zh-CN" w:bidi="ar-SA"/>
        </w:rPr>
        <w:t>（四）临时性检查。</w:t>
      </w:r>
      <w:r>
        <w:rPr>
          <w:rFonts w:hint="eastAsia" w:ascii="仿宋_GB2312" w:hAnsi="仿宋_GB2312" w:eastAsia="仿宋_GB2312" w:cs="仿宋_GB2312"/>
          <w:b w:val="0"/>
          <w:bCs/>
          <w:kern w:val="2"/>
          <w:sz w:val="32"/>
          <w:szCs w:val="32"/>
          <w:highlight w:val="none"/>
          <w:lang w:val="en" w:eastAsia="zh-CN" w:bidi="ar-SA"/>
        </w:rPr>
        <w:t>针对突发风险或特殊时段，对辖区养老机构开展临时性检查。包括但不限于事故响应、投诉举报、特殊节点及联合行动等。</w:t>
      </w:r>
    </w:p>
    <w:p>
      <w:pPr>
        <w:pStyle w:val="4"/>
        <w:keepNext w:val="0"/>
        <w:keepLines w:val="0"/>
        <w:pageBreakBefore w:val="0"/>
        <w:widowControl w:val="0"/>
        <w:kinsoku/>
        <w:wordWrap/>
        <w:overflowPunct/>
        <w:topLinePunct w:val="0"/>
        <w:autoSpaceDE/>
        <w:autoSpaceDN/>
        <w:bidi w:val="0"/>
        <w:adjustRightInd/>
        <w:snapToGrid/>
        <w:spacing w:before="0" w:after="0" w:line="560" w:lineRule="exact"/>
        <w:jc w:val="left"/>
        <w:textAlignment w:val="auto"/>
        <w:rPr>
          <w:rFonts w:hint="eastAsia" w:ascii="仿宋_GB2312" w:hAnsi="仿宋_GB2312" w:eastAsia="仿宋_GB2312" w:cs="仿宋_GB2312"/>
          <w:b w:val="0"/>
          <w:bCs/>
          <w:kern w:val="2"/>
          <w:sz w:val="32"/>
          <w:szCs w:val="32"/>
          <w:highlight w:val="none"/>
          <w:lang w:val="en" w:eastAsia="zh-CN" w:bidi="ar-SA"/>
        </w:rPr>
      </w:pPr>
      <w:r>
        <w:rPr>
          <w:rFonts w:hint="eastAsia" w:ascii="楷体_GB2312" w:hAnsi="楷体_GB2312" w:eastAsia="楷体_GB2312" w:cs="楷体_GB2312"/>
          <w:b w:val="0"/>
          <w:kern w:val="2"/>
          <w:sz w:val="32"/>
          <w:szCs w:val="32"/>
          <w:highlight w:val="none"/>
          <w:lang w:val="en" w:eastAsia="zh-CN" w:bidi="ar-SA"/>
        </w:rPr>
        <w:t>（五）应急演练指导。</w:t>
      </w:r>
      <w:r>
        <w:rPr>
          <w:rFonts w:hint="eastAsia" w:ascii="仿宋_GB2312" w:hAnsi="仿宋_GB2312" w:cs="仿宋_GB2312"/>
          <w:b w:val="0"/>
          <w:bCs/>
          <w:kern w:val="2"/>
          <w:sz w:val="32"/>
          <w:szCs w:val="32"/>
          <w:highlight w:val="none"/>
          <w:lang w:val="en" w:eastAsia="zh-CN" w:bidi="ar-SA"/>
        </w:rPr>
        <w:t>指导</w:t>
      </w:r>
      <w:r>
        <w:rPr>
          <w:rFonts w:hint="eastAsia" w:ascii="仿宋_GB2312" w:hAnsi="仿宋_GB2312" w:cs="仿宋_GB2312"/>
          <w:b w:val="0"/>
          <w:bCs/>
          <w:kern w:val="2"/>
          <w:sz w:val="32"/>
          <w:szCs w:val="32"/>
          <w:highlight w:val="none"/>
          <w:lang w:val="en-US" w:eastAsia="zh-CN" w:bidi="ar-SA"/>
        </w:rPr>
        <w:t>大型养老机构</w:t>
      </w:r>
      <w:r>
        <w:rPr>
          <w:rFonts w:hint="eastAsia" w:ascii="仿宋_GB2312" w:hAnsi="仿宋_GB2312" w:cs="仿宋_GB2312"/>
          <w:b w:val="0"/>
          <w:bCs/>
          <w:kern w:val="2"/>
          <w:sz w:val="32"/>
          <w:szCs w:val="32"/>
          <w:highlight w:val="none"/>
          <w:lang w:val="en" w:eastAsia="zh-CN" w:bidi="ar-SA"/>
        </w:rPr>
        <w:t>年度开展</w:t>
      </w:r>
      <w:r>
        <w:rPr>
          <w:rFonts w:hint="eastAsia" w:ascii="仿宋_GB2312" w:hAnsi="仿宋_GB2312" w:eastAsia="仿宋_GB2312" w:cs="仿宋_GB2312"/>
          <w:b w:val="0"/>
          <w:bCs/>
          <w:kern w:val="2"/>
          <w:sz w:val="32"/>
          <w:szCs w:val="32"/>
          <w:highlight w:val="none"/>
          <w:lang w:val="en" w:eastAsia="zh-CN" w:bidi="ar-SA"/>
        </w:rPr>
        <w:t>应急演练</w:t>
      </w:r>
      <w:r>
        <w:rPr>
          <w:rFonts w:hint="eastAsia" w:ascii="仿宋_GB2312" w:hAnsi="仿宋_GB2312" w:cs="仿宋_GB2312"/>
          <w:b w:val="0"/>
          <w:bCs/>
          <w:kern w:val="2"/>
          <w:sz w:val="32"/>
          <w:szCs w:val="32"/>
          <w:highlight w:val="none"/>
          <w:lang w:val="en" w:eastAsia="zh-CN" w:bidi="ar-SA"/>
        </w:rPr>
        <w:t>不少于</w:t>
      </w:r>
      <w:r>
        <w:rPr>
          <w:rFonts w:hint="eastAsia" w:ascii="仿宋_GB2312" w:hAnsi="仿宋_GB2312" w:cs="仿宋_GB2312"/>
          <w:b w:val="0"/>
          <w:bCs/>
          <w:kern w:val="2"/>
          <w:sz w:val="32"/>
          <w:szCs w:val="32"/>
          <w:highlight w:val="none"/>
          <w:lang w:val="en-US" w:eastAsia="zh-CN" w:bidi="ar-SA"/>
        </w:rPr>
        <w:t>4次</w:t>
      </w:r>
      <w:r>
        <w:rPr>
          <w:rFonts w:hint="eastAsia" w:ascii="仿宋_GB2312" w:hAnsi="仿宋_GB2312" w:eastAsia="仿宋_GB2312" w:cs="仿宋_GB2312"/>
          <w:b w:val="0"/>
          <w:bCs/>
          <w:kern w:val="2"/>
          <w:sz w:val="32"/>
          <w:szCs w:val="32"/>
          <w:highlight w:val="none"/>
          <w:lang w:val="en" w:eastAsia="zh-CN" w:bidi="ar-SA"/>
        </w:rPr>
        <w:t>；</w:t>
      </w:r>
      <w:r>
        <w:rPr>
          <w:rFonts w:hint="eastAsia" w:ascii="仿宋_GB2312" w:hAnsi="仿宋_GB2312" w:cs="仿宋_GB2312"/>
          <w:b w:val="0"/>
          <w:bCs/>
          <w:kern w:val="2"/>
          <w:sz w:val="32"/>
          <w:szCs w:val="32"/>
          <w:highlight w:val="none"/>
          <w:lang w:val="en" w:eastAsia="zh-CN" w:bidi="ar-SA"/>
        </w:rPr>
        <w:t>指导</w:t>
      </w:r>
      <w:r>
        <w:rPr>
          <w:rFonts w:hint="eastAsia" w:ascii="仿宋_GB2312" w:hAnsi="仿宋_GB2312" w:eastAsia="仿宋_GB2312" w:cs="仿宋_GB2312"/>
          <w:b w:val="0"/>
          <w:bCs/>
          <w:kern w:val="2"/>
          <w:sz w:val="32"/>
          <w:szCs w:val="32"/>
          <w:highlight w:val="none"/>
          <w:lang w:val="en" w:eastAsia="zh-CN" w:bidi="ar-SA"/>
        </w:rPr>
        <w:t>街道长者服务中心</w:t>
      </w:r>
      <w:r>
        <w:rPr>
          <w:rFonts w:hint="eastAsia" w:ascii="仿宋_GB2312" w:hAnsi="仿宋_GB2312" w:cs="仿宋_GB2312"/>
          <w:b w:val="0"/>
          <w:bCs/>
          <w:kern w:val="2"/>
          <w:sz w:val="32"/>
          <w:szCs w:val="32"/>
          <w:highlight w:val="none"/>
          <w:lang w:val="en" w:eastAsia="zh-CN" w:bidi="ar-SA"/>
        </w:rPr>
        <w:t>年度</w:t>
      </w:r>
      <w:r>
        <w:rPr>
          <w:rFonts w:hint="eastAsia" w:ascii="仿宋_GB2312" w:hAnsi="仿宋_GB2312" w:eastAsia="仿宋_GB2312" w:cs="仿宋_GB2312"/>
          <w:b w:val="0"/>
          <w:bCs/>
          <w:kern w:val="2"/>
          <w:sz w:val="32"/>
          <w:szCs w:val="32"/>
          <w:highlight w:val="none"/>
          <w:lang w:val="en" w:eastAsia="zh-CN" w:bidi="ar-SA"/>
        </w:rPr>
        <w:t>开展应急演练</w:t>
      </w:r>
      <w:r>
        <w:rPr>
          <w:rFonts w:hint="eastAsia" w:ascii="仿宋_GB2312" w:hAnsi="仿宋_GB2312" w:cs="仿宋_GB2312"/>
          <w:b w:val="0"/>
          <w:bCs/>
          <w:kern w:val="2"/>
          <w:sz w:val="32"/>
          <w:szCs w:val="32"/>
          <w:highlight w:val="none"/>
          <w:lang w:val="en" w:eastAsia="zh-CN" w:bidi="ar-SA"/>
        </w:rPr>
        <w:t>不少于</w:t>
      </w:r>
      <w:r>
        <w:rPr>
          <w:rFonts w:hint="eastAsia" w:ascii="仿宋_GB2312" w:hAnsi="仿宋_GB2312" w:cs="仿宋_GB2312"/>
          <w:b w:val="0"/>
          <w:bCs/>
          <w:kern w:val="2"/>
          <w:sz w:val="32"/>
          <w:szCs w:val="32"/>
          <w:highlight w:val="none"/>
          <w:lang w:val="en-US" w:eastAsia="zh-CN" w:bidi="ar-SA"/>
        </w:rPr>
        <w:t>6次</w:t>
      </w:r>
      <w:r>
        <w:rPr>
          <w:rFonts w:hint="eastAsia" w:ascii="仿宋_GB2312" w:hAnsi="仿宋_GB2312" w:cs="仿宋_GB2312"/>
          <w:b w:val="0"/>
          <w:bCs/>
          <w:kern w:val="2"/>
          <w:sz w:val="32"/>
          <w:szCs w:val="32"/>
          <w:highlight w:val="none"/>
          <w:lang w:val="en" w:eastAsia="zh-CN" w:bidi="ar-SA"/>
        </w:rPr>
        <w:t>。</w:t>
      </w:r>
      <w:r>
        <w:rPr>
          <w:rFonts w:hint="eastAsia" w:ascii="仿宋_GB2312" w:hAnsi="仿宋_GB2312" w:eastAsia="仿宋_GB2312" w:cs="仿宋_GB2312"/>
          <w:b w:val="0"/>
          <w:bCs/>
          <w:kern w:val="2"/>
          <w:sz w:val="32"/>
          <w:szCs w:val="32"/>
          <w:highlight w:val="none"/>
          <w:lang w:val="en" w:eastAsia="zh-CN" w:bidi="ar-SA"/>
        </w:rPr>
        <w:t>全年</w:t>
      </w:r>
      <w:r>
        <w:rPr>
          <w:rFonts w:hint="eastAsia" w:ascii="仿宋_GB2312" w:hAnsi="仿宋_GB2312" w:cs="仿宋_GB2312"/>
          <w:b w:val="0"/>
          <w:bCs/>
          <w:kern w:val="2"/>
          <w:sz w:val="32"/>
          <w:szCs w:val="32"/>
          <w:highlight w:val="none"/>
          <w:lang w:val="en" w:eastAsia="zh-CN" w:bidi="ar-SA"/>
        </w:rPr>
        <w:t>应急演练</w:t>
      </w:r>
      <w:r>
        <w:rPr>
          <w:rFonts w:hint="eastAsia" w:ascii="仿宋_GB2312" w:hAnsi="仿宋_GB2312" w:eastAsia="仿宋_GB2312" w:cs="仿宋_GB2312"/>
          <w:b w:val="0"/>
          <w:bCs/>
          <w:kern w:val="2"/>
          <w:sz w:val="32"/>
          <w:szCs w:val="32"/>
          <w:highlight w:val="none"/>
          <w:lang w:val="en" w:eastAsia="zh-CN" w:bidi="ar-SA"/>
        </w:rPr>
        <w:t>不少于10场次。</w:t>
      </w:r>
    </w:p>
    <w:p>
      <w:pPr>
        <w:keepNext w:val="0"/>
        <w:keepLines w:val="0"/>
        <w:pageBreakBefore w:val="0"/>
        <w:widowControl w:val="0"/>
        <w:kinsoku/>
        <w:wordWrap/>
        <w:overflowPunct/>
        <w:topLinePunct w:val="0"/>
        <w:autoSpaceDE/>
        <w:autoSpaceDN/>
        <w:bidi w:val="0"/>
        <w:adjustRightInd/>
        <w:spacing w:line="560" w:lineRule="exact"/>
        <w:jc w:val="left"/>
        <w:textAlignment w:val="auto"/>
        <w:rPr>
          <w:rFonts w:hint="eastAsia" w:ascii="仿宋_GB2312" w:hAnsi="仿宋_GB2312" w:cs="仿宋_GB2312"/>
          <w:b w:val="0"/>
          <w:bCs/>
          <w:kern w:val="2"/>
          <w:sz w:val="32"/>
          <w:szCs w:val="32"/>
          <w:highlight w:val="none"/>
          <w:lang w:val="en" w:eastAsia="zh-CN" w:bidi="ar-SA"/>
        </w:rPr>
      </w:pPr>
      <w:r>
        <w:rPr>
          <w:rFonts w:hint="eastAsia" w:ascii="楷体_GB2312" w:hAnsi="楷体_GB2312" w:eastAsia="楷体_GB2312" w:cs="楷体_GB2312"/>
          <w:b w:val="0"/>
          <w:kern w:val="2"/>
          <w:sz w:val="32"/>
          <w:szCs w:val="32"/>
          <w:highlight w:val="none"/>
          <w:lang w:val="en" w:eastAsia="zh-CN" w:bidi="ar-SA"/>
        </w:rPr>
        <w:t>（六）养老服务机构安全满意度调查。</w:t>
      </w:r>
      <w:r>
        <w:rPr>
          <w:rFonts w:hint="eastAsia" w:ascii="仿宋_GB2312" w:hAnsi="仿宋_GB2312" w:cs="仿宋_GB2312"/>
          <w:b w:val="0"/>
          <w:bCs/>
          <w:kern w:val="2"/>
          <w:sz w:val="32"/>
          <w:szCs w:val="32"/>
          <w:highlight w:val="none"/>
          <w:lang w:val="en" w:eastAsia="zh-CN" w:bidi="ar-SA"/>
        </w:rPr>
        <w:t>系统评估养老机构安全生产管理、消防安全管理、“九防”管理及服务对象满意度评价，梳理薄弱环节，为强化风险防控提供数据支撑。生成评估报告，提炼优秀案例推广经验，助力全区养老服务安全提质增效。</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jc w:val="left"/>
        <w:textAlignment w:val="auto"/>
        <w:outlineLvl w:val="9"/>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lang w:eastAsia="zh-CN"/>
        </w:rPr>
        <w:t>四、服务项目及报价限额</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right="0" w:rightChars="0" w:firstLine="640" w:firstLineChars="200"/>
        <w:jc w:val="left"/>
        <w:textAlignment w:val="auto"/>
        <w:outlineLvl w:val="9"/>
        <w:rPr>
          <w:rFonts w:hint="eastAsia" w:ascii="仿宋_GB2312" w:hAnsi="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2026年养老服务场所安全生产检查指导项目拟通过委托第三方机构承接实施</w:t>
      </w:r>
      <w:r>
        <w:rPr>
          <w:rFonts w:hint="eastAsia" w:ascii="仿宋_GB2312" w:hAnsi="仿宋_GB2312" w:cs="仿宋_GB2312"/>
          <w:sz w:val="32"/>
          <w:szCs w:val="32"/>
          <w:highlight w:val="none"/>
          <w:lang w:val="en-US" w:eastAsia="zh-CN"/>
        </w:rPr>
        <w:t>，报价限额不超过</w:t>
      </w:r>
      <w:r>
        <w:rPr>
          <w:rFonts w:hint="eastAsia" w:ascii="仿宋_GB2312" w:hAnsi="仿宋_GB2312" w:eastAsia="仿宋_GB2312" w:cs="仿宋_GB2312"/>
          <w:sz w:val="32"/>
          <w:szCs w:val="32"/>
          <w:highlight w:val="none"/>
          <w:lang w:val="en-US" w:eastAsia="zh-CN"/>
        </w:rPr>
        <w:t>3</w:t>
      </w:r>
      <w:r>
        <w:rPr>
          <w:rFonts w:hint="default" w:ascii="仿宋_GB2312" w:hAnsi="仿宋_GB2312" w:cs="仿宋_GB2312"/>
          <w:sz w:val="32"/>
          <w:szCs w:val="32"/>
          <w:highlight w:val="none"/>
          <w:lang w:val="en-US" w:eastAsia="zh-CN"/>
        </w:rPr>
        <w:t>7.67</w:t>
      </w:r>
      <w:r>
        <w:rPr>
          <w:rFonts w:hint="eastAsia" w:ascii="仿宋_GB2312" w:hAnsi="仿宋_GB2312" w:eastAsia="仿宋_GB2312" w:cs="仿宋_GB2312"/>
          <w:sz w:val="32"/>
          <w:szCs w:val="32"/>
          <w:highlight w:val="none"/>
          <w:lang w:val="en-US" w:eastAsia="zh-CN"/>
        </w:rPr>
        <w:t>万元（人民币叁拾柒万陆仟柒佰元整），具体明细如下</w:t>
      </w:r>
      <w:r>
        <w:rPr>
          <w:rFonts w:hint="eastAsia" w:ascii="仿宋_GB2312" w:hAnsi="仿宋_GB2312" w:cs="仿宋_GB2312"/>
          <w:sz w:val="32"/>
          <w:szCs w:val="32"/>
          <w:highlight w:val="none"/>
          <w:lang w:val="en-US" w:eastAsia="zh-CN"/>
        </w:rPr>
        <w:t>：</w:t>
      </w:r>
    </w:p>
    <w:tbl>
      <w:tblPr>
        <w:tblStyle w:val="16"/>
        <w:tblW w:w="478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5"/>
        <w:gridCol w:w="1033"/>
        <w:gridCol w:w="292"/>
        <w:gridCol w:w="1076"/>
        <w:gridCol w:w="855"/>
        <w:gridCol w:w="810"/>
        <w:gridCol w:w="990"/>
        <w:gridCol w:w="1385"/>
        <w:gridCol w:w="16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5" w:hRule="exact"/>
          <w:tblHeader/>
        </w:trPr>
        <w:tc>
          <w:tcPr>
            <w:tcW w:w="314"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bCs/>
                <w:color w:val="auto"/>
                <w:sz w:val="21"/>
                <w:szCs w:val="21"/>
                <w:vertAlign w:val="baseline"/>
                <w:lang w:val="en-US" w:eastAsia="zh-CN"/>
              </w:rPr>
            </w:pPr>
            <w:r>
              <w:rPr>
                <w:rFonts w:hint="eastAsia" w:ascii="宋体" w:hAnsi="宋体" w:eastAsia="宋体" w:cs="宋体"/>
                <w:b/>
                <w:bCs/>
                <w:color w:val="auto"/>
                <w:sz w:val="21"/>
                <w:szCs w:val="21"/>
                <w:vertAlign w:val="baseline"/>
                <w:lang w:val="en-US" w:eastAsia="zh-CN"/>
              </w:rPr>
              <w:t>序号</w:t>
            </w:r>
          </w:p>
        </w:tc>
        <w:tc>
          <w:tcPr>
            <w:tcW w:w="1384" w:type="pct"/>
            <w:gridSpan w:val="3"/>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bCs/>
                <w:color w:val="auto"/>
                <w:sz w:val="21"/>
                <w:szCs w:val="21"/>
                <w:vertAlign w:val="baseline"/>
                <w:lang w:val="en-US" w:eastAsia="zh-CN"/>
              </w:rPr>
            </w:pPr>
            <w:r>
              <w:rPr>
                <w:rFonts w:hint="eastAsia" w:ascii="宋体" w:hAnsi="宋体" w:eastAsia="宋体" w:cs="宋体"/>
                <w:b/>
                <w:bCs/>
                <w:color w:val="auto"/>
                <w:sz w:val="21"/>
                <w:szCs w:val="21"/>
                <w:vertAlign w:val="baseline"/>
                <w:lang w:val="en-US" w:eastAsia="zh-CN"/>
              </w:rPr>
              <w:t>项目</w:t>
            </w:r>
          </w:p>
        </w:tc>
        <w:tc>
          <w:tcPr>
            <w:tcW w:w="493"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bCs/>
                <w:color w:val="auto"/>
                <w:sz w:val="21"/>
                <w:szCs w:val="21"/>
                <w:vertAlign w:val="baseline"/>
                <w:lang w:val="en-US" w:eastAsia="zh-CN"/>
              </w:rPr>
            </w:pPr>
            <w:r>
              <w:rPr>
                <w:rFonts w:hint="eastAsia" w:ascii="宋体" w:hAnsi="宋体" w:eastAsia="宋体" w:cs="宋体"/>
                <w:b/>
                <w:bCs/>
                <w:color w:val="auto"/>
                <w:sz w:val="21"/>
                <w:szCs w:val="21"/>
                <w:vertAlign w:val="baseline"/>
                <w:lang w:val="en-US" w:eastAsia="zh-CN"/>
              </w:rPr>
              <w:t>周期</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eastAsia="宋体" w:cs="宋体"/>
                <w:b/>
                <w:bCs/>
                <w:color w:val="auto"/>
                <w:sz w:val="21"/>
                <w:szCs w:val="21"/>
                <w:vertAlign w:val="baseline"/>
                <w:lang w:val="en-US" w:eastAsia="zh-CN"/>
              </w:rPr>
            </w:pPr>
            <w:r>
              <w:rPr>
                <w:rFonts w:hint="eastAsia" w:ascii="宋体" w:hAnsi="宋体" w:eastAsia="宋体" w:cs="宋体"/>
                <w:b/>
                <w:bCs/>
                <w:color w:val="auto"/>
                <w:sz w:val="21"/>
                <w:szCs w:val="21"/>
                <w:vertAlign w:val="baseline"/>
                <w:lang w:val="en-US" w:eastAsia="zh-CN"/>
              </w:rPr>
              <w:t>次/项</w:t>
            </w:r>
          </w:p>
        </w:tc>
        <w:tc>
          <w:tcPr>
            <w:tcW w:w="570"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ascii="宋体" w:hAnsi="宋体" w:eastAsia="宋体" w:cs="宋体"/>
                <w:b/>
                <w:bCs/>
                <w:color w:val="auto"/>
                <w:sz w:val="21"/>
                <w:szCs w:val="21"/>
                <w:vertAlign w:val="baseline"/>
                <w:lang w:val="en-US" w:eastAsia="zh-CN"/>
              </w:rPr>
            </w:pPr>
            <w:r>
              <w:rPr>
                <w:rFonts w:hint="eastAsia" w:ascii="宋体" w:hAnsi="宋体" w:eastAsia="宋体" w:cs="宋体"/>
                <w:b/>
                <w:bCs/>
                <w:color w:val="auto"/>
                <w:sz w:val="21"/>
                <w:szCs w:val="21"/>
                <w:vertAlign w:val="baseline"/>
                <w:lang w:val="en-US" w:eastAsia="zh-CN"/>
              </w:rPr>
              <w:t>报价限额(元)</w:t>
            </w:r>
          </w:p>
        </w:tc>
        <w:tc>
          <w:tcPr>
            <w:tcW w:w="798"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bCs/>
                <w:color w:val="auto"/>
                <w:sz w:val="21"/>
                <w:szCs w:val="21"/>
                <w:vertAlign w:val="baseline"/>
                <w:lang w:val="en-US" w:eastAsia="zh-CN"/>
              </w:rPr>
            </w:pPr>
            <w:r>
              <w:rPr>
                <w:rFonts w:hint="eastAsia" w:ascii="宋体" w:hAnsi="宋体" w:eastAsia="宋体" w:cs="宋体"/>
                <w:b/>
                <w:bCs/>
                <w:color w:val="auto"/>
                <w:sz w:val="21"/>
                <w:szCs w:val="21"/>
                <w:vertAlign w:val="baseline"/>
                <w:lang w:val="en-US" w:eastAsia="zh-CN"/>
              </w:rPr>
              <w:t>备注</w:t>
            </w:r>
          </w:p>
        </w:tc>
        <w:tc>
          <w:tcPr>
            <w:tcW w:w="971"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eastAsia="宋体" w:cs="宋体"/>
                <w:b/>
                <w:bCs/>
                <w:color w:val="auto"/>
                <w:sz w:val="21"/>
                <w:szCs w:val="21"/>
                <w:vertAlign w:val="baseline"/>
                <w:lang w:val="en-US" w:eastAsia="zh-CN"/>
              </w:rPr>
            </w:pPr>
            <w:r>
              <w:rPr>
                <w:rFonts w:hint="eastAsia" w:ascii="宋体" w:hAnsi="宋体" w:eastAsia="宋体" w:cs="宋体"/>
                <w:b/>
                <w:bCs/>
                <w:color w:val="auto"/>
                <w:sz w:val="21"/>
                <w:szCs w:val="21"/>
                <w:vertAlign w:val="baseline"/>
                <w:lang w:val="en-US" w:eastAsia="zh-CN"/>
              </w:rPr>
              <w:t>供应商报价（元）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93" w:hRule="exact"/>
        </w:trPr>
        <w:tc>
          <w:tcPr>
            <w:tcW w:w="314"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764" w:type="pct"/>
            <w:gridSpan w:val="2"/>
            <w:vMerge w:val="restar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center"/>
              <w:textAlignment w:val="auto"/>
              <w:rPr>
                <w:rFonts w:hint="eastAsia"/>
                <w:lang w:val="en-US" w:eastAsia="zh-CN"/>
              </w:rPr>
            </w:pPr>
            <w:r>
              <w:rPr>
                <w:rFonts w:hint="eastAsia" w:ascii="宋体" w:hAnsi="宋体" w:eastAsia="宋体" w:cs="宋体"/>
                <w:color w:val="auto"/>
                <w:sz w:val="21"/>
                <w:szCs w:val="21"/>
                <w:highlight w:val="none"/>
                <w:vertAlign w:val="baseline"/>
                <w:lang w:val="en-US" w:eastAsia="zh-CN"/>
              </w:rPr>
              <w:t>安全教育培训</w:t>
            </w:r>
          </w:p>
        </w:tc>
        <w:tc>
          <w:tcPr>
            <w:tcW w:w="620"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大型养老机构</w:t>
            </w:r>
          </w:p>
        </w:tc>
        <w:tc>
          <w:tcPr>
            <w:tcW w:w="493"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rPr>
              <w:t>1年</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center"/>
              <w:textAlignment w:val="auto"/>
              <w:rPr>
                <w:rFonts w:hint="default" w:ascii="宋体" w:hAnsi="宋体" w:eastAsia="宋体" w:cs="宋体"/>
                <w:color w:val="auto"/>
                <w:kern w:val="2"/>
                <w:sz w:val="21"/>
                <w:szCs w:val="21"/>
                <w:highlight w:val="none"/>
                <w:vertAlign w:val="baseline"/>
                <w:lang w:val="en-US" w:eastAsia="zh-CN" w:bidi="ar-SA"/>
              </w:rPr>
            </w:pPr>
            <w:r>
              <w:rPr>
                <w:rFonts w:hint="default" w:ascii="宋体" w:hAnsi="宋体" w:eastAsia="宋体" w:cs="宋体"/>
                <w:color w:val="auto"/>
                <w:sz w:val="21"/>
                <w:szCs w:val="21"/>
                <w:highlight w:val="none"/>
                <w:vertAlign w:val="baseline"/>
                <w:lang w:val="en-US" w:eastAsia="zh-CN"/>
              </w:rPr>
              <w:t>不少于</w:t>
            </w:r>
            <w:r>
              <w:rPr>
                <w:rFonts w:hint="eastAsia" w:ascii="宋体" w:hAnsi="宋体" w:eastAsia="宋体" w:cs="宋体"/>
                <w:color w:val="auto"/>
                <w:sz w:val="21"/>
                <w:szCs w:val="21"/>
                <w:highlight w:val="none"/>
                <w:vertAlign w:val="baseline"/>
                <w:lang w:val="en-US" w:eastAsia="zh-CN"/>
              </w:rPr>
              <w:t>8</w:t>
            </w:r>
            <w:r>
              <w:rPr>
                <w:rFonts w:hint="default" w:ascii="宋体" w:hAnsi="宋体" w:eastAsia="宋体" w:cs="宋体"/>
                <w:color w:val="auto"/>
                <w:sz w:val="21"/>
                <w:szCs w:val="21"/>
                <w:highlight w:val="none"/>
                <w:vertAlign w:val="baseline"/>
                <w:lang w:val="en-US" w:eastAsia="zh-CN"/>
              </w:rPr>
              <w:t>次</w:t>
            </w:r>
          </w:p>
        </w:tc>
        <w:tc>
          <w:tcPr>
            <w:tcW w:w="570"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center"/>
              <w:textAlignment w:val="auto"/>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16000</w:t>
            </w:r>
          </w:p>
        </w:tc>
        <w:tc>
          <w:tcPr>
            <w:tcW w:w="798"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rPr>
                <w:rFonts w:hint="default" w:ascii="宋体" w:hAnsi="宋体" w:eastAsia="宋体" w:cs="宋体"/>
                <w:color w:val="auto"/>
                <w:sz w:val="21"/>
                <w:szCs w:val="21"/>
                <w:highlight w:val="yellow"/>
                <w:vertAlign w:val="baseline"/>
                <w:lang w:val="en-US" w:eastAsia="zh-CN"/>
              </w:rPr>
            </w:pPr>
            <w:r>
              <w:rPr>
                <w:rFonts w:hint="default" w:ascii="宋体" w:hAnsi="宋体" w:eastAsia="宋体" w:cs="宋体"/>
                <w:color w:val="auto"/>
                <w:sz w:val="21"/>
                <w:szCs w:val="21"/>
                <w:highlight w:val="none"/>
                <w:vertAlign w:val="baseline"/>
                <w:lang w:val="en-US" w:eastAsia="zh-CN"/>
              </w:rPr>
              <w:t>由中级技术职称及以上专业人员授课</w:t>
            </w:r>
            <w:r>
              <w:rPr>
                <w:rFonts w:hint="eastAsia" w:ascii="宋体" w:hAnsi="宋体" w:eastAsia="宋体" w:cs="宋体"/>
                <w:color w:val="auto"/>
                <w:sz w:val="21"/>
                <w:szCs w:val="21"/>
                <w:highlight w:val="none"/>
                <w:vertAlign w:val="baseline"/>
                <w:lang w:val="en-US" w:eastAsia="zh-CN"/>
              </w:rPr>
              <w:t>。</w:t>
            </w:r>
          </w:p>
        </w:tc>
        <w:tc>
          <w:tcPr>
            <w:tcW w:w="971"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9" w:hRule="exact"/>
        </w:trPr>
        <w:tc>
          <w:tcPr>
            <w:tcW w:w="314"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w:t>
            </w:r>
          </w:p>
        </w:tc>
        <w:tc>
          <w:tcPr>
            <w:tcW w:w="764" w:type="pct"/>
            <w:gridSpan w:val="2"/>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c>
          <w:tcPr>
            <w:tcW w:w="620"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街道（社区）长者服务中心（站）</w:t>
            </w:r>
          </w:p>
        </w:tc>
        <w:tc>
          <w:tcPr>
            <w:tcW w:w="493"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rPr>
              <w:t>1年</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center"/>
              <w:textAlignment w:val="auto"/>
              <w:rPr>
                <w:rFonts w:hint="default" w:ascii="宋体" w:hAnsi="宋体" w:eastAsia="宋体" w:cs="宋体"/>
                <w:color w:val="auto"/>
                <w:kern w:val="2"/>
                <w:sz w:val="21"/>
                <w:szCs w:val="21"/>
                <w:highlight w:val="none"/>
                <w:vertAlign w:val="baseline"/>
                <w:lang w:val="en-US" w:eastAsia="zh-CN" w:bidi="ar-SA"/>
              </w:rPr>
            </w:pPr>
            <w:r>
              <w:rPr>
                <w:rFonts w:hint="default" w:ascii="宋体" w:hAnsi="宋体" w:eastAsia="宋体" w:cs="宋体"/>
                <w:color w:val="auto"/>
                <w:sz w:val="21"/>
                <w:szCs w:val="21"/>
                <w:highlight w:val="none"/>
                <w:vertAlign w:val="baseline"/>
                <w:lang w:val="en-US" w:eastAsia="zh-CN"/>
              </w:rPr>
              <w:t>不少于</w:t>
            </w:r>
            <w:r>
              <w:rPr>
                <w:rFonts w:hint="eastAsia" w:ascii="宋体" w:hAnsi="宋体" w:eastAsia="宋体" w:cs="宋体"/>
                <w:color w:val="auto"/>
                <w:sz w:val="21"/>
                <w:szCs w:val="21"/>
                <w:highlight w:val="none"/>
                <w:vertAlign w:val="baseline"/>
                <w:lang w:val="en-US" w:eastAsia="zh-CN"/>
              </w:rPr>
              <w:t>38</w:t>
            </w:r>
            <w:r>
              <w:rPr>
                <w:rFonts w:hint="default" w:ascii="宋体" w:hAnsi="宋体" w:eastAsia="宋体" w:cs="宋体"/>
                <w:color w:val="auto"/>
                <w:sz w:val="21"/>
                <w:szCs w:val="21"/>
                <w:highlight w:val="none"/>
                <w:vertAlign w:val="baseline"/>
                <w:lang w:val="en-US" w:eastAsia="zh-CN"/>
              </w:rPr>
              <w:t>次</w:t>
            </w:r>
          </w:p>
        </w:tc>
        <w:tc>
          <w:tcPr>
            <w:tcW w:w="570"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center"/>
              <w:textAlignment w:val="auto"/>
              <w:rPr>
                <w:rFonts w:hint="default"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rPr>
              <w:t>76000</w:t>
            </w:r>
          </w:p>
        </w:tc>
        <w:tc>
          <w:tcPr>
            <w:tcW w:w="798"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rPr>
                <w:rFonts w:hint="eastAsia" w:ascii="宋体" w:hAnsi="宋体" w:eastAsia="宋体" w:cs="宋体"/>
                <w:color w:val="auto"/>
                <w:sz w:val="21"/>
                <w:szCs w:val="21"/>
                <w:highlight w:val="yellow"/>
                <w:vertAlign w:val="baseline"/>
                <w:lang w:val="en-US" w:eastAsia="zh-CN"/>
              </w:rPr>
            </w:pPr>
            <w:r>
              <w:rPr>
                <w:rFonts w:hint="default" w:ascii="宋体" w:hAnsi="宋体" w:eastAsia="宋体" w:cs="宋体"/>
                <w:color w:val="auto"/>
                <w:sz w:val="21"/>
                <w:szCs w:val="21"/>
                <w:highlight w:val="none"/>
                <w:vertAlign w:val="baseline"/>
                <w:lang w:val="en-US" w:eastAsia="zh-CN"/>
              </w:rPr>
              <w:t>由中级技术职称及以上专业人员授课</w:t>
            </w:r>
            <w:r>
              <w:rPr>
                <w:rFonts w:hint="eastAsia" w:ascii="宋体" w:hAnsi="宋体" w:eastAsia="宋体" w:cs="宋体"/>
                <w:color w:val="auto"/>
                <w:sz w:val="21"/>
                <w:szCs w:val="21"/>
                <w:highlight w:val="none"/>
                <w:vertAlign w:val="baseline"/>
                <w:lang w:val="en-US" w:eastAsia="zh-CN"/>
              </w:rPr>
              <w:t>。</w:t>
            </w:r>
          </w:p>
        </w:tc>
        <w:tc>
          <w:tcPr>
            <w:tcW w:w="971"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9" w:hRule="exact"/>
        </w:trPr>
        <w:tc>
          <w:tcPr>
            <w:tcW w:w="314"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w:t>
            </w:r>
          </w:p>
        </w:tc>
        <w:tc>
          <w:tcPr>
            <w:tcW w:w="1384" w:type="pct"/>
            <w:gridSpan w:val="3"/>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协助整理安全监管档案</w:t>
            </w:r>
          </w:p>
        </w:tc>
        <w:tc>
          <w:tcPr>
            <w:tcW w:w="493"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rPr>
              <w:t>1年</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rPr>
              <w:t>5</w:t>
            </w:r>
          </w:p>
        </w:tc>
        <w:tc>
          <w:tcPr>
            <w:tcW w:w="570"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rPr>
              <w:t>5000</w:t>
            </w:r>
          </w:p>
        </w:tc>
        <w:tc>
          <w:tcPr>
            <w:tcW w:w="798"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rPr>
                <w:rFonts w:hint="eastAsia" w:ascii="宋体" w:hAnsi="宋体" w:eastAsia="宋体" w:cs="宋体"/>
                <w:color w:val="auto"/>
                <w:sz w:val="21"/>
                <w:szCs w:val="21"/>
                <w:highlight w:val="yellow"/>
                <w:vertAlign w:val="baseline"/>
                <w:lang w:val="en-US" w:eastAsia="zh-CN"/>
              </w:rPr>
            </w:pPr>
          </w:p>
        </w:tc>
        <w:tc>
          <w:tcPr>
            <w:tcW w:w="971"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rPr>
                <w:rFonts w:hint="eastAsia" w:ascii="宋体" w:hAnsi="宋体" w:eastAsia="宋体" w:cs="宋体"/>
                <w:color w:val="auto"/>
                <w:sz w:val="21"/>
                <w:szCs w:val="21"/>
                <w:highlight w:val="yellow"/>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1" w:hRule="exact"/>
        </w:trPr>
        <w:tc>
          <w:tcPr>
            <w:tcW w:w="314"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4</w:t>
            </w:r>
          </w:p>
        </w:tc>
        <w:tc>
          <w:tcPr>
            <w:tcW w:w="595" w:type="pct"/>
            <w:vMerge w:val="restar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常态化</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检查</w:t>
            </w:r>
          </w:p>
        </w:tc>
        <w:tc>
          <w:tcPr>
            <w:tcW w:w="788" w:type="pct"/>
            <w:gridSpan w:val="2"/>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大型养老机构</w:t>
            </w:r>
          </w:p>
        </w:tc>
        <w:tc>
          <w:tcPr>
            <w:tcW w:w="493"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1年</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rPr>
                <w:rFonts w:hint="default" w:ascii="宋体" w:hAnsi="宋体" w:eastAsia="宋体" w:cs="宋体"/>
                <w:color w:val="auto"/>
                <w:sz w:val="21"/>
                <w:szCs w:val="21"/>
                <w:highlight w:val="none"/>
                <w:vertAlign w:val="baseline"/>
                <w:lang w:val="en-US" w:eastAsia="zh-CN"/>
              </w:rPr>
            </w:pPr>
            <w:r>
              <w:rPr>
                <w:rFonts w:hint="default" w:ascii="宋体" w:hAnsi="宋体" w:eastAsia="宋体" w:cs="宋体"/>
                <w:color w:val="auto"/>
                <w:sz w:val="21"/>
                <w:szCs w:val="21"/>
                <w:highlight w:val="none"/>
                <w:vertAlign w:val="baseline"/>
                <w:lang w:val="en-US" w:eastAsia="zh-CN"/>
              </w:rPr>
              <w:t>不少于</w:t>
            </w:r>
            <w:r>
              <w:rPr>
                <w:rFonts w:hint="eastAsia" w:ascii="宋体" w:hAnsi="宋体" w:eastAsia="宋体" w:cs="宋体"/>
                <w:color w:val="auto"/>
                <w:sz w:val="21"/>
                <w:szCs w:val="21"/>
                <w:highlight w:val="none"/>
                <w:vertAlign w:val="baseline"/>
                <w:lang w:val="en-US" w:eastAsia="zh-CN"/>
              </w:rPr>
              <w:t>62</w:t>
            </w:r>
            <w:r>
              <w:rPr>
                <w:rFonts w:hint="default" w:ascii="宋体" w:hAnsi="宋体" w:eastAsia="宋体" w:cs="宋体"/>
                <w:color w:val="auto"/>
                <w:sz w:val="21"/>
                <w:szCs w:val="21"/>
                <w:highlight w:val="none"/>
                <w:vertAlign w:val="baseline"/>
                <w:lang w:val="en-US" w:eastAsia="zh-CN"/>
              </w:rPr>
              <w:t>次</w:t>
            </w:r>
          </w:p>
        </w:tc>
        <w:tc>
          <w:tcPr>
            <w:tcW w:w="570"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124000</w:t>
            </w:r>
          </w:p>
        </w:tc>
        <w:tc>
          <w:tcPr>
            <w:tcW w:w="798"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rPr>
                <w:rFonts w:hint="eastAsia" w:ascii="宋体" w:hAnsi="宋体" w:eastAsia="宋体" w:cs="宋体"/>
                <w:color w:val="auto"/>
                <w:sz w:val="21"/>
                <w:szCs w:val="21"/>
                <w:highlight w:val="yellow"/>
                <w:vertAlign w:val="baseline"/>
                <w:lang w:val="en-US" w:eastAsia="zh-CN"/>
              </w:rPr>
            </w:pPr>
          </w:p>
        </w:tc>
        <w:tc>
          <w:tcPr>
            <w:tcW w:w="971"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rPr>
                <w:rFonts w:hint="eastAsia" w:ascii="宋体" w:hAnsi="宋体" w:eastAsia="宋体" w:cs="宋体"/>
                <w:color w:val="auto"/>
                <w:sz w:val="21"/>
                <w:szCs w:val="21"/>
                <w:highlight w:val="yellow"/>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exact"/>
        </w:trPr>
        <w:tc>
          <w:tcPr>
            <w:tcW w:w="314"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w:t>
            </w:r>
          </w:p>
        </w:tc>
        <w:tc>
          <w:tcPr>
            <w:tcW w:w="595" w:type="pct"/>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c>
          <w:tcPr>
            <w:tcW w:w="788" w:type="pct"/>
            <w:gridSpan w:val="2"/>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街道（社区）长者服务中心（站））</w:t>
            </w:r>
          </w:p>
        </w:tc>
        <w:tc>
          <w:tcPr>
            <w:tcW w:w="493"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1年</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rPr>
                <w:rFonts w:hint="default" w:ascii="宋体" w:hAnsi="宋体" w:eastAsia="宋体" w:cs="宋体"/>
                <w:color w:val="auto"/>
                <w:sz w:val="21"/>
                <w:szCs w:val="21"/>
                <w:highlight w:val="none"/>
                <w:vertAlign w:val="baseline"/>
                <w:lang w:val="en-US" w:eastAsia="zh-CN"/>
              </w:rPr>
            </w:pPr>
            <w:r>
              <w:rPr>
                <w:rFonts w:hint="default" w:ascii="宋体" w:hAnsi="宋体" w:eastAsia="宋体" w:cs="宋体"/>
                <w:color w:val="auto"/>
                <w:sz w:val="21"/>
                <w:szCs w:val="21"/>
                <w:highlight w:val="none"/>
                <w:vertAlign w:val="baseline"/>
                <w:lang w:val="en-US" w:eastAsia="zh-CN"/>
              </w:rPr>
              <w:t>不少于</w:t>
            </w:r>
            <w:r>
              <w:rPr>
                <w:rFonts w:hint="eastAsia" w:ascii="宋体" w:hAnsi="宋体" w:eastAsia="宋体" w:cs="宋体"/>
                <w:color w:val="auto"/>
                <w:sz w:val="21"/>
                <w:szCs w:val="21"/>
                <w:highlight w:val="none"/>
                <w:vertAlign w:val="baseline"/>
                <w:lang w:val="en-US" w:eastAsia="zh-CN"/>
              </w:rPr>
              <w:t>76</w:t>
            </w:r>
            <w:r>
              <w:rPr>
                <w:rFonts w:hint="default" w:ascii="宋体" w:hAnsi="宋体" w:eastAsia="宋体" w:cs="宋体"/>
                <w:color w:val="auto"/>
                <w:sz w:val="21"/>
                <w:szCs w:val="21"/>
                <w:highlight w:val="none"/>
                <w:vertAlign w:val="baseline"/>
                <w:lang w:val="en-US" w:eastAsia="zh-CN"/>
              </w:rPr>
              <w:t>次</w:t>
            </w:r>
          </w:p>
        </w:tc>
        <w:tc>
          <w:tcPr>
            <w:tcW w:w="570"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91200</w:t>
            </w:r>
          </w:p>
        </w:tc>
        <w:tc>
          <w:tcPr>
            <w:tcW w:w="798"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rPr>
                <w:rFonts w:hint="eastAsia" w:ascii="宋体" w:hAnsi="宋体" w:eastAsia="宋体" w:cs="宋体"/>
                <w:color w:val="auto"/>
                <w:sz w:val="21"/>
                <w:szCs w:val="21"/>
                <w:highlight w:val="yellow"/>
                <w:vertAlign w:val="baseline"/>
                <w:lang w:val="en-US" w:eastAsia="zh-CN"/>
              </w:rPr>
            </w:pPr>
          </w:p>
        </w:tc>
        <w:tc>
          <w:tcPr>
            <w:tcW w:w="971"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rPr>
                <w:rFonts w:hint="eastAsia" w:ascii="宋体" w:hAnsi="宋体" w:eastAsia="宋体" w:cs="宋体"/>
                <w:color w:val="auto"/>
                <w:sz w:val="21"/>
                <w:szCs w:val="21"/>
                <w:highlight w:val="yellow"/>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2" w:hRule="exact"/>
        </w:trPr>
        <w:tc>
          <w:tcPr>
            <w:tcW w:w="314"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6</w:t>
            </w:r>
          </w:p>
        </w:tc>
        <w:tc>
          <w:tcPr>
            <w:tcW w:w="595" w:type="pct"/>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c>
          <w:tcPr>
            <w:tcW w:w="788" w:type="pct"/>
            <w:gridSpan w:val="2"/>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center"/>
              <w:textAlignment w:val="auto"/>
              <w:rPr>
                <w:rFonts w:hint="default" w:ascii="宋体" w:hAnsi="宋体" w:eastAsia="宋体" w:cs="宋体"/>
                <w:color w:val="auto"/>
                <w:w w:val="89"/>
                <w:sz w:val="21"/>
                <w:szCs w:val="21"/>
                <w:highlight w:val="none"/>
                <w:lang w:val="en-US" w:eastAsia="zh-CN"/>
              </w:rPr>
            </w:pPr>
            <w:r>
              <w:rPr>
                <w:rFonts w:hint="eastAsia" w:ascii="宋体" w:hAnsi="宋体" w:eastAsia="宋体" w:cs="宋体"/>
                <w:color w:val="auto"/>
                <w:sz w:val="21"/>
                <w:szCs w:val="21"/>
                <w:highlight w:val="none"/>
                <w:vertAlign w:val="baseline"/>
                <w:lang w:val="en-US" w:eastAsia="zh-CN"/>
              </w:rPr>
              <w:t>社区长者服务点（星光老年之家）</w:t>
            </w:r>
          </w:p>
        </w:tc>
        <w:tc>
          <w:tcPr>
            <w:tcW w:w="493"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center"/>
              <w:textAlignment w:val="auto"/>
              <w:rPr>
                <w:rFonts w:hint="default"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rPr>
              <w:t>1年</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center"/>
              <w:textAlignment w:val="auto"/>
              <w:rPr>
                <w:rFonts w:hint="default" w:ascii="宋体" w:hAnsi="宋体" w:eastAsia="宋体" w:cs="宋体"/>
                <w:color w:val="auto"/>
                <w:kern w:val="2"/>
                <w:sz w:val="21"/>
                <w:szCs w:val="21"/>
                <w:highlight w:val="none"/>
                <w:vertAlign w:val="baseline"/>
                <w:lang w:val="en-US" w:eastAsia="zh-CN" w:bidi="ar-SA"/>
              </w:rPr>
            </w:pPr>
            <w:r>
              <w:rPr>
                <w:rFonts w:hint="default" w:ascii="宋体" w:hAnsi="宋体" w:eastAsia="宋体" w:cs="宋体"/>
                <w:color w:val="auto"/>
                <w:sz w:val="21"/>
                <w:szCs w:val="21"/>
                <w:highlight w:val="none"/>
                <w:vertAlign w:val="baseline"/>
                <w:lang w:val="en-US" w:eastAsia="zh-CN"/>
              </w:rPr>
              <w:t>不少于29次</w:t>
            </w:r>
          </w:p>
        </w:tc>
        <w:tc>
          <w:tcPr>
            <w:tcW w:w="570"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center"/>
              <w:textAlignment w:val="auto"/>
              <w:rPr>
                <w:rFonts w:hint="default" w:ascii="宋体" w:hAnsi="宋体" w:eastAsia="宋体" w:cs="宋体"/>
                <w:color w:val="auto"/>
                <w:kern w:val="2"/>
                <w:sz w:val="21"/>
                <w:szCs w:val="21"/>
                <w:highlight w:val="none"/>
                <w:vertAlign w:val="baseline"/>
                <w:lang w:val="en-US" w:eastAsia="zh-CN" w:bidi="ar-SA"/>
              </w:rPr>
            </w:pPr>
            <w:r>
              <w:rPr>
                <w:rFonts w:hint="default" w:ascii="宋体" w:hAnsi="宋体" w:eastAsia="宋体" w:cs="宋体"/>
                <w:color w:val="auto"/>
                <w:sz w:val="21"/>
                <w:szCs w:val="21"/>
                <w:highlight w:val="none"/>
                <w:vertAlign w:val="baseline"/>
                <w:lang w:val="en-US" w:eastAsia="zh-CN"/>
              </w:rPr>
              <w:t>14500</w:t>
            </w:r>
          </w:p>
        </w:tc>
        <w:tc>
          <w:tcPr>
            <w:tcW w:w="798"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rPr>
                <w:rFonts w:hint="eastAsia" w:ascii="宋体" w:hAnsi="宋体" w:eastAsia="宋体" w:cs="宋体"/>
                <w:color w:val="auto"/>
                <w:sz w:val="21"/>
                <w:szCs w:val="21"/>
                <w:highlight w:val="yellow"/>
                <w:vertAlign w:val="baseline"/>
                <w:lang w:val="en-US" w:eastAsia="zh-CN"/>
              </w:rPr>
            </w:pPr>
          </w:p>
        </w:tc>
        <w:tc>
          <w:tcPr>
            <w:tcW w:w="971"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rPr>
                <w:rFonts w:hint="eastAsia" w:ascii="宋体" w:hAnsi="宋体" w:eastAsia="宋体" w:cs="宋体"/>
                <w:color w:val="auto"/>
                <w:sz w:val="21"/>
                <w:szCs w:val="21"/>
                <w:highlight w:val="yellow"/>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trPr>
        <w:tc>
          <w:tcPr>
            <w:tcW w:w="314"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7</w:t>
            </w:r>
          </w:p>
        </w:tc>
        <w:tc>
          <w:tcPr>
            <w:tcW w:w="1384" w:type="pct"/>
            <w:gridSpan w:val="3"/>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center"/>
              <w:textAlignment w:val="auto"/>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lang w:eastAsia="zh-CN"/>
              </w:rPr>
              <w:t>临时性检查</w:t>
            </w:r>
          </w:p>
        </w:tc>
        <w:tc>
          <w:tcPr>
            <w:tcW w:w="493"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1年</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center"/>
              <w:textAlignment w:val="auto"/>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10</w:t>
            </w:r>
          </w:p>
        </w:tc>
        <w:tc>
          <w:tcPr>
            <w:tcW w:w="570"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center"/>
              <w:textAlignment w:val="auto"/>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20000</w:t>
            </w:r>
          </w:p>
        </w:tc>
        <w:tc>
          <w:tcPr>
            <w:tcW w:w="798"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rPr>
                <w:rFonts w:hint="eastAsia" w:ascii="宋体" w:hAnsi="宋体" w:eastAsia="宋体" w:cs="宋体"/>
                <w:color w:val="auto"/>
                <w:sz w:val="21"/>
                <w:szCs w:val="21"/>
                <w:highlight w:val="yellow"/>
                <w:vertAlign w:val="baseline"/>
                <w:lang w:val="en-US" w:eastAsia="zh-CN"/>
              </w:rPr>
            </w:pPr>
          </w:p>
        </w:tc>
        <w:tc>
          <w:tcPr>
            <w:tcW w:w="971"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rPr>
                <w:rFonts w:hint="eastAsia" w:ascii="宋体" w:hAnsi="宋体" w:eastAsia="宋体" w:cs="宋体"/>
                <w:color w:val="auto"/>
                <w:sz w:val="21"/>
                <w:szCs w:val="21"/>
                <w:highlight w:val="yellow"/>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trPr>
        <w:tc>
          <w:tcPr>
            <w:tcW w:w="314"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8</w:t>
            </w:r>
          </w:p>
        </w:tc>
        <w:tc>
          <w:tcPr>
            <w:tcW w:w="1384" w:type="pct"/>
            <w:gridSpan w:val="3"/>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rPr>
              <w:t>应急演练指导</w:t>
            </w:r>
          </w:p>
        </w:tc>
        <w:tc>
          <w:tcPr>
            <w:tcW w:w="493"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rPr>
              <w:t>1年</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vertAlign w:val="baseline"/>
                <w:lang w:val="en-US" w:eastAsia="zh-CN" w:bidi="ar-SA"/>
              </w:rPr>
            </w:pPr>
            <w:r>
              <w:rPr>
                <w:rFonts w:hint="default" w:ascii="宋体" w:hAnsi="宋体" w:eastAsia="宋体" w:cs="宋体"/>
                <w:color w:val="auto"/>
                <w:sz w:val="21"/>
                <w:szCs w:val="21"/>
                <w:highlight w:val="none"/>
                <w:vertAlign w:val="baseline"/>
                <w:lang w:val="en-US" w:eastAsia="zh-CN"/>
              </w:rPr>
              <w:t>不少于</w:t>
            </w:r>
            <w:r>
              <w:rPr>
                <w:rFonts w:hint="eastAsia" w:ascii="宋体" w:hAnsi="宋体" w:eastAsia="宋体" w:cs="宋体"/>
                <w:color w:val="auto"/>
                <w:sz w:val="21"/>
                <w:szCs w:val="21"/>
                <w:highlight w:val="none"/>
                <w:vertAlign w:val="baseline"/>
                <w:lang w:val="en-US" w:eastAsia="zh-CN"/>
              </w:rPr>
              <w:t>10</w:t>
            </w:r>
            <w:r>
              <w:rPr>
                <w:rFonts w:hint="default" w:ascii="宋体" w:hAnsi="宋体" w:eastAsia="宋体" w:cs="宋体"/>
                <w:color w:val="auto"/>
                <w:sz w:val="21"/>
                <w:szCs w:val="21"/>
                <w:highlight w:val="none"/>
                <w:vertAlign w:val="baseline"/>
                <w:lang w:val="en-US" w:eastAsia="zh-CN"/>
              </w:rPr>
              <w:t>次</w:t>
            </w:r>
          </w:p>
        </w:tc>
        <w:tc>
          <w:tcPr>
            <w:tcW w:w="570"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center"/>
              <w:textAlignment w:val="auto"/>
              <w:rPr>
                <w:rFonts w:hint="default"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rPr>
              <w:t>20000</w:t>
            </w:r>
          </w:p>
        </w:tc>
        <w:tc>
          <w:tcPr>
            <w:tcW w:w="798"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rPr>
                <w:rFonts w:hint="eastAsia" w:ascii="宋体" w:hAnsi="宋体" w:eastAsia="宋体" w:cs="宋体"/>
                <w:color w:val="auto"/>
                <w:sz w:val="21"/>
                <w:szCs w:val="21"/>
                <w:highlight w:val="yellow"/>
                <w:vertAlign w:val="baseline"/>
                <w:lang w:val="en-US" w:eastAsia="zh-CN"/>
              </w:rPr>
            </w:pPr>
          </w:p>
        </w:tc>
        <w:tc>
          <w:tcPr>
            <w:tcW w:w="971"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rPr>
                <w:rFonts w:hint="eastAsia" w:ascii="宋体" w:hAnsi="宋体" w:eastAsia="宋体" w:cs="宋体"/>
                <w:color w:val="auto"/>
                <w:sz w:val="21"/>
                <w:szCs w:val="21"/>
                <w:highlight w:val="yellow"/>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trPr>
        <w:tc>
          <w:tcPr>
            <w:tcW w:w="314"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9</w:t>
            </w:r>
          </w:p>
        </w:tc>
        <w:tc>
          <w:tcPr>
            <w:tcW w:w="1384" w:type="pct"/>
            <w:gridSpan w:val="3"/>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rPr>
              <w:t>养老服务机构安全满意度调查</w:t>
            </w:r>
          </w:p>
        </w:tc>
        <w:tc>
          <w:tcPr>
            <w:tcW w:w="493"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center"/>
              <w:textAlignment w:val="auto"/>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1年</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center"/>
              <w:textAlignment w:val="auto"/>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570"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center"/>
              <w:textAlignment w:val="auto"/>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10000</w:t>
            </w:r>
          </w:p>
        </w:tc>
        <w:tc>
          <w:tcPr>
            <w:tcW w:w="798"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rPr>
                <w:rFonts w:hint="eastAsia" w:ascii="宋体" w:hAnsi="宋体" w:eastAsia="宋体" w:cs="宋体"/>
                <w:color w:val="auto"/>
                <w:sz w:val="21"/>
                <w:szCs w:val="21"/>
                <w:highlight w:val="yellow"/>
                <w:vertAlign w:val="baseline"/>
                <w:lang w:val="en-US" w:eastAsia="zh-CN"/>
              </w:rPr>
            </w:pPr>
          </w:p>
        </w:tc>
        <w:tc>
          <w:tcPr>
            <w:tcW w:w="971"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rPr>
                <w:rFonts w:hint="eastAsia" w:ascii="宋体" w:hAnsi="宋体" w:eastAsia="宋体" w:cs="宋体"/>
                <w:color w:val="auto"/>
                <w:sz w:val="21"/>
                <w:szCs w:val="21"/>
                <w:highlight w:val="yellow"/>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exact"/>
        </w:trPr>
        <w:tc>
          <w:tcPr>
            <w:tcW w:w="2659" w:type="pct"/>
            <w:gridSpan w:val="6"/>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合计</w:t>
            </w:r>
          </w:p>
        </w:tc>
        <w:tc>
          <w:tcPr>
            <w:tcW w:w="570"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center"/>
              <w:textAlignment w:val="auto"/>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376700元</w:t>
            </w:r>
          </w:p>
        </w:tc>
        <w:tc>
          <w:tcPr>
            <w:tcW w:w="1769" w:type="pct"/>
            <w:gridSpan w:val="2"/>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rPr>
                <w:rFonts w:hint="eastAsia" w:ascii="宋体" w:hAnsi="宋体" w:eastAsia="宋体" w:cs="宋体"/>
                <w:color w:val="auto"/>
                <w:sz w:val="21"/>
                <w:szCs w:val="21"/>
                <w:highlight w:val="yellow"/>
                <w:vertAlign w:val="baseline"/>
                <w:lang w:val="en-US" w:eastAsia="zh-CN"/>
              </w:rPr>
            </w:pPr>
          </w:p>
        </w:tc>
      </w:tr>
    </w:tbl>
    <w:p>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bCs/>
          <w:sz w:val="32"/>
          <w:szCs w:val="32"/>
        </w:rPr>
        <w:t>五、</w:t>
      </w:r>
      <w:r>
        <w:rPr>
          <w:rFonts w:hint="eastAsia" w:ascii="黑体" w:hAnsi="黑体" w:eastAsia="黑体" w:cs="黑体"/>
          <w:sz w:val="32"/>
          <w:szCs w:val="32"/>
        </w:rPr>
        <w:t>供应商的资质要求</w:t>
      </w:r>
    </w:p>
    <w:p>
      <w:pPr>
        <w:pStyle w:val="19"/>
        <w:spacing w:line="560" w:lineRule="exact"/>
        <w:ind w:firstLine="640"/>
        <w:jc w:val="both"/>
        <w:rPr>
          <w:rFonts w:ascii="仿宋_GB2312" w:hAnsi="仿宋" w:eastAsia="仿宋_GB2312" w:cs="仿宋"/>
          <w:sz w:val="32"/>
          <w:szCs w:val="32"/>
          <w:highlight w:val="yellow"/>
        </w:rPr>
      </w:pPr>
      <w:r>
        <w:rPr>
          <w:rFonts w:hint="eastAsia" w:ascii="仿宋_GB2312" w:hAnsi="仿宋" w:eastAsia="仿宋_GB2312" w:cs="仿宋"/>
          <w:sz w:val="32"/>
          <w:szCs w:val="32"/>
        </w:rPr>
        <w:t>（一）在中国境内注册的独立法人或其他组织（提供营业执照、事业法人证书、社会团体法人登记证书等扫描件）</w:t>
      </w:r>
      <w:r>
        <w:rPr>
          <w:rFonts w:hint="eastAsia" w:ascii="仿宋_GB2312" w:hAnsi="仿宋" w:cs="仿宋"/>
          <w:sz w:val="32"/>
          <w:szCs w:val="32"/>
          <w:lang w:eastAsia="zh-CN"/>
        </w:rPr>
        <w:t>，</w:t>
      </w:r>
      <w:r>
        <w:rPr>
          <w:rFonts w:hint="eastAsia" w:ascii="仿宋_GB2312" w:hAnsi="仿宋" w:eastAsia="仿宋_GB2312" w:cs="仿宋"/>
          <w:color w:val="auto"/>
          <w:sz w:val="32"/>
          <w:szCs w:val="32"/>
          <w:highlight w:val="none"/>
        </w:rPr>
        <w:t>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以及提供总、分公司的营业执照扫描件；</w:t>
      </w:r>
    </w:p>
    <w:p>
      <w:pPr>
        <w:pStyle w:val="19"/>
        <w:spacing w:line="560" w:lineRule="exact"/>
        <w:ind w:firstLine="640"/>
        <w:jc w:val="both"/>
        <w:rPr>
          <w:rFonts w:hint="eastAsia" w:ascii="仿宋_GB2312" w:hAnsi="仿宋" w:eastAsia="仿宋_GB2312" w:cs="仿宋"/>
          <w:sz w:val="32"/>
          <w:szCs w:val="32"/>
          <w:lang w:eastAsia="zh-CN"/>
        </w:rPr>
      </w:pPr>
      <w:r>
        <w:rPr>
          <w:rFonts w:hint="eastAsia" w:ascii="仿宋_GB2312" w:hAnsi="仿宋" w:eastAsia="仿宋_GB2312" w:cs="仿宋"/>
          <w:sz w:val="32"/>
          <w:szCs w:val="32"/>
        </w:rPr>
        <w:t>（二）参与本项目投标近三年内（供应商成立不足三年的可从成立之日起算），在经营活动中没有重大违法记录以及不存在被有关部门禁止参与政府采购活动且在有效期内的情况</w:t>
      </w:r>
      <w:r>
        <w:rPr>
          <w:rFonts w:hint="eastAsia" w:ascii="仿宋_GB2312" w:hAnsi="仿宋" w:eastAsia="仿宋_GB2312" w:cs="仿宋"/>
          <w:sz w:val="32"/>
          <w:szCs w:val="32"/>
          <w:lang w:eastAsia="zh-CN"/>
        </w:rPr>
        <w:t>；</w:t>
      </w:r>
    </w:p>
    <w:p>
      <w:pPr>
        <w:pStyle w:val="19"/>
        <w:spacing w:line="560" w:lineRule="exact"/>
        <w:ind w:firstLine="640"/>
        <w:jc w:val="both"/>
        <w:rPr>
          <w:rFonts w:hint="eastAsia" w:ascii="仿宋_GB2312" w:hAnsi="仿宋" w:eastAsia="仿宋_GB2312" w:cs="仿宋"/>
          <w:sz w:val="32"/>
          <w:szCs w:val="32"/>
          <w:highlight w:val="none"/>
          <w:lang w:eastAsia="zh-CN"/>
        </w:rPr>
      </w:pPr>
      <w:r>
        <w:rPr>
          <w:rFonts w:hint="eastAsia" w:ascii="仿宋_GB2312" w:hAnsi="仿宋" w:eastAsia="仿宋_GB2312" w:cs="仿宋"/>
          <w:sz w:val="32"/>
          <w:szCs w:val="32"/>
          <w:highlight w:val="none"/>
        </w:rPr>
        <w:t>（三）</w:t>
      </w:r>
      <w:r>
        <w:rPr>
          <w:rFonts w:hint="eastAsia" w:ascii="仿宋_GB2312" w:hAnsi="仿宋" w:eastAsia="仿宋_GB2312" w:cs="仿宋"/>
          <w:bCs/>
          <w:kern w:val="2"/>
          <w:sz w:val="32"/>
          <w:szCs w:val="32"/>
          <w:highlight w:val="none"/>
          <w:lang w:val="en-US" w:eastAsia="zh-CN" w:bidi="ar-SA"/>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w:t>
      </w:r>
      <w:r>
        <w:rPr>
          <w:rFonts w:hint="eastAsia" w:ascii="仿宋_GB2312" w:hAnsi="仿宋" w:eastAsia="仿宋_GB2312" w:cs="仿宋"/>
          <w:sz w:val="32"/>
          <w:szCs w:val="32"/>
          <w:highlight w:val="none"/>
        </w:rPr>
        <w:t>，不得同时参加本项目的采购活动</w:t>
      </w:r>
      <w:r>
        <w:rPr>
          <w:rFonts w:hint="eastAsia" w:ascii="仿宋_GB2312" w:hAnsi="仿宋" w:eastAsia="仿宋_GB2312" w:cs="仿宋"/>
          <w:sz w:val="32"/>
          <w:szCs w:val="32"/>
          <w:highlight w:val="none"/>
          <w:lang w:eastAsia="zh-CN"/>
        </w:rPr>
        <w:t>。</w:t>
      </w:r>
    </w:p>
    <w:p>
      <w:pPr>
        <w:pStyle w:val="19"/>
        <w:spacing w:line="560" w:lineRule="exact"/>
        <w:ind w:firstLine="640"/>
        <w:jc w:val="both"/>
        <w:rPr>
          <w:rFonts w:hint="eastAsia" w:ascii="仿宋_GB2312" w:hAnsi="仿宋" w:eastAsia="仿宋_GB2312" w:cs="仿宋"/>
          <w:sz w:val="32"/>
          <w:szCs w:val="32"/>
          <w:highlight w:val="none"/>
          <w:lang w:eastAsia="zh-CN"/>
        </w:rPr>
      </w:pPr>
      <w:r>
        <w:rPr>
          <w:rFonts w:hint="eastAsia" w:ascii="仿宋_GB2312" w:hAnsi="仿宋" w:eastAsia="仿宋_GB2312" w:cs="仿宋"/>
          <w:sz w:val="32"/>
          <w:szCs w:val="32"/>
          <w:highlight w:val="none"/>
          <w:lang w:eastAsia="zh-CN"/>
        </w:rPr>
        <w:t>（四）供应商资格条件（经营范围要求）：具备安全生产相关服务资质，如安全生产技术咨询等相关资质证书，且在有效期内。</w:t>
      </w:r>
    </w:p>
    <w:p>
      <w:pPr>
        <w:spacing w:line="560" w:lineRule="exact"/>
        <w:ind w:firstLine="640" w:firstLineChars="200"/>
        <w:jc w:val="left"/>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t>六、选定供应商方法</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0" w:firstLineChars="200"/>
        <w:jc w:val="left"/>
        <w:textAlignment w:val="auto"/>
        <w:rPr>
          <w:rFonts w:hint="default" w:ascii="仿宋_GB2312" w:hAnsi="仿宋_GB2312" w:eastAsia="仿宋_GB2312" w:cs="仿宋_GB2312"/>
          <w:b w:val="0"/>
          <w:bCs/>
          <w:kern w:val="2"/>
          <w:sz w:val="32"/>
          <w:szCs w:val="32"/>
          <w:highlight w:val="none"/>
          <w:lang w:val="en-US" w:eastAsia="zh-CN" w:bidi="ar-SA"/>
        </w:rPr>
      </w:pPr>
      <w:r>
        <w:rPr>
          <w:rFonts w:hint="default" w:ascii="仿宋_GB2312" w:hAnsi="仿宋_GB2312" w:eastAsia="仿宋_GB2312" w:cs="仿宋_GB2312"/>
          <w:b w:val="0"/>
          <w:bCs/>
          <w:kern w:val="2"/>
          <w:sz w:val="32"/>
          <w:szCs w:val="32"/>
          <w:highlight w:val="none"/>
          <w:lang w:val="en-US" w:eastAsia="zh-CN" w:bidi="ar-SA"/>
        </w:rPr>
        <w:t>综合评分法</w:t>
      </w:r>
    </w:p>
    <w:p>
      <w:pPr>
        <w:keepNext w:val="0"/>
        <w:keepLines w:val="0"/>
        <w:pageBreakBefore w:val="0"/>
        <w:widowControl/>
        <w:numPr>
          <w:ilvl w:val="0"/>
          <w:numId w:val="1"/>
        </w:numPr>
        <w:kinsoku/>
        <w:wordWrap/>
        <w:overflowPunct/>
        <w:topLinePunct w:val="0"/>
        <w:autoSpaceDE/>
        <w:autoSpaceDN/>
        <w:bidi w:val="0"/>
        <w:adjustRightInd/>
        <w:snapToGrid/>
        <w:spacing w:line="560" w:lineRule="exact"/>
        <w:ind w:firstLine="640" w:firstLineChars="200"/>
        <w:jc w:val="left"/>
        <w:textAlignment w:val="auto"/>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t>评分要求</w:t>
      </w:r>
    </w:p>
    <w:p>
      <w:pPr>
        <w:pStyle w:val="20"/>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楷体_GB2312" w:hAnsi="楷体_GB2312" w:eastAsia="楷体_GB2312" w:cs="楷体_GB2312"/>
          <w:b w:val="0"/>
          <w:bCs/>
          <w:color w:val="000000"/>
          <w:sz w:val="32"/>
          <w:szCs w:val="32"/>
        </w:rPr>
      </w:pPr>
      <w:r>
        <w:rPr>
          <w:rFonts w:hint="eastAsia" w:ascii="楷体_GB2312" w:hAnsi="楷体_GB2312" w:eastAsia="楷体_GB2312" w:cs="楷体_GB2312"/>
          <w:b w:val="0"/>
          <w:bCs/>
          <w:color w:val="000000"/>
          <w:sz w:val="32"/>
          <w:szCs w:val="32"/>
        </w:rPr>
        <w:t>（一）评分规则</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color w:val="000000"/>
          <w:sz w:val="32"/>
          <w:szCs w:val="32"/>
        </w:rPr>
      </w:pPr>
      <w:r>
        <w:rPr>
          <w:rFonts w:hint="eastAsia" w:ascii="仿宋_GB2312" w:eastAsia="仿宋_GB2312"/>
          <w:color w:val="000000"/>
          <w:sz w:val="32"/>
          <w:szCs w:val="32"/>
        </w:rPr>
        <w:t>采取综合评分标准，平均分最高的投标人为本项目中标人。</w:t>
      </w:r>
    </w:p>
    <w:p>
      <w:pPr>
        <w:pStyle w:val="20"/>
        <w:spacing w:line="560" w:lineRule="exact"/>
        <w:ind w:firstLine="640" w:firstLineChars="200"/>
        <w:rPr>
          <w:rFonts w:hint="default" w:ascii="仿宋_GB2312" w:eastAsia="仿宋_GB2312"/>
          <w:color w:val="000000"/>
          <w:sz w:val="32"/>
          <w:szCs w:val="32"/>
          <w:lang w:val="en-US" w:eastAsia="zh-CN"/>
        </w:rPr>
      </w:pPr>
      <w:r>
        <w:rPr>
          <w:rFonts w:hint="eastAsia" w:ascii="楷体_GB2312" w:hAnsi="楷体_GB2312" w:eastAsia="楷体_GB2312" w:cs="楷体_GB2312"/>
          <w:b w:val="0"/>
          <w:bCs/>
          <w:color w:val="000000"/>
          <w:sz w:val="32"/>
          <w:szCs w:val="32"/>
        </w:rPr>
        <w:t>（二）评分权重</w:t>
      </w:r>
    </w:p>
    <w:tbl>
      <w:tblPr>
        <w:tblStyle w:val="15"/>
        <w:tblW w:w="7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6"/>
        <w:gridCol w:w="1685"/>
        <w:gridCol w:w="2091"/>
        <w:gridCol w:w="20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6" w:type="dxa"/>
            <w:tcBorders>
              <w:top w:val="single" w:color="auto" w:sz="4" w:space="0"/>
              <w:left w:val="single" w:color="auto" w:sz="4" w:space="0"/>
              <w:bottom w:val="single" w:color="auto" w:sz="4" w:space="0"/>
              <w:right w:val="single" w:color="auto" w:sz="4" w:space="0"/>
            </w:tcBorders>
            <w:noWrap w:val="0"/>
            <w:vAlign w:val="center"/>
          </w:tcPr>
          <w:p>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leftChars="0" w:right="0" w:firstLine="0" w:firstLineChars="0"/>
              <w:jc w:val="center"/>
              <w:textAlignment w:val="auto"/>
              <w:rPr>
                <w:rFonts w:hint="default"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评分内容</w:t>
            </w:r>
          </w:p>
        </w:tc>
        <w:tc>
          <w:tcPr>
            <w:tcW w:w="1685" w:type="dxa"/>
            <w:tcBorders>
              <w:top w:val="single" w:color="auto" w:sz="4" w:space="0"/>
              <w:left w:val="single" w:color="auto" w:sz="4" w:space="0"/>
              <w:bottom w:val="single" w:color="auto" w:sz="4" w:space="0"/>
              <w:right w:val="single" w:color="auto" w:sz="4" w:space="0"/>
            </w:tcBorders>
            <w:noWrap w:val="0"/>
            <w:vAlign w:val="center"/>
          </w:tcPr>
          <w:p>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leftChars="0" w:right="0" w:firstLine="0" w:firstLineChars="0"/>
              <w:jc w:val="center"/>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报价</w:t>
            </w:r>
          </w:p>
        </w:tc>
        <w:tc>
          <w:tcPr>
            <w:tcW w:w="2091" w:type="dxa"/>
            <w:tcBorders>
              <w:top w:val="single" w:color="auto" w:sz="4" w:space="0"/>
              <w:left w:val="single" w:color="auto" w:sz="4" w:space="0"/>
              <w:bottom w:val="single" w:color="auto" w:sz="4" w:space="0"/>
              <w:right w:val="single" w:color="auto" w:sz="4" w:space="0"/>
            </w:tcBorders>
            <w:noWrap w:val="0"/>
            <w:vAlign w:val="center"/>
          </w:tcPr>
          <w:p>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leftChars="0" w:right="0" w:firstLine="0" w:firstLineChars="0"/>
              <w:jc w:val="center"/>
              <w:textAlignment w:val="auto"/>
              <w:rPr>
                <w:rFonts w:hint="eastAsia" w:ascii="仿宋_GB2312" w:hAnsi="仿宋_GB2312" w:eastAsia="仿宋_GB2312" w:cs="仿宋_GB2312"/>
                <w:b w:val="0"/>
                <w:bCs/>
                <w:sz w:val="32"/>
                <w:szCs w:val="32"/>
                <w:lang w:eastAsia="zh-CN"/>
              </w:rPr>
            </w:pPr>
            <w:r>
              <w:rPr>
                <w:rFonts w:hint="eastAsia" w:ascii="仿宋_GB2312" w:hAnsi="仿宋_GB2312" w:cs="仿宋_GB2312"/>
                <w:b w:val="0"/>
                <w:bCs/>
                <w:sz w:val="32"/>
                <w:szCs w:val="32"/>
                <w:lang w:eastAsia="zh-CN"/>
              </w:rPr>
              <w:t>技术</w:t>
            </w:r>
            <w:r>
              <w:rPr>
                <w:rFonts w:hint="eastAsia" w:ascii="仿宋_GB2312" w:hAnsi="仿宋_GB2312" w:eastAsia="仿宋_GB2312" w:cs="仿宋_GB2312"/>
                <w:b w:val="0"/>
                <w:bCs/>
                <w:sz w:val="32"/>
                <w:szCs w:val="32"/>
                <w:lang w:eastAsia="zh-CN"/>
              </w:rPr>
              <w:t>部分</w:t>
            </w:r>
          </w:p>
        </w:tc>
        <w:tc>
          <w:tcPr>
            <w:tcW w:w="2008" w:type="dxa"/>
            <w:tcBorders>
              <w:top w:val="single" w:color="auto" w:sz="4" w:space="0"/>
              <w:left w:val="single" w:color="auto" w:sz="4" w:space="0"/>
              <w:bottom w:val="single" w:color="auto" w:sz="4" w:space="0"/>
              <w:right w:val="single" w:color="auto" w:sz="4" w:space="0"/>
            </w:tcBorders>
            <w:noWrap w:val="0"/>
            <w:vAlign w:val="center"/>
          </w:tcPr>
          <w:p>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leftChars="0" w:right="0" w:firstLine="0" w:firstLineChars="0"/>
              <w:jc w:val="center"/>
              <w:textAlignment w:val="auto"/>
              <w:rPr>
                <w:rFonts w:hint="default" w:ascii="仿宋_GB2312" w:hAnsi="仿宋_GB2312" w:eastAsia="仿宋_GB2312" w:cs="仿宋_GB2312"/>
                <w:b w:val="0"/>
                <w:bCs/>
                <w:sz w:val="32"/>
                <w:szCs w:val="32"/>
              </w:rPr>
            </w:pPr>
            <w:r>
              <w:rPr>
                <w:rFonts w:hint="eastAsia" w:ascii="仿宋_GB2312" w:hAnsi="仿宋_GB2312" w:cs="仿宋_GB2312"/>
                <w:b w:val="0"/>
                <w:bCs/>
                <w:sz w:val="32"/>
                <w:szCs w:val="32"/>
                <w:lang w:eastAsia="zh-CN"/>
              </w:rPr>
              <w:t>商务部分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6" w:type="dxa"/>
            <w:tcBorders>
              <w:top w:val="single" w:color="auto" w:sz="4" w:space="0"/>
              <w:left w:val="single" w:color="auto" w:sz="4" w:space="0"/>
              <w:bottom w:val="single" w:color="auto" w:sz="4" w:space="0"/>
              <w:right w:val="single" w:color="auto" w:sz="4" w:space="0"/>
            </w:tcBorders>
            <w:noWrap w:val="0"/>
            <w:vAlign w:val="center"/>
          </w:tcPr>
          <w:p>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default"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分值</w:t>
            </w:r>
          </w:p>
        </w:tc>
        <w:tc>
          <w:tcPr>
            <w:tcW w:w="1685" w:type="dxa"/>
            <w:tcBorders>
              <w:top w:val="single" w:color="auto" w:sz="4" w:space="0"/>
              <w:left w:val="single" w:color="auto" w:sz="4" w:space="0"/>
              <w:bottom w:val="single" w:color="auto" w:sz="4" w:space="0"/>
              <w:right w:val="single" w:color="auto" w:sz="4" w:space="0"/>
            </w:tcBorders>
            <w:noWrap w:val="0"/>
            <w:vAlign w:val="center"/>
          </w:tcPr>
          <w:p>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leftChars="0" w:right="0" w:firstLine="0" w:firstLineChars="0"/>
              <w:jc w:val="center"/>
              <w:textAlignment w:val="auto"/>
              <w:rPr>
                <w:rFonts w:hint="default" w:ascii="仿宋_GB2312" w:hAnsi="仿宋_GB2312" w:eastAsia="仿宋_GB2312" w:cs="仿宋_GB2312"/>
                <w:b w:val="0"/>
                <w:bCs/>
                <w:sz w:val="32"/>
                <w:szCs w:val="32"/>
              </w:rPr>
            </w:pPr>
            <w:r>
              <w:rPr>
                <w:rFonts w:hint="default" w:ascii="仿宋_GB2312" w:hAnsi="仿宋_GB2312" w:cs="仿宋_GB2312"/>
                <w:sz w:val="32"/>
                <w:szCs w:val="32"/>
                <w:lang w:val="en-US" w:eastAsia="zh-CN"/>
              </w:rPr>
              <w:t>15</w:t>
            </w:r>
            <w:r>
              <w:rPr>
                <w:rFonts w:hint="eastAsia" w:ascii="仿宋_GB2312" w:hAnsi="仿宋_GB2312" w:eastAsia="仿宋_GB2312" w:cs="仿宋_GB2312"/>
                <w:b w:val="0"/>
                <w:bCs/>
                <w:sz w:val="32"/>
                <w:szCs w:val="32"/>
              </w:rPr>
              <w:t>分</w:t>
            </w:r>
          </w:p>
        </w:tc>
        <w:tc>
          <w:tcPr>
            <w:tcW w:w="2091" w:type="dxa"/>
            <w:tcBorders>
              <w:top w:val="single" w:color="auto" w:sz="4" w:space="0"/>
              <w:left w:val="single" w:color="auto" w:sz="4" w:space="0"/>
              <w:bottom w:val="single" w:color="auto" w:sz="4" w:space="0"/>
              <w:right w:val="single" w:color="auto" w:sz="4" w:space="0"/>
            </w:tcBorders>
            <w:noWrap w:val="0"/>
            <w:vAlign w:val="center"/>
          </w:tcPr>
          <w:p>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leftChars="0" w:right="0" w:firstLine="0" w:firstLineChars="0"/>
              <w:jc w:val="center"/>
              <w:textAlignment w:val="auto"/>
              <w:rPr>
                <w:rFonts w:hint="default" w:ascii="仿宋_GB2312" w:hAnsi="仿宋_GB2312" w:eastAsia="仿宋_GB2312" w:cs="仿宋_GB2312"/>
                <w:b w:val="0"/>
                <w:bCs/>
                <w:sz w:val="32"/>
                <w:szCs w:val="32"/>
              </w:rPr>
            </w:pPr>
            <w:r>
              <w:rPr>
                <w:rFonts w:hint="default" w:ascii="仿宋_GB2312" w:hAnsi="仿宋_GB2312" w:cs="仿宋_GB2312"/>
                <w:sz w:val="32"/>
                <w:szCs w:val="32"/>
                <w:lang w:val="en-US" w:eastAsia="zh-CN"/>
              </w:rPr>
              <w:t>60</w:t>
            </w:r>
            <w:r>
              <w:rPr>
                <w:rFonts w:hint="eastAsia" w:ascii="仿宋_GB2312" w:hAnsi="仿宋_GB2312" w:eastAsia="仿宋_GB2312" w:cs="仿宋_GB2312"/>
                <w:b w:val="0"/>
                <w:bCs/>
                <w:sz w:val="32"/>
                <w:szCs w:val="32"/>
              </w:rPr>
              <w:t>分</w:t>
            </w:r>
          </w:p>
        </w:tc>
        <w:tc>
          <w:tcPr>
            <w:tcW w:w="2008" w:type="dxa"/>
            <w:tcBorders>
              <w:top w:val="single" w:color="auto" w:sz="4" w:space="0"/>
              <w:left w:val="single" w:color="auto" w:sz="4" w:space="0"/>
              <w:bottom w:val="single" w:color="auto" w:sz="4" w:space="0"/>
              <w:right w:val="single" w:color="auto" w:sz="4" w:space="0"/>
            </w:tcBorders>
            <w:noWrap w:val="0"/>
            <w:vAlign w:val="center"/>
          </w:tcPr>
          <w:p>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leftChars="0" w:right="0" w:firstLine="0" w:firstLineChars="0"/>
              <w:jc w:val="center"/>
              <w:textAlignment w:val="auto"/>
              <w:rPr>
                <w:rFonts w:hint="default" w:ascii="仿宋_GB2312" w:hAnsi="仿宋_GB2312" w:eastAsia="仿宋_GB2312" w:cs="仿宋_GB2312"/>
                <w:b w:val="0"/>
                <w:bCs/>
                <w:sz w:val="32"/>
                <w:szCs w:val="32"/>
              </w:rPr>
            </w:pPr>
            <w:r>
              <w:rPr>
                <w:rFonts w:hint="eastAsia" w:ascii="仿宋_GB2312" w:hAnsi="仿宋_GB2312" w:cs="仿宋_GB2312"/>
                <w:sz w:val="32"/>
                <w:szCs w:val="32"/>
                <w:lang w:val="en-US" w:eastAsia="zh-CN"/>
              </w:rPr>
              <w:t>25</w:t>
            </w:r>
            <w:r>
              <w:rPr>
                <w:rFonts w:hint="eastAsia" w:ascii="仿宋_GB2312" w:hAnsi="仿宋_GB2312" w:eastAsia="仿宋_GB2312" w:cs="仿宋_GB2312"/>
                <w:b w:val="0"/>
                <w:bCs/>
                <w:sz w:val="32"/>
                <w:szCs w:val="32"/>
              </w:rPr>
              <w:t>分</w:t>
            </w:r>
          </w:p>
        </w:tc>
      </w:tr>
    </w:tbl>
    <w:p>
      <w:pPr>
        <w:pStyle w:val="20"/>
        <w:spacing w:line="560" w:lineRule="exact"/>
        <w:ind w:firstLine="640" w:firstLineChars="200"/>
        <w:rPr>
          <w:rFonts w:ascii="仿宋_GB2312" w:eastAsia="仿宋_GB2312"/>
          <w:sz w:val="32"/>
          <w:szCs w:val="32"/>
        </w:rPr>
      </w:pPr>
      <w:r>
        <w:rPr>
          <w:rFonts w:hint="eastAsia" w:ascii="楷体_GB2312" w:hAnsi="楷体_GB2312" w:eastAsia="楷体_GB2312" w:cs="楷体_GB2312"/>
          <w:b w:val="0"/>
          <w:bCs/>
          <w:color w:val="000000"/>
          <w:sz w:val="32"/>
          <w:szCs w:val="32"/>
        </w:rPr>
        <w:t>（三）评分标准</w:t>
      </w:r>
    </w:p>
    <w:tbl>
      <w:tblPr>
        <w:tblStyle w:val="16"/>
        <w:tblW w:w="94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219"/>
        <w:gridCol w:w="68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84" w:type="dxa"/>
            <w:vMerge w:val="restart"/>
            <w:noWrap w:val="0"/>
            <w:vAlign w:val="center"/>
          </w:tcPr>
          <w:p>
            <w:pPr>
              <w:keepNext w:val="0"/>
              <w:keepLines w:val="0"/>
              <w:pageBreakBefore w:val="0"/>
              <w:widowControl w:val="0"/>
              <w:suppressLineNumbers w:val="0"/>
              <w:kinsoku/>
              <w:wordWrap/>
              <w:overflowPunct/>
              <w:autoSpaceDE/>
              <w:autoSpaceDN/>
              <w:bidi w:val="0"/>
              <w:adjustRightInd/>
              <w:spacing w:before="0" w:beforeAutospacing="0" w:after="0" w:afterAutospacing="0" w:line="440" w:lineRule="exact"/>
              <w:ind w:left="0" w:leftChars="0" w:right="0" w:firstLine="0" w:firstLineChars="0"/>
              <w:jc w:val="center"/>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报价</w:t>
            </w:r>
          </w:p>
          <w:p>
            <w:pPr>
              <w:keepNext w:val="0"/>
              <w:keepLines w:val="0"/>
              <w:pageBreakBefore w:val="0"/>
              <w:widowControl w:val="0"/>
              <w:suppressLineNumbers w:val="0"/>
              <w:kinsoku/>
              <w:wordWrap/>
              <w:overflowPunct/>
              <w:autoSpaceDE/>
              <w:autoSpaceDN/>
              <w:bidi w:val="0"/>
              <w:adjustRightInd/>
              <w:spacing w:before="0" w:beforeAutospacing="0" w:after="0" w:afterAutospacing="0" w:line="440" w:lineRule="exact"/>
              <w:ind w:left="0" w:leftChars="0" w:right="0" w:firstLine="0" w:firstLineChars="0"/>
              <w:jc w:val="both"/>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eastAsia="zh-CN"/>
              </w:rPr>
              <w:t>（</w:t>
            </w:r>
            <w:r>
              <w:rPr>
                <w:rFonts w:hint="default" w:ascii="仿宋_GB2312" w:hAnsi="仿宋_GB2312" w:cs="仿宋_GB2312"/>
                <w:sz w:val="32"/>
                <w:szCs w:val="32"/>
                <w:vertAlign w:val="baseline"/>
                <w:lang w:val="en-US" w:eastAsia="zh-CN"/>
              </w:rPr>
              <w:t>15</w:t>
            </w:r>
            <w:r>
              <w:rPr>
                <w:rFonts w:hint="eastAsia" w:ascii="仿宋_GB2312" w:hAnsi="仿宋_GB2312" w:eastAsia="仿宋_GB2312" w:cs="仿宋_GB2312"/>
                <w:sz w:val="32"/>
                <w:szCs w:val="32"/>
                <w:vertAlign w:val="baseline"/>
                <w:lang w:val="en-US" w:eastAsia="zh-CN"/>
              </w:rPr>
              <w:t>分</w:t>
            </w:r>
            <w:r>
              <w:rPr>
                <w:rFonts w:hint="eastAsia" w:ascii="仿宋_GB2312" w:hAnsi="仿宋_GB2312" w:eastAsia="仿宋_GB2312" w:cs="仿宋_GB2312"/>
                <w:sz w:val="32"/>
                <w:szCs w:val="32"/>
                <w:vertAlign w:val="baseline"/>
                <w:lang w:eastAsia="zh-CN"/>
              </w:rPr>
              <w:t>）</w:t>
            </w:r>
          </w:p>
        </w:tc>
        <w:tc>
          <w:tcPr>
            <w:tcW w:w="1219" w:type="dxa"/>
            <w:noWrap w:val="0"/>
            <w:vAlign w:val="top"/>
          </w:tcPr>
          <w:p>
            <w:pPr>
              <w:keepNext w:val="0"/>
              <w:keepLines w:val="0"/>
              <w:pageBreakBefore w:val="0"/>
              <w:widowControl w:val="0"/>
              <w:suppressLineNumbers w:val="0"/>
              <w:kinsoku/>
              <w:wordWrap/>
              <w:overflowPunct/>
              <w:autoSpaceDE/>
              <w:autoSpaceDN/>
              <w:bidi w:val="0"/>
              <w:adjustRightInd/>
              <w:spacing w:before="0" w:beforeAutospacing="0" w:after="0" w:afterAutospacing="0" w:line="440" w:lineRule="exact"/>
              <w:ind w:left="0" w:leftChars="0" w:right="0" w:firstLine="0" w:firstLineChars="0"/>
              <w:jc w:val="center"/>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评分</w:t>
            </w:r>
          </w:p>
          <w:p>
            <w:pPr>
              <w:keepNext w:val="0"/>
              <w:keepLines w:val="0"/>
              <w:pageBreakBefore w:val="0"/>
              <w:widowControl w:val="0"/>
              <w:suppressLineNumbers w:val="0"/>
              <w:kinsoku/>
              <w:wordWrap/>
              <w:overflowPunct/>
              <w:autoSpaceDE/>
              <w:autoSpaceDN/>
              <w:bidi w:val="0"/>
              <w:adjustRightInd/>
              <w:spacing w:before="0" w:beforeAutospacing="0" w:after="0" w:afterAutospacing="0" w:line="440" w:lineRule="exact"/>
              <w:ind w:left="0" w:leftChars="0" w:right="0" w:firstLine="0" w:firstLineChars="0"/>
              <w:jc w:val="center"/>
              <w:textAlignment w:val="auto"/>
              <w:rPr>
                <w:rFonts w:hint="eastAsia" w:ascii="仿宋_GB2312" w:hAnsi="仿宋_GB2312" w:eastAsia="仿宋_GB2312" w:cs="仿宋_GB2312"/>
                <w:sz w:val="32"/>
                <w:szCs w:val="32"/>
                <w:vertAlign w:val="baseline"/>
              </w:rPr>
            </w:pPr>
            <w:r>
              <w:rPr>
                <w:rFonts w:hint="eastAsia" w:ascii="仿宋_GB2312" w:hAnsi="仿宋_GB2312" w:eastAsia="仿宋_GB2312" w:cs="仿宋_GB2312"/>
                <w:sz w:val="32"/>
                <w:szCs w:val="32"/>
                <w:vertAlign w:val="baseline"/>
                <w:lang w:eastAsia="zh-CN"/>
              </w:rPr>
              <w:t>因素</w:t>
            </w:r>
          </w:p>
        </w:tc>
        <w:tc>
          <w:tcPr>
            <w:tcW w:w="6823" w:type="dxa"/>
            <w:noWrap w:val="0"/>
            <w:vAlign w:val="center"/>
          </w:tcPr>
          <w:p>
            <w:pPr>
              <w:keepNext w:val="0"/>
              <w:keepLines w:val="0"/>
              <w:pageBreakBefore w:val="0"/>
              <w:widowControl w:val="0"/>
              <w:suppressLineNumbers w:val="0"/>
              <w:kinsoku/>
              <w:wordWrap/>
              <w:overflowPunct/>
              <w:autoSpaceDE/>
              <w:autoSpaceDN/>
              <w:bidi w:val="0"/>
              <w:adjustRightInd/>
              <w:spacing w:before="0" w:beforeAutospacing="0" w:after="0" w:afterAutospacing="0" w:line="360" w:lineRule="exact"/>
              <w:ind w:left="0" w:right="0" w:firstLine="0" w:firstLineChars="0"/>
              <w:jc w:val="center"/>
              <w:textAlignment w:val="auto"/>
              <w:rPr>
                <w:rFonts w:hint="eastAsia" w:ascii="仿宋_GB2312" w:hAnsi="仿宋_GB2312" w:eastAsia="仿宋_GB2312" w:cs="仿宋_GB2312"/>
                <w:sz w:val="32"/>
                <w:szCs w:val="32"/>
                <w:vertAlign w:val="baseline"/>
              </w:rPr>
            </w:pPr>
            <w:r>
              <w:rPr>
                <w:rFonts w:hint="eastAsia" w:ascii="仿宋_GB2312" w:hAnsi="仿宋_GB2312" w:eastAsia="仿宋_GB2312" w:cs="仿宋_GB2312"/>
                <w:sz w:val="32"/>
                <w:szCs w:val="32"/>
                <w:vertAlign w:val="baseline"/>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84" w:type="dxa"/>
            <w:vMerge w:val="continue"/>
            <w:noWrap w:val="0"/>
            <w:vAlign w:val="top"/>
          </w:tcPr>
          <w:p>
            <w:pPr>
              <w:keepNext w:val="0"/>
              <w:keepLines w:val="0"/>
              <w:pageBreakBefore w:val="0"/>
              <w:widowControl w:val="0"/>
              <w:suppressLineNumbers w:val="0"/>
              <w:kinsoku/>
              <w:wordWrap/>
              <w:overflowPunct/>
              <w:autoSpaceDE/>
              <w:autoSpaceDN/>
              <w:bidi w:val="0"/>
              <w:adjustRightInd/>
              <w:spacing w:before="0" w:beforeAutospacing="0" w:after="0" w:afterAutospacing="0" w:line="440" w:lineRule="exact"/>
              <w:ind w:left="0" w:right="0"/>
              <w:jc w:val="center"/>
              <w:textAlignment w:val="auto"/>
              <w:rPr>
                <w:rFonts w:hint="eastAsia" w:ascii="仿宋_GB2312" w:hAnsi="仿宋_GB2312" w:eastAsia="仿宋_GB2312" w:cs="仿宋_GB2312"/>
                <w:sz w:val="32"/>
                <w:szCs w:val="32"/>
                <w:vertAlign w:val="baseline"/>
                <w:lang w:val="en-US" w:eastAsia="zh-CN"/>
              </w:rPr>
            </w:pPr>
          </w:p>
        </w:tc>
        <w:tc>
          <w:tcPr>
            <w:tcW w:w="1219" w:type="dxa"/>
            <w:noWrap w:val="0"/>
            <w:vAlign w:val="center"/>
          </w:tcPr>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440" w:lineRule="exact"/>
              <w:ind w:left="0" w:leftChars="0" w:right="0" w:firstLine="0" w:firstLineChars="0"/>
              <w:jc w:val="center"/>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价格</w:t>
            </w:r>
          </w:p>
        </w:tc>
        <w:tc>
          <w:tcPr>
            <w:tcW w:w="6823" w:type="dxa"/>
            <w:noWrap w:val="0"/>
            <w:vAlign w:val="center"/>
          </w:tcPr>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leftChars="0" w:right="0" w:firstLine="0" w:firstLineChars="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以本次报价或投标人所报的有效报价中的最低价作为基准报价。投标人报价得分=（基准价/投标人报价）*</w:t>
            </w:r>
            <w:r>
              <w:rPr>
                <w:rFonts w:hint="default" w:ascii="仿宋_GB2312" w:hAnsi="仿宋_GB2312" w:cs="仿宋_GB2312"/>
                <w:sz w:val="32"/>
                <w:szCs w:val="32"/>
                <w:lang w:val="en-US" w:eastAsia="zh-CN"/>
              </w:rPr>
              <w:t>15</w:t>
            </w:r>
            <w:r>
              <w:rPr>
                <w:rFonts w:hint="eastAsia" w:ascii="仿宋_GB2312" w:hAnsi="仿宋_GB2312" w:eastAsia="仿宋_GB2312" w:cs="仿宋_GB2312"/>
                <w:sz w:val="32"/>
                <w:szCs w:val="32"/>
                <w:lang w:eastAsia="zh-CN"/>
              </w:rPr>
              <w:t>分，</w:t>
            </w:r>
            <w:r>
              <w:rPr>
                <w:rFonts w:hint="eastAsia" w:ascii="仿宋_GB2312" w:hAnsi="仿宋_GB2312" w:eastAsia="仿宋_GB2312" w:cs="仿宋_GB2312"/>
                <w:sz w:val="32"/>
                <w:szCs w:val="32"/>
                <w:lang w:val="en-US" w:eastAsia="zh-CN"/>
              </w:rPr>
              <w:t>本项最高得</w:t>
            </w:r>
            <w:r>
              <w:rPr>
                <w:rFonts w:hint="default" w:ascii="仿宋_GB2312" w:hAnsi="仿宋_GB2312" w:cs="仿宋_GB2312"/>
                <w:sz w:val="32"/>
                <w:szCs w:val="32"/>
                <w:lang w:val="en-US" w:eastAsia="zh-CN"/>
              </w:rPr>
              <w:t>15</w:t>
            </w:r>
            <w:r>
              <w:rPr>
                <w:rFonts w:hint="eastAsia" w:ascii="仿宋_GB2312" w:hAnsi="仿宋_GB2312" w:eastAsia="仿宋_GB2312" w:cs="仿宋_GB2312"/>
                <w:sz w:val="32"/>
                <w:szCs w:val="32"/>
                <w:lang w:val="en-US" w:eastAsia="zh-CN"/>
              </w:rPr>
              <w:t>分</w:t>
            </w:r>
            <w:r>
              <w:rPr>
                <w:rFonts w:hint="eastAsia" w:ascii="仿宋_GB2312" w:hAnsi="仿宋_GB2312" w:eastAsia="仿宋_GB2312" w:cs="仿宋_GB2312"/>
                <w:sz w:val="32"/>
                <w:szCs w:val="32"/>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13" w:hRule="atLeast"/>
          <w:jc w:val="center"/>
        </w:trPr>
        <w:tc>
          <w:tcPr>
            <w:tcW w:w="1384" w:type="dxa"/>
            <w:vMerge w:val="restart"/>
            <w:noWrap w:val="0"/>
            <w:vAlign w:val="center"/>
          </w:tcPr>
          <w:p>
            <w:pPr>
              <w:keepNext w:val="0"/>
              <w:keepLines w:val="0"/>
              <w:pageBreakBefore w:val="0"/>
              <w:widowControl w:val="0"/>
              <w:suppressLineNumbers w:val="0"/>
              <w:kinsoku/>
              <w:wordWrap/>
              <w:overflowPunct/>
              <w:autoSpaceDE/>
              <w:autoSpaceDN/>
              <w:bidi w:val="0"/>
              <w:adjustRightInd/>
              <w:spacing w:before="0" w:beforeAutospacing="0" w:after="0" w:afterAutospacing="0" w:line="440" w:lineRule="exact"/>
              <w:ind w:left="0" w:leftChars="0" w:right="0" w:firstLine="0" w:firstLineChars="0"/>
              <w:jc w:val="center"/>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技术</w:t>
            </w:r>
          </w:p>
          <w:p>
            <w:pPr>
              <w:keepNext w:val="0"/>
              <w:keepLines w:val="0"/>
              <w:pageBreakBefore w:val="0"/>
              <w:widowControl w:val="0"/>
              <w:suppressLineNumbers w:val="0"/>
              <w:kinsoku/>
              <w:wordWrap/>
              <w:overflowPunct/>
              <w:autoSpaceDE/>
              <w:autoSpaceDN/>
              <w:bidi w:val="0"/>
              <w:adjustRightInd/>
              <w:spacing w:before="0" w:beforeAutospacing="0" w:after="0" w:afterAutospacing="0" w:line="440" w:lineRule="exact"/>
              <w:ind w:left="0" w:leftChars="0" w:right="0" w:firstLine="0" w:firstLineChars="0"/>
              <w:jc w:val="center"/>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部分</w:t>
            </w:r>
          </w:p>
          <w:p>
            <w:pPr>
              <w:keepNext w:val="0"/>
              <w:keepLines w:val="0"/>
              <w:pageBreakBefore w:val="0"/>
              <w:widowControl w:val="0"/>
              <w:suppressLineNumbers w:val="0"/>
              <w:kinsoku/>
              <w:wordWrap/>
              <w:overflowPunct/>
              <w:autoSpaceDE/>
              <w:autoSpaceDN/>
              <w:bidi w:val="0"/>
              <w:adjustRightInd/>
              <w:spacing w:before="0" w:beforeAutospacing="0" w:after="0" w:afterAutospacing="0" w:line="440" w:lineRule="exact"/>
              <w:ind w:left="0" w:leftChars="0" w:right="0"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vertAlign w:val="baseline"/>
                <w:lang w:eastAsia="zh-CN"/>
              </w:rPr>
              <w:t>（</w:t>
            </w:r>
            <w:r>
              <w:rPr>
                <w:rFonts w:hint="default" w:ascii="仿宋_GB2312" w:hAnsi="仿宋_GB2312" w:cs="仿宋_GB2312"/>
                <w:sz w:val="32"/>
                <w:szCs w:val="32"/>
                <w:vertAlign w:val="baseline"/>
                <w:lang w:val="en-US" w:eastAsia="zh-CN"/>
              </w:rPr>
              <w:t>60</w:t>
            </w:r>
            <w:r>
              <w:rPr>
                <w:rFonts w:hint="eastAsia" w:ascii="仿宋_GB2312" w:hAnsi="仿宋_GB2312" w:eastAsia="仿宋_GB2312" w:cs="仿宋_GB2312"/>
                <w:sz w:val="32"/>
                <w:szCs w:val="32"/>
                <w:vertAlign w:val="baseline"/>
                <w:lang w:val="en-US" w:eastAsia="zh-CN"/>
              </w:rPr>
              <w:t>分</w:t>
            </w:r>
            <w:r>
              <w:rPr>
                <w:rFonts w:hint="eastAsia" w:ascii="仿宋_GB2312" w:hAnsi="仿宋_GB2312" w:eastAsia="仿宋_GB2312" w:cs="仿宋_GB2312"/>
                <w:sz w:val="32"/>
                <w:szCs w:val="32"/>
                <w:vertAlign w:val="baseline"/>
                <w:lang w:eastAsia="zh-CN"/>
              </w:rPr>
              <w:t>）</w:t>
            </w:r>
          </w:p>
        </w:tc>
        <w:tc>
          <w:tcPr>
            <w:tcW w:w="1219" w:type="dxa"/>
            <w:noWrap w:val="0"/>
            <w:vAlign w:val="center"/>
          </w:tcPr>
          <w:p>
            <w:pPr>
              <w:keepNext w:val="0"/>
              <w:keepLines w:val="0"/>
              <w:pageBreakBefore w:val="0"/>
              <w:widowControl w:val="0"/>
              <w:suppressLineNumbers w:val="0"/>
              <w:kinsoku/>
              <w:wordWrap/>
              <w:overflowPunct/>
              <w:autoSpaceDE/>
              <w:autoSpaceDN/>
              <w:bidi w:val="0"/>
              <w:adjustRightInd/>
              <w:spacing w:before="0" w:beforeAutospacing="0" w:after="0" w:afterAutospacing="0" w:line="440" w:lineRule="exact"/>
              <w:ind w:left="0" w:leftChars="0" w:right="0" w:firstLine="0" w:firstLineChars="0"/>
              <w:jc w:val="left"/>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lang w:eastAsia="zh-CN"/>
              </w:rPr>
              <w:t>项目工作方案（</w:t>
            </w:r>
            <w:r>
              <w:rPr>
                <w:rFonts w:hint="eastAsia" w:ascii="仿宋_GB2312" w:hAnsi="仿宋_GB2312" w:cs="仿宋_GB2312"/>
                <w:color w:val="auto"/>
                <w:sz w:val="32"/>
                <w:szCs w:val="32"/>
                <w:highlight w:val="none"/>
                <w:lang w:val="en-US" w:eastAsia="zh-CN"/>
              </w:rPr>
              <w:t>2</w:t>
            </w:r>
            <w:r>
              <w:rPr>
                <w:rFonts w:hint="default" w:ascii="仿宋_GB2312" w:hAnsi="仿宋_GB2312" w:cs="仿宋_GB2312"/>
                <w:color w:val="auto"/>
                <w:sz w:val="32"/>
                <w:szCs w:val="32"/>
                <w:highlight w:val="none"/>
                <w:lang w:val="en-US" w:eastAsia="zh-CN"/>
              </w:rPr>
              <w:t>4</w:t>
            </w:r>
            <w:r>
              <w:rPr>
                <w:rFonts w:hint="eastAsia" w:ascii="仿宋_GB2312" w:hAnsi="仿宋_GB2312" w:eastAsia="仿宋_GB2312" w:cs="仿宋_GB2312"/>
                <w:sz w:val="32"/>
                <w:szCs w:val="32"/>
                <w:lang w:val="en-US" w:eastAsia="zh-CN"/>
              </w:rPr>
              <w:t>分</w:t>
            </w:r>
            <w:r>
              <w:rPr>
                <w:rFonts w:hint="eastAsia" w:ascii="仿宋_GB2312" w:hAnsi="仿宋_GB2312" w:eastAsia="仿宋_GB2312" w:cs="仿宋_GB2312"/>
                <w:sz w:val="32"/>
                <w:szCs w:val="32"/>
                <w:lang w:eastAsia="zh-CN"/>
              </w:rPr>
              <w:t>）</w:t>
            </w:r>
          </w:p>
        </w:tc>
        <w:tc>
          <w:tcPr>
            <w:tcW w:w="6823" w:type="dxa"/>
            <w:noWrap w:val="0"/>
            <w:vAlign w:val="center"/>
          </w:tcPr>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leftChars="0" w:right="0" w:firstLine="0" w:firstLineChars="0"/>
              <w:jc w:val="lef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（一）评审内容：</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leftChars="0" w:right="0" w:firstLine="0" w:firstLineChars="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针对本项目的需求制定项目工作方案，包含以下五项：</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leftChars="0" w:right="0" w:firstLine="0" w:firstLineChars="0"/>
              <w:jc w:val="lef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1</w:t>
            </w:r>
            <w:r>
              <w:rPr>
                <w:rFonts w:hint="eastAsia" w:ascii="仿宋_GB2312" w:hAnsi="仿宋_GB2312" w:cs="仿宋_GB2312"/>
                <w:b/>
                <w:bCs/>
                <w:sz w:val="32"/>
                <w:szCs w:val="32"/>
                <w:lang w:val="en-US" w:eastAsia="zh-CN"/>
              </w:rPr>
              <w:t>.</w:t>
            </w:r>
            <w:r>
              <w:rPr>
                <w:rFonts w:hint="eastAsia" w:ascii="仿宋_GB2312" w:hAnsi="仿宋_GB2312" w:eastAsia="仿宋_GB2312" w:cs="仿宋_GB2312"/>
                <w:b/>
                <w:bCs/>
                <w:sz w:val="32"/>
                <w:szCs w:val="32"/>
                <w:lang w:eastAsia="zh-CN"/>
              </w:rPr>
              <w:t>项目背景及意义分析；</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leftChars="0" w:right="0" w:firstLine="0" w:firstLineChars="0"/>
              <w:jc w:val="lef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2</w:t>
            </w:r>
            <w:r>
              <w:rPr>
                <w:rFonts w:hint="eastAsia" w:ascii="仿宋_GB2312" w:hAnsi="仿宋_GB2312" w:cs="仿宋_GB2312"/>
                <w:b/>
                <w:bCs/>
                <w:sz w:val="32"/>
                <w:szCs w:val="32"/>
                <w:lang w:val="en-US" w:eastAsia="zh-CN"/>
              </w:rPr>
              <w:t>.</w:t>
            </w:r>
            <w:r>
              <w:rPr>
                <w:rFonts w:hint="eastAsia" w:ascii="仿宋_GB2312" w:hAnsi="仿宋_GB2312" w:eastAsia="仿宋_GB2312" w:cs="仿宋_GB2312"/>
                <w:b/>
                <w:bCs/>
                <w:sz w:val="32"/>
                <w:szCs w:val="32"/>
                <w:lang w:eastAsia="zh-CN"/>
              </w:rPr>
              <w:t>团队人员配置及分工；</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leftChars="0" w:right="0" w:firstLine="0" w:firstLineChars="0"/>
              <w:jc w:val="lef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3</w:t>
            </w:r>
            <w:r>
              <w:rPr>
                <w:rFonts w:hint="eastAsia" w:ascii="仿宋_GB2312" w:hAnsi="仿宋_GB2312" w:cs="仿宋_GB2312"/>
                <w:b/>
                <w:bCs/>
                <w:sz w:val="32"/>
                <w:szCs w:val="32"/>
                <w:lang w:val="en-US" w:eastAsia="zh-CN"/>
              </w:rPr>
              <w:t>.</w:t>
            </w:r>
            <w:r>
              <w:rPr>
                <w:rFonts w:hint="eastAsia" w:ascii="仿宋_GB2312" w:hAnsi="仿宋_GB2312" w:eastAsia="仿宋_GB2312" w:cs="仿宋_GB2312"/>
                <w:b/>
                <w:bCs/>
                <w:sz w:val="32"/>
                <w:szCs w:val="32"/>
                <w:lang w:eastAsia="zh-CN"/>
              </w:rPr>
              <w:t>项目实施方法；</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leftChars="0" w:right="0" w:firstLine="0" w:firstLineChars="0"/>
              <w:jc w:val="lef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4</w:t>
            </w:r>
            <w:r>
              <w:rPr>
                <w:rFonts w:hint="eastAsia" w:ascii="仿宋_GB2312" w:hAnsi="仿宋_GB2312" w:cs="仿宋_GB2312"/>
                <w:b/>
                <w:bCs/>
                <w:sz w:val="32"/>
                <w:szCs w:val="32"/>
                <w:lang w:val="en-US" w:eastAsia="zh-CN"/>
              </w:rPr>
              <w:t>.</w:t>
            </w:r>
            <w:r>
              <w:rPr>
                <w:rFonts w:hint="eastAsia" w:ascii="仿宋_GB2312" w:hAnsi="仿宋_GB2312" w:eastAsia="仿宋_GB2312" w:cs="仿宋_GB2312"/>
                <w:b/>
                <w:bCs/>
                <w:sz w:val="32"/>
                <w:szCs w:val="32"/>
                <w:lang w:eastAsia="zh-CN"/>
              </w:rPr>
              <w:t>项目进度计划；</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leftChars="0" w:right="0" w:firstLine="0" w:firstLineChars="0"/>
              <w:jc w:val="lef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5</w:t>
            </w:r>
            <w:r>
              <w:rPr>
                <w:rFonts w:hint="eastAsia" w:ascii="仿宋_GB2312" w:hAnsi="仿宋_GB2312" w:cs="仿宋_GB2312"/>
                <w:b/>
                <w:bCs/>
                <w:sz w:val="32"/>
                <w:szCs w:val="32"/>
                <w:lang w:val="en-US" w:eastAsia="zh-CN"/>
              </w:rPr>
              <w:t>.</w:t>
            </w:r>
            <w:r>
              <w:rPr>
                <w:rFonts w:hint="eastAsia" w:ascii="仿宋_GB2312" w:hAnsi="仿宋_GB2312" w:eastAsia="仿宋_GB2312" w:cs="仿宋_GB2312"/>
                <w:b/>
                <w:bCs/>
                <w:sz w:val="32"/>
                <w:szCs w:val="32"/>
                <w:lang w:eastAsia="zh-CN"/>
              </w:rPr>
              <w:t>项目预期成果及评审方式。</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leftChars="0" w:right="0" w:firstLine="0" w:firstLineChars="0"/>
              <w:jc w:val="lef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lang w:eastAsia="zh-CN"/>
              </w:rPr>
              <w:t>）评审依据：</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leftChars="0" w:right="0" w:firstLine="0" w:firstLineChars="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eastAsia="zh-CN"/>
              </w:rPr>
              <w:t>每满足一项得</w:t>
            </w:r>
            <w:r>
              <w:rPr>
                <w:rFonts w:hint="eastAsia" w:ascii="仿宋_GB2312" w:hAnsi="仿宋_GB2312" w:cs="仿宋_GB2312"/>
                <w:sz w:val="32"/>
                <w:szCs w:val="32"/>
                <w:lang w:val="en-US" w:eastAsia="zh-CN"/>
              </w:rPr>
              <w:t>2</w:t>
            </w:r>
            <w:r>
              <w:rPr>
                <w:rFonts w:hint="eastAsia" w:ascii="仿宋_GB2312" w:hAnsi="仿宋_GB2312" w:eastAsia="仿宋_GB2312" w:cs="仿宋_GB2312"/>
                <w:sz w:val="32"/>
                <w:szCs w:val="32"/>
                <w:lang w:eastAsia="zh-CN"/>
              </w:rPr>
              <w:t>分，全部满足得</w:t>
            </w:r>
            <w:r>
              <w:rPr>
                <w:rFonts w:hint="eastAsia" w:ascii="仿宋_GB2312" w:hAnsi="仿宋_GB2312" w:cs="仿宋_GB2312"/>
                <w:sz w:val="32"/>
                <w:szCs w:val="32"/>
                <w:lang w:val="en-US" w:eastAsia="zh-CN"/>
              </w:rPr>
              <w:t>10</w:t>
            </w:r>
            <w:r>
              <w:rPr>
                <w:rFonts w:hint="eastAsia" w:ascii="仿宋_GB2312" w:hAnsi="仿宋_GB2312" w:eastAsia="仿宋_GB2312" w:cs="仿宋_GB2312"/>
                <w:sz w:val="32"/>
                <w:szCs w:val="32"/>
                <w:lang w:eastAsia="zh-CN"/>
              </w:rPr>
              <w:t>分，全部不满足不得分。</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leftChars="0" w:right="0" w:firstLine="0" w:firstLineChars="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eastAsia="zh-CN"/>
              </w:rPr>
              <w:t>在此基础上，由评审小组进一步进行评价：</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leftChars="0" w:right="0" w:firstLine="0" w:firstLineChars="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（1）方案内容详实具体，针对性强、可操作性强，能符合本项目技术服务需求，评审为优，得</w:t>
            </w:r>
            <w:r>
              <w:rPr>
                <w:rFonts w:hint="eastAsia" w:ascii="仿宋_GB2312" w:hAnsi="仿宋_GB2312" w:eastAsia="仿宋_GB2312" w:cs="仿宋_GB2312"/>
                <w:sz w:val="32"/>
                <w:szCs w:val="32"/>
                <w:lang w:val="en-US" w:eastAsia="zh-CN"/>
              </w:rPr>
              <w:t>1</w:t>
            </w:r>
            <w:r>
              <w:rPr>
                <w:rFonts w:hint="default" w:ascii="仿宋_GB2312" w:hAnsi="仿宋_GB2312" w:cs="仿宋_GB2312"/>
                <w:sz w:val="32"/>
                <w:szCs w:val="32"/>
                <w:lang w:val="en-US" w:eastAsia="zh-CN"/>
              </w:rPr>
              <w:t>4</w:t>
            </w:r>
            <w:r>
              <w:rPr>
                <w:rFonts w:hint="eastAsia" w:ascii="仿宋_GB2312" w:hAnsi="仿宋_GB2312" w:eastAsia="仿宋_GB2312" w:cs="仿宋_GB2312"/>
                <w:sz w:val="32"/>
                <w:szCs w:val="32"/>
                <w:lang w:val="en-US" w:eastAsia="zh-CN"/>
              </w:rPr>
              <w:t>分</w:t>
            </w:r>
            <w:r>
              <w:rPr>
                <w:rFonts w:hint="eastAsia" w:ascii="仿宋_GB2312" w:hAnsi="仿宋_GB2312" w:eastAsia="仿宋_GB2312" w:cs="仿宋_GB2312"/>
                <w:sz w:val="32"/>
                <w:szCs w:val="32"/>
                <w:lang w:eastAsia="zh-CN"/>
              </w:rPr>
              <w:t>；</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leftChars="0" w:right="0" w:firstLine="0" w:firstLineChars="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（2）方案内容完整准确，有一定针对性、一定可操作性，能基本符合本项目技术服务需求，评审为良，得</w:t>
            </w:r>
            <w:r>
              <w:rPr>
                <w:rFonts w:hint="default" w:ascii="仿宋_GB2312" w:hAnsi="仿宋_GB2312" w:cs="仿宋_GB2312"/>
                <w:sz w:val="32"/>
                <w:szCs w:val="32"/>
                <w:lang w:val="en-US" w:eastAsia="zh-CN"/>
              </w:rPr>
              <w:t>11</w:t>
            </w:r>
            <w:r>
              <w:rPr>
                <w:rFonts w:hint="eastAsia" w:ascii="仿宋_GB2312" w:hAnsi="仿宋_GB2312" w:eastAsia="仿宋_GB2312" w:cs="仿宋_GB2312"/>
                <w:sz w:val="32"/>
                <w:szCs w:val="32"/>
                <w:lang w:eastAsia="zh-CN"/>
              </w:rPr>
              <w:t>分；</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leftChars="0" w:right="0" w:firstLine="0" w:firstLineChars="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（3）方案内容简单，针对性一般、可操作性一般，对本项目技术服务需求的符合性一般，评审为中，得</w:t>
            </w:r>
            <w:r>
              <w:rPr>
                <w:rFonts w:hint="default" w:ascii="仿宋_GB2312" w:hAnsi="仿宋_GB2312" w:cs="仿宋_GB2312"/>
                <w:sz w:val="32"/>
                <w:szCs w:val="32"/>
                <w:lang w:val="en-US" w:eastAsia="zh-CN"/>
              </w:rPr>
              <w:t>8</w:t>
            </w:r>
            <w:r>
              <w:rPr>
                <w:rFonts w:hint="eastAsia" w:ascii="仿宋_GB2312" w:hAnsi="仿宋_GB2312" w:eastAsia="仿宋_GB2312" w:cs="仿宋_GB2312"/>
                <w:sz w:val="32"/>
                <w:szCs w:val="32"/>
                <w:lang w:eastAsia="zh-CN"/>
              </w:rPr>
              <w:t>分；</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leftChars="0" w:right="0" w:firstLine="0" w:firstLineChars="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（4）方案内容简单，无针对性、无可操作性，不能符合本项目安全技术服务需求，评审为差，不得分。</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leftChars="0" w:right="0" w:firstLine="0" w:firstLineChars="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以上累计得分，最高得</w:t>
            </w:r>
            <w:r>
              <w:rPr>
                <w:rFonts w:hint="eastAsia" w:ascii="仿宋_GB2312" w:hAnsi="仿宋_GB2312" w:cs="仿宋_GB2312"/>
                <w:sz w:val="32"/>
                <w:szCs w:val="32"/>
                <w:lang w:val="en-US" w:eastAsia="zh-CN"/>
              </w:rPr>
              <w:t>2</w:t>
            </w:r>
            <w:r>
              <w:rPr>
                <w:rFonts w:hint="default" w:ascii="仿宋_GB2312" w:hAnsi="仿宋_GB2312" w:cs="仿宋_GB2312"/>
                <w:sz w:val="32"/>
                <w:szCs w:val="32"/>
                <w:lang w:val="en-US" w:eastAsia="zh-CN"/>
              </w:rPr>
              <w:t>4</w:t>
            </w:r>
            <w:r>
              <w:rPr>
                <w:rFonts w:hint="eastAsia" w:ascii="仿宋_GB2312" w:hAnsi="仿宋_GB2312" w:eastAsia="仿宋_GB2312" w:cs="仿宋_GB2312"/>
                <w:sz w:val="32"/>
                <w:szCs w:val="32"/>
                <w:lang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84" w:type="dxa"/>
            <w:vMerge w:val="continue"/>
            <w:noWrap w:val="0"/>
            <w:vAlign w:val="top"/>
          </w:tcPr>
          <w:p>
            <w:pPr>
              <w:keepNext w:val="0"/>
              <w:keepLines w:val="0"/>
              <w:pageBreakBefore w:val="0"/>
              <w:widowControl w:val="0"/>
              <w:suppressLineNumbers w:val="0"/>
              <w:kinsoku/>
              <w:wordWrap/>
              <w:overflowPunct/>
              <w:autoSpaceDE/>
              <w:autoSpaceDN/>
              <w:bidi w:val="0"/>
              <w:adjustRightInd/>
              <w:spacing w:before="0" w:beforeAutospacing="0" w:after="0" w:afterAutospacing="0" w:line="440" w:lineRule="exact"/>
              <w:ind w:left="0" w:right="0"/>
              <w:jc w:val="left"/>
              <w:textAlignment w:val="auto"/>
              <w:rPr>
                <w:rFonts w:hint="eastAsia" w:ascii="仿宋_GB2312" w:hAnsi="仿宋_GB2312" w:eastAsia="仿宋_GB2312" w:cs="仿宋_GB2312"/>
                <w:sz w:val="32"/>
                <w:szCs w:val="32"/>
                <w:vertAlign w:val="baseline"/>
                <w:lang w:val="en-US" w:eastAsia="zh-CN"/>
              </w:rPr>
            </w:pPr>
          </w:p>
        </w:tc>
        <w:tc>
          <w:tcPr>
            <w:tcW w:w="1219" w:type="dxa"/>
            <w:noWrap w:val="0"/>
            <w:vAlign w:val="center"/>
          </w:tcPr>
          <w:p>
            <w:pPr>
              <w:keepNext w:val="0"/>
              <w:keepLines w:val="0"/>
              <w:pageBreakBefore w:val="0"/>
              <w:widowControl w:val="0"/>
              <w:suppressLineNumbers w:val="0"/>
              <w:kinsoku/>
              <w:wordWrap/>
              <w:overflowPunct/>
              <w:autoSpaceDE/>
              <w:autoSpaceDN/>
              <w:bidi w:val="0"/>
              <w:adjustRightInd/>
              <w:spacing w:before="0" w:beforeAutospacing="0" w:after="0" w:afterAutospacing="0" w:line="440" w:lineRule="exact"/>
              <w:ind w:left="0" w:leftChars="0" w:right="0" w:firstLine="0" w:firstLineChars="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项目重点、难点及解决方案（5分）</w:t>
            </w:r>
          </w:p>
        </w:tc>
        <w:tc>
          <w:tcPr>
            <w:tcW w:w="6823" w:type="dxa"/>
            <w:noWrap w:val="0"/>
            <w:vAlign w:val="center"/>
          </w:tcPr>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（一）评审内容</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针对本项目的需求制定项目重点、难点分析及解决方案，包含以下三项：</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1</w:t>
            </w:r>
            <w:r>
              <w:rPr>
                <w:rFonts w:hint="eastAsia" w:ascii="仿宋_GB2312" w:hAnsi="仿宋_GB2312" w:cs="仿宋_GB2312"/>
                <w:b/>
                <w:bCs/>
                <w:sz w:val="32"/>
                <w:szCs w:val="32"/>
                <w:lang w:val="en-US" w:eastAsia="zh-CN"/>
              </w:rPr>
              <w:t>.</w:t>
            </w:r>
            <w:r>
              <w:rPr>
                <w:rFonts w:hint="eastAsia" w:ascii="仿宋_GB2312" w:hAnsi="仿宋_GB2312" w:eastAsia="仿宋_GB2312" w:cs="仿宋_GB2312"/>
                <w:b/>
                <w:bCs/>
                <w:sz w:val="32"/>
                <w:szCs w:val="32"/>
                <w:lang w:eastAsia="zh-CN"/>
              </w:rPr>
              <w:t>项目各类重点、难点的分析；</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2</w:t>
            </w:r>
            <w:r>
              <w:rPr>
                <w:rFonts w:hint="eastAsia" w:ascii="仿宋_GB2312" w:hAnsi="仿宋_GB2312" w:cs="仿宋_GB2312"/>
                <w:b/>
                <w:bCs/>
                <w:sz w:val="32"/>
                <w:szCs w:val="32"/>
                <w:lang w:val="en-US" w:eastAsia="zh-CN"/>
              </w:rPr>
              <w:t>.</w:t>
            </w:r>
            <w:r>
              <w:rPr>
                <w:rFonts w:hint="eastAsia" w:ascii="仿宋_GB2312" w:hAnsi="仿宋_GB2312" w:eastAsia="仿宋_GB2312" w:cs="仿宋_GB2312"/>
                <w:b/>
                <w:bCs/>
                <w:sz w:val="32"/>
                <w:szCs w:val="32"/>
                <w:lang w:eastAsia="zh-CN"/>
              </w:rPr>
              <w:t>项目各类重点、难点的应对措施；</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3</w:t>
            </w:r>
            <w:r>
              <w:rPr>
                <w:rFonts w:hint="eastAsia" w:ascii="仿宋_GB2312" w:hAnsi="仿宋_GB2312" w:cs="仿宋_GB2312"/>
                <w:b/>
                <w:bCs/>
                <w:sz w:val="32"/>
                <w:szCs w:val="32"/>
                <w:lang w:val="en-US" w:eastAsia="zh-CN"/>
              </w:rPr>
              <w:t>.</w:t>
            </w:r>
            <w:r>
              <w:rPr>
                <w:rFonts w:hint="eastAsia" w:ascii="仿宋_GB2312" w:hAnsi="仿宋_GB2312" w:eastAsia="仿宋_GB2312" w:cs="仿宋_GB2312"/>
                <w:b/>
                <w:bCs/>
                <w:sz w:val="32"/>
                <w:szCs w:val="32"/>
                <w:lang w:eastAsia="zh-CN"/>
              </w:rPr>
              <w:t>针对项目实施提出的相关合理化建议。</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lang w:eastAsia="zh-CN"/>
              </w:rPr>
              <w:t>）评审依据：</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满足第1、2项每项得2分，满足第3项得1分，全部满足得5分，全部不满足不得分。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84" w:type="dxa"/>
            <w:vMerge w:val="continue"/>
            <w:noWrap w:val="0"/>
            <w:vAlign w:val="top"/>
          </w:tcPr>
          <w:p>
            <w:pPr>
              <w:keepNext w:val="0"/>
              <w:keepLines w:val="0"/>
              <w:pageBreakBefore w:val="0"/>
              <w:widowControl w:val="0"/>
              <w:suppressLineNumbers w:val="0"/>
              <w:kinsoku/>
              <w:wordWrap/>
              <w:overflowPunct/>
              <w:autoSpaceDE/>
              <w:autoSpaceDN/>
              <w:bidi w:val="0"/>
              <w:adjustRightInd/>
              <w:spacing w:before="0" w:beforeAutospacing="0" w:after="0" w:afterAutospacing="0" w:line="440" w:lineRule="exact"/>
              <w:ind w:left="0" w:right="0"/>
              <w:jc w:val="left"/>
              <w:textAlignment w:val="auto"/>
              <w:rPr>
                <w:rFonts w:hint="eastAsia" w:ascii="仿宋_GB2312" w:hAnsi="仿宋_GB2312" w:eastAsia="仿宋_GB2312" w:cs="仿宋_GB2312"/>
                <w:sz w:val="32"/>
                <w:szCs w:val="32"/>
                <w:vertAlign w:val="baseline"/>
                <w:lang w:val="en-US" w:eastAsia="zh-CN"/>
              </w:rPr>
            </w:pPr>
          </w:p>
        </w:tc>
        <w:tc>
          <w:tcPr>
            <w:tcW w:w="1219" w:type="dxa"/>
            <w:noWrap w:val="0"/>
            <w:vAlign w:val="center"/>
          </w:tcPr>
          <w:p>
            <w:pPr>
              <w:keepNext w:val="0"/>
              <w:keepLines w:val="0"/>
              <w:pageBreakBefore w:val="0"/>
              <w:widowControl w:val="0"/>
              <w:suppressLineNumbers w:val="0"/>
              <w:kinsoku/>
              <w:wordWrap/>
              <w:overflowPunct/>
              <w:autoSpaceDE/>
              <w:autoSpaceDN/>
              <w:bidi w:val="0"/>
              <w:adjustRightInd/>
              <w:spacing w:before="0" w:beforeAutospacing="0" w:after="0" w:afterAutospacing="0" w:line="440" w:lineRule="exact"/>
              <w:ind w:left="0" w:leftChars="0" w:right="0" w:firstLine="0" w:firstLineChars="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项目保障措施（</w:t>
            </w:r>
            <w:r>
              <w:rPr>
                <w:rFonts w:hint="eastAsia" w:ascii="仿宋_GB2312" w:hAnsi="仿宋_GB2312" w:eastAsia="仿宋_GB2312" w:cs="仿宋_GB2312"/>
                <w:color w:val="auto"/>
                <w:sz w:val="32"/>
                <w:szCs w:val="32"/>
                <w:highlight w:val="none"/>
                <w:lang w:val="en-US" w:eastAsia="zh-CN"/>
              </w:rPr>
              <w:t>10</w:t>
            </w:r>
            <w:r>
              <w:rPr>
                <w:rFonts w:hint="eastAsia" w:ascii="仿宋_GB2312" w:hAnsi="仿宋_GB2312" w:eastAsia="仿宋_GB2312" w:cs="仿宋_GB2312"/>
                <w:sz w:val="32"/>
                <w:szCs w:val="32"/>
                <w:lang w:val="en-US" w:eastAsia="zh-CN"/>
              </w:rPr>
              <w:t>分）</w:t>
            </w:r>
          </w:p>
        </w:tc>
        <w:tc>
          <w:tcPr>
            <w:tcW w:w="6823" w:type="dxa"/>
            <w:noWrap w:val="0"/>
            <w:vAlign w:val="center"/>
          </w:tcPr>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（一）</w:t>
            </w:r>
            <w:r>
              <w:rPr>
                <w:rFonts w:hint="eastAsia" w:ascii="仿宋_GB2312" w:hAnsi="仿宋_GB2312" w:eastAsia="仿宋_GB2312" w:cs="仿宋_GB2312"/>
                <w:b/>
                <w:bCs/>
                <w:sz w:val="32"/>
                <w:szCs w:val="32"/>
                <w:highlight w:val="none"/>
                <w:lang w:eastAsia="zh-CN"/>
              </w:rPr>
              <w:t>评审</w:t>
            </w:r>
            <w:r>
              <w:rPr>
                <w:rFonts w:hint="eastAsia" w:ascii="仿宋_GB2312" w:hAnsi="仿宋_GB2312" w:eastAsia="仿宋_GB2312" w:cs="仿宋_GB2312"/>
                <w:b/>
                <w:bCs/>
                <w:sz w:val="32"/>
                <w:szCs w:val="32"/>
                <w:highlight w:val="none"/>
              </w:rPr>
              <w:t>内容：</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针对本项目的需求制定项目质量保障措施，包含以下三项：</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1</w:t>
            </w:r>
            <w:r>
              <w:rPr>
                <w:rFonts w:hint="eastAsia" w:ascii="仿宋_GB2312" w:hAnsi="仿宋_GB2312" w:cs="仿宋_GB2312"/>
                <w:b/>
                <w:bCs/>
                <w:color w:val="auto"/>
                <w:sz w:val="32"/>
                <w:szCs w:val="32"/>
                <w:highlight w:val="none"/>
                <w:lang w:val="en-US" w:eastAsia="zh-CN"/>
              </w:rPr>
              <w:t>.</w:t>
            </w:r>
            <w:r>
              <w:rPr>
                <w:rFonts w:hint="eastAsia" w:ascii="仿宋_GB2312" w:hAnsi="仿宋_GB2312" w:eastAsia="仿宋_GB2312" w:cs="仿宋_GB2312"/>
                <w:b/>
                <w:bCs/>
                <w:color w:val="auto"/>
                <w:sz w:val="32"/>
                <w:szCs w:val="32"/>
                <w:highlight w:val="none"/>
                <w:lang w:val="en-US" w:eastAsia="zh-CN"/>
              </w:rPr>
              <w:t>项目安全保障措施；</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2</w:t>
            </w:r>
            <w:r>
              <w:rPr>
                <w:rFonts w:hint="eastAsia" w:ascii="仿宋_GB2312" w:hAnsi="仿宋_GB2312" w:cs="仿宋_GB2312"/>
                <w:b/>
                <w:bCs/>
                <w:color w:val="auto"/>
                <w:sz w:val="32"/>
                <w:szCs w:val="32"/>
                <w:highlight w:val="none"/>
                <w:lang w:val="en-US" w:eastAsia="zh-CN"/>
              </w:rPr>
              <w:t>.</w:t>
            </w:r>
            <w:r>
              <w:rPr>
                <w:rFonts w:hint="eastAsia" w:ascii="仿宋_GB2312" w:hAnsi="仿宋_GB2312" w:eastAsia="仿宋_GB2312" w:cs="仿宋_GB2312"/>
                <w:b/>
                <w:bCs/>
                <w:color w:val="auto"/>
                <w:sz w:val="32"/>
                <w:szCs w:val="32"/>
                <w:highlight w:val="none"/>
                <w:lang w:val="en-US" w:eastAsia="zh-CN"/>
              </w:rPr>
              <w:t>项目质量保障措施；</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3</w:t>
            </w:r>
            <w:r>
              <w:rPr>
                <w:rFonts w:hint="eastAsia" w:ascii="仿宋_GB2312" w:hAnsi="仿宋_GB2312" w:cs="仿宋_GB2312"/>
                <w:b/>
                <w:bCs/>
                <w:color w:val="auto"/>
                <w:sz w:val="32"/>
                <w:szCs w:val="32"/>
                <w:highlight w:val="none"/>
                <w:lang w:val="en-US" w:eastAsia="zh-CN"/>
              </w:rPr>
              <w:t>.</w:t>
            </w:r>
            <w:r>
              <w:rPr>
                <w:rFonts w:hint="eastAsia" w:ascii="仿宋_GB2312" w:hAnsi="仿宋_GB2312" w:eastAsia="仿宋_GB2312" w:cs="仿宋_GB2312"/>
                <w:b/>
                <w:bCs/>
                <w:color w:val="auto"/>
                <w:sz w:val="32"/>
                <w:szCs w:val="32"/>
                <w:highlight w:val="none"/>
                <w:lang w:val="en-US" w:eastAsia="zh-CN"/>
              </w:rPr>
              <w:t>后勤保障措施。</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（二）</w:t>
            </w:r>
            <w:r>
              <w:rPr>
                <w:rFonts w:hint="eastAsia" w:ascii="仿宋_GB2312" w:hAnsi="仿宋_GB2312" w:eastAsia="仿宋_GB2312" w:cs="仿宋_GB2312"/>
                <w:b/>
                <w:bCs/>
                <w:sz w:val="32"/>
                <w:szCs w:val="32"/>
                <w:highlight w:val="none"/>
                <w:lang w:eastAsia="zh-CN"/>
              </w:rPr>
              <w:t>评审</w:t>
            </w:r>
            <w:r>
              <w:rPr>
                <w:rFonts w:hint="eastAsia" w:ascii="仿宋_GB2312" w:hAnsi="仿宋_GB2312" w:eastAsia="仿宋_GB2312" w:cs="仿宋_GB2312"/>
                <w:b/>
                <w:bCs/>
                <w:sz w:val="32"/>
                <w:szCs w:val="32"/>
                <w:highlight w:val="none"/>
              </w:rPr>
              <w:t>依据：</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w:t>
            </w:r>
            <w:r>
              <w:rPr>
                <w:rFonts w:hint="eastAsia" w:ascii="仿宋_GB2312" w:hAnsi="仿宋_GB2312" w:cs="仿宋_GB2312"/>
                <w:sz w:val="32"/>
                <w:szCs w:val="32"/>
                <w:highlight w:val="none"/>
                <w:lang w:val="en-US" w:eastAsia="zh-CN"/>
              </w:rPr>
              <w:t>.</w:t>
            </w:r>
            <w:r>
              <w:rPr>
                <w:rFonts w:hint="eastAsia" w:ascii="仿宋_GB2312" w:hAnsi="仿宋_GB2312" w:eastAsia="仿宋_GB2312" w:cs="仿宋_GB2312"/>
                <w:sz w:val="32"/>
                <w:szCs w:val="32"/>
                <w:highlight w:val="none"/>
              </w:rPr>
              <w:t>每满足一项得1分，全部满足得</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分，全部不满足不得分。</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w:t>
            </w:r>
            <w:r>
              <w:rPr>
                <w:rFonts w:hint="eastAsia" w:ascii="仿宋_GB2312" w:hAnsi="仿宋_GB2312" w:cs="仿宋_GB2312"/>
                <w:sz w:val="32"/>
                <w:szCs w:val="32"/>
                <w:highlight w:val="none"/>
                <w:lang w:val="en-US" w:eastAsia="zh-CN"/>
              </w:rPr>
              <w:t>.</w:t>
            </w:r>
            <w:r>
              <w:rPr>
                <w:rFonts w:hint="eastAsia" w:ascii="仿宋_GB2312" w:hAnsi="仿宋_GB2312" w:eastAsia="仿宋_GB2312" w:cs="仿宋_GB2312"/>
                <w:sz w:val="32"/>
                <w:szCs w:val="32"/>
                <w:highlight w:val="none"/>
              </w:rPr>
              <w:t>在此基础上，由评审</w:t>
            </w:r>
            <w:r>
              <w:rPr>
                <w:rFonts w:hint="eastAsia" w:ascii="仿宋_GB2312" w:hAnsi="仿宋_GB2312" w:eastAsia="仿宋_GB2312" w:cs="仿宋_GB2312"/>
                <w:sz w:val="32"/>
                <w:szCs w:val="32"/>
                <w:highlight w:val="none"/>
                <w:lang w:eastAsia="zh-CN"/>
              </w:rPr>
              <w:t>小组</w:t>
            </w:r>
            <w:r>
              <w:rPr>
                <w:rFonts w:hint="eastAsia" w:ascii="仿宋_GB2312" w:hAnsi="仿宋_GB2312" w:eastAsia="仿宋_GB2312" w:cs="仿宋_GB2312"/>
                <w:sz w:val="32"/>
                <w:szCs w:val="32"/>
                <w:highlight w:val="none"/>
              </w:rPr>
              <w:t>进一步进行评价：</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（1）项目保障措施合理，可靠，针对性好，评审为优，</w:t>
            </w:r>
            <w:r>
              <w:rPr>
                <w:rFonts w:hint="eastAsia" w:ascii="仿宋_GB2312" w:hAnsi="仿宋_GB2312" w:eastAsia="仿宋_GB2312" w:cs="仿宋_GB2312"/>
                <w:sz w:val="32"/>
                <w:szCs w:val="32"/>
                <w:highlight w:val="none"/>
                <w:lang w:eastAsia="zh-CN"/>
              </w:rPr>
              <w:t>得</w:t>
            </w:r>
            <w:r>
              <w:rPr>
                <w:rFonts w:hint="eastAsia" w:ascii="仿宋_GB2312" w:hAnsi="仿宋_GB2312" w:eastAsia="仿宋_GB2312" w:cs="仿宋_GB2312"/>
                <w:sz w:val="32"/>
                <w:szCs w:val="32"/>
                <w:highlight w:val="none"/>
              </w:rPr>
              <w:t>7分；</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（2）项目保障措施比较合理，可靠，针对性</w:t>
            </w:r>
            <w:r>
              <w:rPr>
                <w:rFonts w:hint="eastAsia" w:ascii="仿宋_GB2312" w:hAnsi="仿宋_GB2312" w:cs="仿宋_GB2312"/>
                <w:sz w:val="32"/>
                <w:szCs w:val="32"/>
                <w:highlight w:val="none"/>
                <w:lang w:eastAsia="zh-CN"/>
              </w:rPr>
              <w:t>较</w:t>
            </w:r>
            <w:r>
              <w:rPr>
                <w:rFonts w:hint="eastAsia" w:ascii="仿宋_GB2312" w:hAnsi="仿宋_GB2312" w:eastAsia="仿宋_GB2312" w:cs="仿宋_GB2312"/>
                <w:sz w:val="32"/>
                <w:szCs w:val="32"/>
                <w:highlight w:val="none"/>
              </w:rPr>
              <w:t>好，项目服务的连续性和稳定性比较好，评审为良</w:t>
            </w:r>
            <w:r>
              <w:rPr>
                <w:rFonts w:hint="eastAsia" w:ascii="仿宋_GB2312" w:hAnsi="仿宋_GB2312" w:cs="仿宋_GB2312"/>
                <w:sz w:val="32"/>
                <w:szCs w:val="32"/>
                <w:highlight w:val="none"/>
                <w:lang w:eastAsia="zh-CN"/>
              </w:rPr>
              <w:t>，</w:t>
            </w:r>
            <w:r>
              <w:rPr>
                <w:rFonts w:hint="eastAsia" w:ascii="仿宋_GB2312" w:hAnsi="仿宋_GB2312" w:eastAsia="仿宋_GB2312" w:cs="仿宋_GB2312"/>
                <w:sz w:val="32"/>
                <w:szCs w:val="32"/>
                <w:highlight w:val="none"/>
                <w:lang w:eastAsia="zh-CN"/>
              </w:rPr>
              <w:t>得</w:t>
            </w:r>
            <w:r>
              <w:rPr>
                <w:rFonts w:hint="eastAsia" w:ascii="仿宋_GB2312" w:hAnsi="仿宋_GB2312" w:eastAsia="仿宋_GB2312" w:cs="仿宋_GB2312"/>
                <w:sz w:val="32"/>
                <w:szCs w:val="32"/>
                <w:highlight w:val="none"/>
              </w:rPr>
              <w:t>4分；</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（3）项目保障措施基本合理、可靠，项目服务的连续性和稳定性一般，评审为中，</w:t>
            </w:r>
            <w:r>
              <w:rPr>
                <w:rFonts w:hint="eastAsia" w:ascii="仿宋_GB2312" w:hAnsi="仿宋_GB2312" w:eastAsia="仿宋_GB2312" w:cs="仿宋_GB2312"/>
                <w:sz w:val="32"/>
                <w:szCs w:val="32"/>
                <w:highlight w:val="none"/>
                <w:lang w:eastAsia="zh-CN"/>
              </w:rPr>
              <w:t>得</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分；</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（4）项目保障措施不合理，项目服务的连续性和稳定性差，评审为差，不</w:t>
            </w:r>
            <w:r>
              <w:rPr>
                <w:rFonts w:hint="eastAsia" w:ascii="仿宋_GB2312" w:hAnsi="仿宋_GB2312" w:eastAsia="仿宋_GB2312" w:cs="仿宋_GB2312"/>
                <w:sz w:val="32"/>
                <w:szCs w:val="32"/>
                <w:highlight w:val="none"/>
                <w:lang w:eastAsia="zh-CN"/>
              </w:rPr>
              <w:t>得</w:t>
            </w:r>
            <w:r>
              <w:rPr>
                <w:rFonts w:hint="eastAsia" w:ascii="仿宋_GB2312" w:hAnsi="仿宋_GB2312" w:eastAsia="仿宋_GB2312" w:cs="仿宋_GB2312"/>
                <w:sz w:val="32"/>
                <w:szCs w:val="32"/>
                <w:highlight w:val="none"/>
              </w:rPr>
              <w:t>分。</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highlight w:val="none"/>
              </w:rPr>
              <w:t>以上累计得分，最高得10分。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84" w:type="dxa"/>
            <w:vMerge w:val="continue"/>
            <w:noWrap w:val="0"/>
            <w:vAlign w:val="top"/>
          </w:tcPr>
          <w:p>
            <w:pPr>
              <w:keepNext w:val="0"/>
              <w:keepLines w:val="0"/>
              <w:pageBreakBefore w:val="0"/>
              <w:widowControl w:val="0"/>
              <w:suppressLineNumbers w:val="0"/>
              <w:kinsoku/>
              <w:wordWrap/>
              <w:overflowPunct/>
              <w:autoSpaceDE/>
              <w:autoSpaceDN/>
              <w:bidi w:val="0"/>
              <w:adjustRightInd/>
              <w:spacing w:before="0" w:beforeAutospacing="0" w:after="0" w:afterAutospacing="0" w:line="440" w:lineRule="exact"/>
              <w:ind w:left="0" w:right="0"/>
              <w:jc w:val="left"/>
              <w:textAlignment w:val="auto"/>
              <w:rPr>
                <w:rFonts w:hint="eastAsia" w:ascii="仿宋_GB2312" w:hAnsi="仿宋_GB2312" w:eastAsia="仿宋_GB2312" w:cs="仿宋_GB2312"/>
                <w:sz w:val="32"/>
                <w:szCs w:val="32"/>
                <w:vertAlign w:val="baseline"/>
                <w:lang w:val="en-US" w:eastAsia="zh-CN"/>
              </w:rPr>
            </w:pPr>
          </w:p>
        </w:tc>
        <w:tc>
          <w:tcPr>
            <w:tcW w:w="1219" w:type="dxa"/>
            <w:noWrap w:val="0"/>
            <w:vAlign w:val="center"/>
          </w:tcPr>
          <w:p>
            <w:pPr>
              <w:keepNext w:val="0"/>
              <w:keepLines w:val="0"/>
              <w:pageBreakBefore w:val="0"/>
              <w:widowControl w:val="0"/>
              <w:suppressLineNumbers w:val="0"/>
              <w:kinsoku/>
              <w:wordWrap/>
              <w:overflowPunct/>
              <w:autoSpaceDE/>
              <w:autoSpaceDN/>
              <w:bidi w:val="0"/>
              <w:adjustRightInd/>
              <w:spacing w:before="0" w:beforeAutospacing="0" w:after="0" w:afterAutospacing="0" w:line="440" w:lineRule="exact"/>
              <w:ind w:left="0" w:leftChars="0" w:right="0" w:firstLine="0" w:firstLineChars="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拟安排的项目负责人（仅限一人）情况（10分）</w:t>
            </w:r>
          </w:p>
        </w:tc>
        <w:tc>
          <w:tcPr>
            <w:tcW w:w="6823" w:type="dxa"/>
            <w:noWrap w:val="0"/>
            <w:vAlign w:val="center"/>
          </w:tcPr>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（一）</w:t>
            </w:r>
            <w:r>
              <w:rPr>
                <w:rFonts w:hint="eastAsia" w:ascii="仿宋_GB2312" w:hAnsi="仿宋_GB2312" w:eastAsia="仿宋_GB2312" w:cs="仿宋_GB2312"/>
                <w:b/>
                <w:bCs/>
                <w:sz w:val="32"/>
                <w:szCs w:val="32"/>
                <w:highlight w:val="none"/>
                <w:lang w:eastAsia="zh-CN"/>
              </w:rPr>
              <w:t>评审</w:t>
            </w:r>
            <w:r>
              <w:rPr>
                <w:rFonts w:hint="eastAsia" w:ascii="仿宋_GB2312" w:hAnsi="仿宋_GB2312" w:eastAsia="仿宋_GB2312" w:cs="仿宋_GB2312"/>
                <w:b/>
                <w:bCs/>
                <w:sz w:val="32"/>
                <w:szCs w:val="32"/>
                <w:highlight w:val="none"/>
              </w:rPr>
              <w:t>内容：</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考察投标人拟安排的项目负责人情况：</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cs="仿宋_GB2312"/>
                <w:b/>
                <w:bCs/>
                <w:color w:val="auto"/>
                <w:sz w:val="32"/>
                <w:szCs w:val="32"/>
                <w:highlight w:val="none"/>
                <w:lang w:val="en-US" w:eastAsia="zh-CN"/>
              </w:rPr>
              <w:t>1.</w:t>
            </w:r>
            <w:r>
              <w:rPr>
                <w:rFonts w:hint="eastAsia" w:ascii="仿宋_GB2312" w:hAnsi="仿宋_GB2312" w:eastAsia="仿宋_GB2312" w:cs="仿宋_GB2312"/>
                <w:b/>
                <w:bCs/>
                <w:color w:val="auto"/>
                <w:sz w:val="32"/>
                <w:szCs w:val="32"/>
                <w:highlight w:val="none"/>
                <w:lang w:val="en-US" w:eastAsia="zh-CN"/>
              </w:rPr>
              <w:t>具有理工类专业学士</w:t>
            </w:r>
            <w:r>
              <w:rPr>
                <w:rFonts w:hint="eastAsia" w:ascii="仿宋_GB2312" w:hAnsi="仿宋_GB2312" w:cs="仿宋_GB2312"/>
                <w:b/>
                <w:bCs/>
                <w:color w:val="auto"/>
                <w:sz w:val="32"/>
                <w:szCs w:val="32"/>
                <w:highlight w:val="none"/>
                <w:lang w:val="en-US" w:eastAsia="zh-CN"/>
              </w:rPr>
              <w:t>及以上</w:t>
            </w:r>
            <w:r>
              <w:rPr>
                <w:rFonts w:hint="eastAsia" w:ascii="仿宋_GB2312" w:hAnsi="仿宋_GB2312" w:eastAsia="仿宋_GB2312" w:cs="仿宋_GB2312"/>
                <w:b/>
                <w:bCs/>
                <w:color w:val="auto"/>
                <w:sz w:val="32"/>
                <w:szCs w:val="32"/>
                <w:highlight w:val="none"/>
                <w:lang w:val="en-US" w:eastAsia="zh-CN"/>
              </w:rPr>
              <w:t>学位的，得2分，</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cs="仿宋_GB2312"/>
                <w:b/>
                <w:bCs/>
                <w:color w:val="auto"/>
                <w:sz w:val="32"/>
                <w:szCs w:val="32"/>
                <w:highlight w:val="none"/>
                <w:lang w:val="en-US" w:eastAsia="zh-CN"/>
              </w:rPr>
              <w:t>2.</w:t>
            </w:r>
            <w:r>
              <w:rPr>
                <w:rFonts w:hint="eastAsia" w:ascii="仿宋_GB2312" w:hAnsi="仿宋_GB2312" w:eastAsia="仿宋_GB2312" w:cs="仿宋_GB2312"/>
                <w:b/>
                <w:bCs/>
                <w:color w:val="auto"/>
                <w:sz w:val="32"/>
                <w:szCs w:val="32"/>
                <w:highlight w:val="none"/>
                <w:lang w:val="en-US" w:eastAsia="zh-CN"/>
              </w:rPr>
              <w:t>具有安全类专业副高级（或以上）职称证书的，得3分；</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cs="仿宋_GB2312"/>
                <w:b/>
                <w:bCs/>
                <w:color w:val="auto"/>
                <w:sz w:val="32"/>
                <w:szCs w:val="32"/>
                <w:highlight w:val="none"/>
                <w:lang w:val="en-US" w:eastAsia="zh-CN"/>
              </w:rPr>
              <w:t>3.</w:t>
            </w:r>
            <w:r>
              <w:rPr>
                <w:rFonts w:hint="eastAsia" w:ascii="仿宋_GB2312" w:hAnsi="仿宋_GB2312" w:eastAsia="仿宋_GB2312" w:cs="仿宋_GB2312"/>
                <w:b/>
                <w:bCs/>
                <w:color w:val="auto"/>
                <w:sz w:val="32"/>
                <w:szCs w:val="32"/>
                <w:highlight w:val="none"/>
                <w:lang w:val="en-US" w:eastAsia="zh-CN"/>
              </w:rPr>
              <w:t>具有</w:t>
            </w:r>
            <w:r>
              <w:rPr>
                <w:rFonts w:hint="eastAsia" w:ascii="仿宋_GB2312" w:hAnsi="仿宋_GB2312" w:cs="仿宋_GB2312"/>
                <w:b/>
                <w:bCs/>
                <w:color w:val="auto"/>
                <w:sz w:val="32"/>
                <w:szCs w:val="32"/>
                <w:highlight w:val="none"/>
                <w:lang w:val="en-US" w:eastAsia="zh-CN"/>
              </w:rPr>
              <w:t>中级</w:t>
            </w:r>
            <w:r>
              <w:rPr>
                <w:rFonts w:hint="eastAsia" w:ascii="仿宋_GB2312" w:hAnsi="仿宋_GB2312" w:eastAsia="仿宋_GB2312" w:cs="仿宋_GB2312"/>
                <w:b/>
                <w:bCs/>
                <w:color w:val="auto"/>
                <w:sz w:val="32"/>
                <w:szCs w:val="32"/>
                <w:highlight w:val="none"/>
                <w:lang w:val="en-US" w:eastAsia="zh-CN"/>
              </w:rPr>
              <w:t>注册安全工程师证书的，得2分；</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4</w:t>
            </w:r>
            <w:r>
              <w:rPr>
                <w:rFonts w:hint="eastAsia" w:ascii="仿宋_GB2312" w:hAnsi="仿宋_GB2312" w:cs="仿宋_GB2312"/>
                <w:b/>
                <w:bCs/>
                <w:color w:val="auto"/>
                <w:sz w:val="32"/>
                <w:szCs w:val="32"/>
                <w:highlight w:val="none"/>
                <w:lang w:val="en-US" w:eastAsia="zh-CN"/>
              </w:rPr>
              <w:t>.</w:t>
            </w:r>
            <w:r>
              <w:rPr>
                <w:rFonts w:hint="eastAsia" w:ascii="仿宋_GB2312" w:hAnsi="仿宋_GB2312" w:eastAsia="仿宋_GB2312" w:cs="仿宋_GB2312"/>
                <w:b/>
                <w:bCs/>
                <w:color w:val="auto"/>
                <w:sz w:val="32"/>
                <w:szCs w:val="32"/>
                <w:highlight w:val="none"/>
                <w:lang w:val="en-US" w:eastAsia="zh-CN"/>
              </w:rPr>
              <w:t>具有市级（或以上）政府部门颁发的有效期内的应急管理专家证书的，得2分；</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5</w:t>
            </w:r>
            <w:r>
              <w:rPr>
                <w:rFonts w:hint="eastAsia" w:ascii="仿宋_GB2312" w:hAnsi="仿宋_GB2312" w:cs="仿宋_GB2312"/>
                <w:b/>
                <w:bCs/>
                <w:color w:val="auto"/>
                <w:sz w:val="32"/>
                <w:szCs w:val="32"/>
                <w:highlight w:val="none"/>
                <w:lang w:val="en-US" w:eastAsia="zh-CN"/>
              </w:rPr>
              <w:t>.</w:t>
            </w:r>
            <w:r>
              <w:rPr>
                <w:rFonts w:hint="eastAsia" w:ascii="仿宋_GB2312" w:hAnsi="仿宋_GB2312" w:eastAsia="仿宋_GB2312" w:cs="仿宋_GB2312"/>
                <w:b/>
                <w:bCs/>
                <w:color w:val="auto"/>
                <w:sz w:val="32"/>
                <w:szCs w:val="32"/>
                <w:highlight w:val="none"/>
                <w:lang w:val="en-US" w:eastAsia="zh-CN"/>
              </w:rPr>
              <w:t>具有参编安全隐患排查类的国家或地方标准经历的，得1分；</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以上1-5项累计得分，最高得10分。</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（二）证明文件：</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评分内容1）提供学位证书扫描件，同时提供学信网（https://www.chsi.com.cn/）查询截图。学信网无法查询的，可提供其他佐证材料（如毕业院校、人社部门等颁发机构或监管机构等单位出具的学位证明）。留学归国人员如无法提供学信网查询记录截图，提供国（境）外学位证书扫描件（以及中文翻译件）和教育部留学服务中心出具的国外学位认证书扫描件或教育部留学服务中心网站（http://zwfw.cscse.edu.cn/）在线查询截图也予以认可；</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（评分内容2）提供①职称证书扫描件；②提供该证书在全国人力资源和社会保障政务服务平台（http://www.12333.gov.cn）官网查询结果截图。</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（评分内容3）①注册安全工程师证书扫描件；②全国专业技术人员职业资格证书查询验证系统（https://zs.cpta.com.cn/certMng）查询记录截图。</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（评分内容4）提供政府部门颁发的专家证书扫描件。</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（评分内容5）提供参编安全隐患排查类的国家或地方标准经历的证明材料（须体现项目负责人）作为佐证材料。</w:t>
            </w:r>
            <w:bookmarkStart w:id="1" w:name="_GoBack"/>
            <w:bookmarkEnd w:id="1"/>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要求提供通过投标人购买的项目负责人在投标截止之日前近三个月的社保证明及相关证明资料作为得分依据（如</w:t>
            </w:r>
            <w:r>
              <w:rPr>
                <w:rFonts w:hint="eastAsia" w:ascii="仿宋_GB2312" w:hAnsi="仿宋_GB2312" w:cs="仿宋_GB2312"/>
                <w:color w:val="auto"/>
                <w:sz w:val="32"/>
                <w:szCs w:val="32"/>
                <w:highlight w:val="none"/>
                <w:lang w:val="en-US" w:eastAsia="zh-CN"/>
              </w:rPr>
              <w:t>投标</w:t>
            </w:r>
            <w:r>
              <w:rPr>
                <w:rFonts w:hint="eastAsia" w:ascii="仿宋_GB2312" w:hAnsi="仿宋_GB2312" w:eastAsia="仿宋_GB2312" w:cs="仿宋_GB2312"/>
                <w:color w:val="auto"/>
                <w:sz w:val="32"/>
                <w:szCs w:val="32"/>
                <w:highlight w:val="none"/>
                <w:lang w:val="en-US" w:eastAsia="zh-CN"/>
              </w:rPr>
              <w:t>日上一个月的社保材料因社保部门原因暂时无法取得，则可以往前顺延一个月；若公司成立不足三个月的，则提供公司自成立之日起的社保证明）。</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以上证明材料不提供或提供不清晰导致无法判断的不得分。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84" w:type="dxa"/>
            <w:vMerge w:val="continue"/>
            <w:noWrap w:val="0"/>
            <w:vAlign w:val="top"/>
          </w:tcPr>
          <w:p>
            <w:pPr>
              <w:keepNext w:val="0"/>
              <w:keepLines w:val="0"/>
              <w:pageBreakBefore w:val="0"/>
              <w:widowControl w:val="0"/>
              <w:suppressLineNumbers w:val="0"/>
              <w:kinsoku/>
              <w:wordWrap/>
              <w:overflowPunct/>
              <w:autoSpaceDE/>
              <w:autoSpaceDN/>
              <w:bidi w:val="0"/>
              <w:adjustRightInd/>
              <w:spacing w:before="0" w:beforeAutospacing="0" w:after="0" w:afterAutospacing="0" w:line="440" w:lineRule="exact"/>
              <w:ind w:left="0" w:right="0"/>
              <w:jc w:val="left"/>
              <w:textAlignment w:val="auto"/>
              <w:rPr>
                <w:rFonts w:hint="eastAsia" w:ascii="仿宋_GB2312" w:hAnsi="仿宋_GB2312" w:eastAsia="仿宋_GB2312" w:cs="仿宋_GB2312"/>
                <w:sz w:val="32"/>
                <w:szCs w:val="32"/>
                <w:vertAlign w:val="baseline"/>
                <w:lang w:val="en-US" w:eastAsia="zh-CN"/>
              </w:rPr>
            </w:pPr>
          </w:p>
        </w:tc>
        <w:tc>
          <w:tcPr>
            <w:tcW w:w="1219" w:type="dxa"/>
            <w:noWrap w:val="0"/>
            <w:vAlign w:val="center"/>
          </w:tcPr>
          <w:p>
            <w:pPr>
              <w:keepNext w:val="0"/>
              <w:keepLines w:val="0"/>
              <w:pageBreakBefore w:val="0"/>
              <w:widowControl w:val="0"/>
              <w:suppressLineNumbers w:val="0"/>
              <w:kinsoku/>
              <w:wordWrap/>
              <w:overflowPunct/>
              <w:autoSpaceDE/>
              <w:autoSpaceDN/>
              <w:bidi w:val="0"/>
              <w:adjustRightInd/>
              <w:spacing w:before="0" w:beforeAutospacing="0" w:after="0" w:afterAutospacing="0" w:line="440" w:lineRule="exact"/>
              <w:ind w:left="0" w:leftChars="0" w:right="0" w:firstLine="0" w:firstLineChars="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拟安排的项目质量技术审核人（仅限一人）情况（5分）</w:t>
            </w:r>
          </w:p>
        </w:tc>
        <w:tc>
          <w:tcPr>
            <w:tcW w:w="6823" w:type="dxa"/>
            <w:noWrap w:val="0"/>
            <w:vAlign w:val="center"/>
          </w:tcPr>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（一）</w:t>
            </w:r>
            <w:r>
              <w:rPr>
                <w:rFonts w:hint="eastAsia" w:ascii="仿宋_GB2312" w:hAnsi="仿宋_GB2312" w:eastAsia="仿宋_GB2312" w:cs="仿宋_GB2312"/>
                <w:b/>
                <w:bCs/>
                <w:sz w:val="32"/>
                <w:szCs w:val="32"/>
                <w:highlight w:val="none"/>
                <w:lang w:eastAsia="zh-CN"/>
              </w:rPr>
              <w:t>评审</w:t>
            </w:r>
            <w:r>
              <w:rPr>
                <w:rFonts w:hint="eastAsia" w:ascii="仿宋_GB2312" w:hAnsi="仿宋_GB2312" w:eastAsia="仿宋_GB2312" w:cs="仿宋_GB2312"/>
                <w:b/>
                <w:bCs/>
                <w:sz w:val="32"/>
                <w:szCs w:val="32"/>
                <w:highlight w:val="none"/>
              </w:rPr>
              <w:t>内容：</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考察投标人拟安排的项目质量技术审核人情况：</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1</w:t>
            </w:r>
            <w:r>
              <w:rPr>
                <w:rFonts w:hint="eastAsia" w:ascii="仿宋_GB2312" w:hAnsi="仿宋_GB2312" w:cs="仿宋_GB2312"/>
                <w:b/>
                <w:bCs/>
                <w:color w:val="auto"/>
                <w:sz w:val="32"/>
                <w:szCs w:val="32"/>
                <w:highlight w:val="none"/>
                <w:lang w:val="en-US" w:eastAsia="zh-CN"/>
              </w:rPr>
              <w:t>.</w:t>
            </w:r>
            <w:r>
              <w:rPr>
                <w:rFonts w:hint="eastAsia" w:ascii="仿宋_GB2312" w:hAnsi="仿宋_GB2312" w:eastAsia="仿宋_GB2312" w:cs="仿宋_GB2312"/>
                <w:b/>
                <w:bCs/>
                <w:color w:val="auto"/>
                <w:sz w:val="32"/>
                <w:szCs w:val="32"/>
                <w:highlight w:val="none"/>
                <w:lang w:val="en-US" w:eastAsia="zh-CN"/>
              </w:rPr>
              <w:t>具有理工类专业学士（或以上）学位的，得2分；</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2</w:t>
            </w:r>
            <w:r>
              <w:rPr>
                <w:rFonts w:hint="eastAsia" w:ascii="仿宋_GB2312" w:hAnsi="仿宋_GB2312" w:cs="仿宋_GB2312"/>
                <w:b/>
                <w:bCs/>
                <w:color w:val="auto"/>
                <w:sz w:val="32"/>
                <w:szCs w:val="32"/>
                <w:highlight w:val="none"/>
                <w:lang w:val="en-US" w:eastAsia="zh-CN"/>
              </w:rPr>
              <w:t>.</w:t>
            </w:r>
            <w:r>
              <w:rPr>
                <w:rFonts w:hint="eastAsia" w:ascii="仿宋_GB2312" w:hAnsi="仿宋_GB2312" w:eastAsia="仿宋_GB2312" w:cs="仿宋_GB2312"/>
                <w:b/>
                <w:bCs/>
                <w:color w:val="auto"/>
                <w:sz w:val="32"/>
                <w:szCs w:val="32"/>
                <w:highlight w:val="none"/>
                <w:lang w:val="en-US" w:eastAsia="zh-CN"/>
              </w:rPr>
              <w:t>具有</w:t>
            </w:r>
            <w:r>
              <w:rPr>
                <w:rFonts w:hint="eastAsia" w:ascii="仿宋_GB2312" w:hAnsi="仿宋_GB2312" w:cs="仿宋_GB2312"/>
                <w:b/>
                <w:bCs/>
                <w:color w:val="auto"/>
                <w:sz w:val="32"/>
                <w:szCs w:val="32"/>
                <w:highlight w:val="none"/>
                <w:lang w:val="en-US" w:eastAsia="zh-CN"/>
              </w:rPr>
              <w:t>中级</w:t>
            </w:r>
            <w:r>
              <w:rPr>
                <w:rFonts w:hint="eastAsia" w:ascii="仿宋_GB2312" w:hAnsi="仿宋_GB2312" w:eastAsia="仿宋_GB2312" w:cs="仿宋_GB2312"/>
                <w:b/>
                <w:bCs/>
                <w:color w:val="auto"/>
                <w:sz w:val="32"/>
                <w:szCs w:val="32"/>
                <w:highlight w:val="none"/>
                <w:lang w:val="en-US" w:eastAsia="zh-CN"/>
              </w:rPr>
              <w:t>注册安全工程师证书，得2分；</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3</w:t>
            </w:r>
            <w:r>
              <w:rPr>
                <w:rFonts w:hint="eastAsia" w:ascii="仿宋_GB2312" w:hAnsi="仿宋_GB2312" w:cs="仿宋_GB2312"/>
                <w:b/>
                <w:bCs/>
                <w:color w:val="auto"/>
                <w:sz w:val="32"/>
                <w:szCs w:val="32"/>
                <w:highlight w:val="none"/>
                <w:lang w:val="en-US" w:eastAsia="zh-CN"/>
              </w:rPr>
              <w:t>.</w:t>
            </w:r>
            <w:r>
              <w:rPr>
                <w:rFonts w:hint="eastAsia" w:ascii="仿宋_GB2312" w:hAnsi="仿宋_GB2312" w:eastAsia="仿宋_GB2312" w:cs="仿宋_GB2312"/>
                <w:b/>
                <w:bCs/>
                <w:color w:val="auto"/>
                <w:sz w:val="32"/>
                <w:szCs w:val="32"/>
                <w:highlight w:val="none"/>
                <w:lang w:val="en-US" w:eastAsia="zh-CN"/>
              </w:rPr>
              <w:t>具有安全评价师职业资格证书的（含原国家职业资格证书或现行职业技能等级证书），得1分；</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以上1-3项累计得分，最高得5分。</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（二）证明文件：</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w:t>
            </w:r>
            <w:r>
              <w:rPr>
                <w:rFonts w:hint="eastAsia" w:ascii="仿宋_GB2312" w:hAnsi="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val="en-US" w:eastAsia="zh-CN"/>
              </w:rPr>
              <w:t>（评分内容1）提供学位证书扫描件，同时提供学信网（https://www.chsi.com.cn/）查询截图。学信网无法查询的，可提供其他佐证材料（如毕业院校、人社部门等颁发机构或监管机构等单位出具的学位证明）。留学归国人员如无法提供学信网查询记录截图，提供国（境）外学位证书扫描件（以及中文翻译件）和教育部留学服务中心出具的国外学位认证书扫描件或教育部留学服务中心网站（http://zwfw.cscse.edu.cn/）在线查询截图也予以认可；</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2</w:t>
            </w:r>
            <w:r>
              <w:rPr>
                <w:rFonts w:hint="eastAsia" w:ascii="仿宋_GB2312" w:hAnsi="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val="en-US" w:eastAsia="zh-CN"/>
              </w:rPr>
              <w:t>（评分内容2）提供①注册安全工程师证书扫描件；②全国专业技术人员职业资格证书查询验证系统（https://zs.cpta.com.cn/certMng）查询记录截图。</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3</w:t>
            </w:r>
            <w:r>
              <w:rPr>
                <w:rFonts w:hint="eastAsia" w:ascii="仿宋_GB2312" w:hAnsi="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val="en-US" w:eastAsia="zh-CN"/>
              </w:rPr>
              <w:t>（评分内容3）提供①安全评价师证书扫描件；②人力资源和社会保障部技能人才评价证书全国联网查询平台（http://zscx.osta.org.cn/）中的查询记录截图。</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4</w:t>
            </w:r>
            <w:r>
              <w:rPr>
                <w:rFonts w:hint="eastAsia" w:ascii="仿宋_GB2312" w:hAnsi="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val="en-US" w:eastAsia="zh-CN"/>
              </w:rPr>
              <w:t>要求提供通过投标人购买的项目负责人在投标截止之日前近三个月的社保证明及相关证明资料作为得分依据（如</w:t>
            </w:r>
            <w:r>
              <w:rPr>
                <w:rFonts w:hint="eastAsia" w:ascii="仿宋_GB2312" w:hAnsi="仿宋_GB2312" w:cs="仿宋_GB2312"/>
                <w:b w:val="0"/>
                <w:bCs w:val="0"/>
                <w:color w:val="auto"/>
                <w:sz w:val="32"/>
                <w:szCs w:val="32"/>
                <w:highlight w:val="none"/>
                <w:lang w:val="en-US" w:eastAsia="zh-CN"/>
              </w:rPr>
              <w:t>投标</w:t>
            </w:r>
            <w:r>
              <w:rPr>
                <w:rFonts w:hint="eastAsia" w:ascii="仿宋_GB2312" w:hAnsi="仿宋_GB2312" w:eastAsia="仿宋_GB2312" w:cs="仿宋_GB2312"/>
                <w:b w:val="0"/>
                <w:bCs w:val="0"/>
                <w:color w:val="auto"/>
                <w:sz w:val="32"/>
                <w:szCs w:val="32"/>
                <w:highlight w:val="none"/>
                <w:lang w:val="en-US" w:eastAsia="zh-CN"/>
              </w:rPr>
              <w:t>日上一个月的社保材料因社保部门原因暂时无法取得，则可以往前顺延一个月；若公司成立不足三个月的，则提供公司自成立之日起的社保证明）。</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5</w:t>
            </w:r>
            <w:r>
              <w:rPr>
                <w:rFonts w:hint="eastAsia" w:ascii="仿宋_GB2312" w:hAnsi="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val="en-US" w:eastAsia="zh-CN"/>
              </w:rPr>
              <w:t>以上证明材料均要求提供扫描件，原件备查，不提供或提供不清晰导致无法判断的不得分。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7" w:hRule="atLeast"/>
          <w:jc w:val="center"/>
        </w:trPr>
        <w:tc>
          <w:tcPr>
            <w:tcW w:w="1384" w:type="dxa"/>
            <w:vMerge w:val="continue"/>
            <w:noWrap w:val="0"/>
            <w:vAlign w:val="top"/>
          </w:tcPr>
          <w:p>
            <w:pPr>
              <w:keepNext w:val="0"/>
              <w:keepLines w:val="0"/>
              <w:pageBreakBefore w:val="0"/>
              <w:widowControl w:val="0"/>
              <w:suppressLineNumbers w:val="0"/>
              <w:kinsoku/>
              <w:wordWrap/>
              <w:overflowPunct/>
              <w:autoSpaceDE/>
              <w:autoSpaceDN/>
              <w:bidi w:val="0"/>
              <w:adjustRightInd/>
              <w:spacing w:before="0" w:beforeAutospacing="0" w:after="0" w:afterAutospacing="0" w:line="440" w:lineRule="exact"/>
              <w:ind w:left="0" w:right="0"/>
              <w:jc w:val="left"/>
              <w:textAlignment w:val="auto"/>
              <w:rPr>
                <w:rFonts w:hint="eastAsia" w:ascii="仿宋_GB2312" w:hAnsi="仿宋_GB2312" w:eastAsia="仿宋_GB2312" w:cs="仿宋_GB2312"/>
                <w:sz w:val="32"/>
                <w:szCs w:val="32"/>
                <w:vertAlign w:val="baseline"/>
                <w:lang w:val="en-US" w:eastAsia="zh-CN"/>
              </w:rPr>
            </w:pPr>
          </w:p>
        </w:tc>
        <w:tc>
          <w:tcPr>
            <w:tcW w:w="1219" w:type="dxa"/>
            <w:noWrap w:val="0"/>
            <w:vAlign w:val="center"/>
          </w:tcPr>
          <w:p>
            <w:pPr>
              <w:keepNext w:val="0"/>
              <w:keepLines w:val="0"/>
              <w:pageBreakBefore w:val="0"/>
              <w:widowControl w:val="0"/>
              <w:suppressLineNumbers w:val="0"/>
              <w:kinsoku/>
              <w:wordWrap/>
              <w:overflowPunct/>
              <w:autoSpaceDE/>
              <w:autoSpaceDN/>
              <w:bidi w:val="0"/>
              <w:adjustRightInd/>
              <w:spacing w:before="0" w:beforeAutospacing="0" w:after="0" w:afterAutospacing="0" w:line="440" w:lineRule="exact"/>
              <w:ind w:left="0" w:leftChars="0" w:right="0" w:firstLine="0" w:firstLineChars="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驻点服务</w:t>
            </w:r>
            <w:r>
              <w:rPr>
                <w:rFonts w:hint="eastAsia" w:ascii="仿宋_GB2312" w:hAnsi="仿宋_GB2312" w:eastAsia="仿宋_GB2312" w:cs="仿宋_GB2312"/>
                <w:sz w:val="32"/>
                <w:szCs w:val="32"/>
                <w:lang w:val="en-US" w:eastAsia="zh-CN"/>
              </w:rPr>
              <w:t>（</w:t>
            </w:r>
            <w:r>
              <w:rPr>
                <w:rFonts w:hint="default" w:ascii="仿宋_GB2312" w:hAnsi="仿宋_GB2312" w:cs="仿宋_GB2312"/>
                <w:sz w:val="32"/>
                <w:szCs w:val="32"/>
                <w:lang w:val="en-US" w:eastAsia="zh-CN"/>
              </w:rPr>
              <w:t>6</w:t>
            </w:r>
            <w:r>
              <w:rPr>
                <w:rFonts w:hint="eastAsia" w:ascii="仿宋_GB2312" w:hAnsi="仿宋_GB2312" w:eastAsia="仿宋_GB2312" w:cs="仿宋_GB2312"/>
                <w:sz w:val="32"/>
                <w:szCs w:val="32"/>
                <w:lang w:val="en-US" w:eastAsia="zh-CN"/>
              </w:rPr>
              <w:t>分）</w:t>
            </w:r>
          </w:p>
        </w:tc>
        <w:tc>
          <w:tcPr>
            <w:tcW w:w="6823" w:type="dxa"/>
            <w:noWrap w:val="0"/>
            <w:vAlign w:val="center"/>
          </w:tcPr>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（一）评审内容：</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投标人承诺提供</w:t>
            </w:r>
            <w:r>
              <w:rPr>
                <w:rFonts w:hint="eastAsia" w:ascii="仿宋_GB2312" w:hAnsi="仿宋_GB2312" w:cs="仿宋_GB2312"/>
                <w:b w:val="0"/>
                <w:bCs w:val="0"/>
                <w:color w:val="auto"/>
                <w:sz w:val="32"/>
                <w:szCs w:val="32"/>
                <w:highlight w:val="none"/>
                <w:lang w:val="en-US" w:eastAsia="zh-CN"/>
              </w:rPr>
              <w:t>2</w:t>
            </w:r>
            <w:r>
              <w:rPr>
                <w:rFonts w:hint="eastAsia" w:ascii="仿宋_GB2312" w:hAnsi="仿宋_GB2312" w:eastAsia="仿宋_GB2312" w:cs="仿宋_GB2312"/>
                <w:b w:val="0"/>
                <w:bCs w:val="0"/>
                <w:color w:val="auto"/>
                <w:sz w:val="32"/>
                <w:szCs w:val="32"/>
                <w:highlight w:val="none"/>
                <w:lang w:val="en-US" w:eastAsia="zh-CN"/>
              </w:rPr>
              <w:t>名专职驻点</w:t>
            </w:r>
            <w:r>
              <w:rPr>
                <w:rFonts w:hint="eastAsia" w:ascii="仿宋_GB2312" w:hAnsi="仿宋_GB2312" w:cs="仿宋_GB2312"/>
                <w:b w:val="0"/>
                <w:bCs w:val="0"/>
                <w:color w:val="auto"/>
                <w:sz w:val="32"/>
                <w:szCs w:val="32"/>
                <w:highlight w:val="none"/>
                <w:lang w:val="en-US" w:eastAsia="zh-CN"/>
              </w:rPr>
              <w:t>技术骨干，且具备中级注册安全工程师证书或一级注册消防工程师证书，</w:t>
            </w:r>
            <w:r>
              <w:rPr>
                <w:rFonts w:hint="eastAsia" w:ascii="仿宋_GB2312" w:hAnsi="仿宋_GB2312" w:eastAsia="仿宋_GB2312" w:cs="仿宋_GB2312"/>
                <w:b w:val="0"/>
                <w:bCs w:val="0"/>
                <w:color w:val="auto"/>
                <w:sz w:val="32"/>
                <w:szCs w:val="32"/>
                <w:highlight w:val="none"/>
                <w:lang w:val="en-US" w:eastAsia="zh-CN"/>
              </w:rPr>
              <w:t>得</w:t>
            </w:r>
            <w:r>
              <w:rPr>
                <w:rFonts w:hint="eastAsia" w:ascii="仿宋_GB2312" w:hAnsi="仿宋_GB2312" w:cs="仿宋_GB2312"/>
                <w:b w:val="0"/>
                <w:bCs w:val="0"/>
                <w:color w:val="auto"/>
                <w:sz w:val="32"/>
                <w:szCs w:val="32"/>
                <w:highlight w:val="none"/>
                <w:lang w:val="en-US" w:eastAsia="zh-CN"/>
              </w:rPr>
              <w:t>6</w:t>
            </w:r>
            <w:r>
              <w:rPr>
                <w:rFonts w:hint="eastAsia" w:ascii="仿宋_GB2312" w:hAnsi="仿宋_GB2312" w:eastAsia="仿宋_GB2312" w:cs="仿宋_GB2312"/>
                <w:b w:val="0"/>
                <w:bCs w:val="0"/>
                <w:color w:val="auto"/>
                <w:sz w:val="32"/>
                <w:szCs w:val="32"/>
                <w:highlight w:val="none"/>
                <w:lang w:val="en-US" w:eastAsia="zh-CN"/>
              </w:rPr>
              <w:t>分；</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leftChars="0" w:right="0" w:firstLine="0" w:firstLineChars="0"/>
              <w:jc w:val="lef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lang w:eastAsia="zh-CN"/>
              </w:rPr>
              <w:t>）评审依据：</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提供《承诺函》并盖公章，格式自拟。不提供不得分。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6" w:hRule="atLeast"/>
          <w:jc w:val="center"/>
        </w:trPr>
        <w:tc>
          <w:tcPr>
            <w:tcW w:w="1384" w:type="dxa"/>
            <w:vMerge w:val="restart"/>
            <w:noWrap w:val="0"/>
            <w:vAlign w:val="center"/>
          </w:tcPr>
          <w:p>
            <w:pPr>
              <w:keepNext w:val="0"/>
              <w:keepLines w:val="0"/>
              <w:pageBreakBefore w:val="0"/>
              <w:widowControl w:val="0"/>
              <w:suppressLineNumbers w:val="0"/>
              <w:kinsoku/>
              <w:wordWrap/>
              <w:overflowPunct/>
              <w:autoSpaceDE/>
              <w:autoSpaceDN/>
              <w:bidi w:val="0"/>
              <w:adjustRightInd/>
              <w:spacing w:before="0" w:beforeAutospacing="0" w:after="0" w:afterAutospacing="0" w:line="440" w:lineRule="exact"/>
              <w:ind w:left="0" w:leftChars="0" w:right="0" w:firstLine="0" w:firstLineChars="0"/>
              <w:jc w:val="left"/>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cs="仿宋_GB2312"/>
                <w:sz w:val="32"/>
                <w:szCs w:val="32"/>
                <w:vertAlign w:val="baseline"/>
                <w:lang w:val="en-US" w:eastAsia="zh-CN"/>
              </w:rPr>
              <w:t>商务</w:t>
            </w:r>
            <w:r>
              <w:rPr>
                <w:rFonts w:hint="eastAsia" w:ascii="仿宋_GB2312" w:hAnsi="仿宋_GB2312" w:eastAsia="仿宋_GB2312" w:cs="仿宋_GB2312"/>
                <w:sz w:val="32"/>
                <w:szCs w:val="32"/>
                <w:vertAlign w:val="baseline"/>
                <w:lang w:val="en-US" w:eastAsia="zh-CN"/>
              </w:rPr>
              <w:t>部分（</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cs="仿宋_GB2312"/>
                <w:color w:val="auto"/>
                <w:sz w:val="32"/>
                <w:szCs w:val="32"/>
                <w:highlight w:val="none"/>
                <w:lang w:val="en-US" w:eastAsia="zh-CN"/>
              </w:rPr>
              <w:t>5</w:t>
            </w:r>
            <w:r>
              <w:rPr>
                <w:rFonts w:hint="eastAsia" w:ascii="仿宋_GB2312" w:hAnsi="仿宋_GB2312" w:eastAsia="仿宋_GB2312" w:cs="仿宋_GB2312"/>
                <w:sz w:val="32"/>
                <w:szCs w:val="32"/>
                <w:vertAlign w:val="baseline"/>
                <w:lang w:val="en-US" w:eastAsia="zh-CN"/>
              </w:rPr>
              <w:t>分）</w:t>
            </w:r>
          </w:p>
        </w:tc>
        <w:tc>
          <w:tcPr>
            <w:tcW w:w="1219" w:type="dxa"/>
            <w:noWrap w:val="0"/>
            <w:vAlign w:val="center"/>
          </w:tcPr>
          <w:p>
            <w:pPr>
              <w:keepNext w:val="0"/>
              <w:keepLines w:val="0"/>
              <w:pageBreakBefore w:val="0"/>
              <w:widowControl w:val="0"/>
              <w:suppressLineNumbers w:val="0"/>
              <w:kinsoku/>
              <w:wordWrap/>
              <w:overflowPunct/>
              <w:autoSpaceDE/>
              <w:autoSpaceDN/>
              <w:bidi w:val="0"/>
              <w:adjustRightInd/>
              <w:spacing w:before="0" w:beforeAutospacing="0" w:after="0" w:afterAutospacing="0" w:line="440" w:lineRule="exact"/>
              <w:ind w:left="0" w:leftChars="0" w:right="0" w:firstLine="0" w:firstLineChars="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vertAlign w:val="baseline"/>
                <w:lang w:val="en-US" w:eastAsia="zh-CN"/>
              </w:rPr>
              <w:t>同类项目业绩（</w:t>
            </w:r>
            <w:r>
              <w:rPr>
                <w:rFonts w:hint="eastAsia" w:ascii="仿宋_GB2312" w:hAnsi="仿宋_GB2312" w:cs="仿宋_GB2312"/>
                <w:color w:val="auto"/>
                <w:sz w:val="32"/>
                <w:szCs w:val="32"/>
                <w:highlight w:val="none"/>
                <w:lang w:val="en-US" w:eastAsia="zh-CN"/>
              </w:rPr>
              <w:t>20</w:t>
            </w:r>
            <w:r>
              <w:rPr>
                <w:rFonts w:hint="eastAsia" w:ascii="仿宋_GB2312" w:hAnsi="仿宋_GB2312" w:eastAsia="仿宋_GB2312" w:cs="仿宋_GB2312"/>
                <w:sz w:val="32"/>
                <w:szCs w:val="32"/>
                <w:vertAlign w:val="baseline"/>
                <w:lang w:val="en-US" w:eastAsia="zh-CN"/>
              </w:rPr>
              <w:t>分）</w:t>
            </w:r>
          </w:p>
        </w:tc>
        <w:tc>
          <w:tcPr>
            <w:tcW w:w="6823" w:type="dxa"/>
            <w:noWrap w:val="0"/>
            <w:vAlign w:val="top"/>
          </w:tcPr>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w:t>
            </w:r>
            <w:r>
              <w:rPr>
                <w:rFonts w:hint="eastAsia" w:ascii="仿宋_GB2312" w:hAnsi="仿宋_GB2312" w:eastAsia="仿宋_GB2312" w:cs="仿宋_GB2312"/>
                <w:b/>
                <w:bCs/>
                <w:sz w:val="32"/>
                <w:szCs w:val="32"/>
                <w:lang w:eastAsia="zh-CN"/>
              </w:rPr>
              <w:t>评审</w:t>
            </w:r>
            <w:r>
              <w:rPr>
                <w:rFonts w:hint="eastAsia" w:ascii="仿宋_GB2312" w:hAnsi="仿宋_GB2312" w:eastAsia="仿宋_GB2312" w:cs="仿宋_GB2312"/>
                <w:b/>
                <w:bCs/>
                <w:sz w:val="32"/>
                <w:szCs w:val="32"/>
              </w:rPr>
              <w:t>内容：</w:t>
            </w:r>
          </w:p>
          <w:p>
            <w:pPr>
              <w:keepNext w:val="0"/>
              <w:keepLines w:val="0"/>
              <w:pageBreakBefore w:val="0"/>
              <w:widowControl w:val="0"/>
              <w:suppressLineNumbers w:val="0"/>
              <w:kinsoku/>
              <w:wordWrap/>
              <w:overflowPunct/>
              <w:autoSpaceDE/>
              <w:autoSpaceDN/>
              <w:bidi w:val="0"/>
              <w:adjustRightInd/>
              <w:snapToGrid/>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考察投标人同类业绩情况：</w:t>
            </w:r>
          </w:p>
          <w:p>
            <w:pPr>
              <w:keepNext w:val="0"/>
              <w:keepLines w:val="0"/>
              <w:pageBreakBefore w:val="0"/>
              <w:widowControl w:val="0"/>
              <w:suppressLineNumbers w:val="0"/>
              <w:kinsoku/>
              <w:wordWrap/>
              <w:overflowPunct/>
              <w:autoSpaceDE/>
              <w:autoSpaceDN/>
              <w:bidi w:val="0"/>
              <w:adjustRightInd/>
              <w:snapToGrid/>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1.基础业绩：2021年1月1日以来（以合同签订日期为准，投标人具有安全生产检查/安全技术服务业绩的，每提供一项得2分，本小项最高分为10分。</w:t>
            </w:r>
          </w:p>
          <w:p>
            <w:pPr>
              <w:keepNext w:val="0"/>
              <w:keepLines w:val="0"/>
              <w:pageBreakBefore w:val="0"/>
              <w:widowControl w:val="0"/>
              <w:suppressLineNumbers w:val="0"/>
              <w:kinsoku/>
              <w:wordWrap/>
              <w:overflowPunct/>
              <w:autoSpaceDE/>
              <w:autoSpaceDN/>
              <w:bidi w:val="0"/>
              <w:adjustRightInd/>
              <w:snapToGrid/>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2.额外加分：在上述基础业绩中，项目服务对象为养老机构/养老服务场所的，每提供一项得</w:t>
            </w:r>
            <w:r>
              <w:rPr>
                <w:rFonts w:hint="eastAsia" w:ascii="仿宋_GB2312" w:hAnsi="仿宋_GB2312" w:cs="仿宋_GB2312"/>
                <w:sz w:val="32"/>
                <w:szCs w:val="32"/>
                <w:lang w:val="en-US" w:eastAsia="zh-CN"/>
              </w:rPr>
              <w:t>2</w:t>
            </w:r>
            <w:r>
              <w:rPr>
                <w:rFonts w:hint="eastAsia" w:ascii="仿宋_GB2312" w:hAnsi="仿宋_GB2312" w:eastAsia="仿宋_GB2312" w:cs="仿宋_GB2312"/>
                <w:sz w:val="32"/>
                <w:szCs w:val="32"/>
                <w:lang w:eastAsia="zh-CN"/>
              </w:rPr>
              <w:t>分，本小项最高分为</w:t>
            </w:r>
            <w:r>
              <w:rPr>
                <w:rFonts w:hint="eastAsia" w:ascii="仿宋_GB2312" w:hAnsi="仿宋_GB2312" w:cs="仿宋_GB2312"/>
                <w:sz w:val="32"/>
                <w:szCs w:val="32"/>
                <w:lang w:val="en-US" w:eastAsia="zh-CN"/>
              </w:rPr>
              <w:t>10</w:t>
            </w:r>
            <w:r>
              <w:rPr>
                <w:rFonts w:hint="eastAsia" w:ascii="仿宋_GB2312" w:hAnsi="仿宋_GB2312" w:eastAsia="仿宋_GB2312" w:cs="仿宋_GB2312"/>
                <w:sz w:val="32"/>
                <w:szCs w:val="32"/>
                <w:lang w:eastAsia="zh-CN"/>
              </w:rPr>
              <w:t>分。</w:t>
            </w:r>
          </w:p>
          <w:p>
            <w:pPr>
              <w:keepNext w:val="0"/>
              <w:keepLines w:val="0"/>
              <w:pageBreakBefore w:val="0"/>
              <w:widowControl w:val="0"/>
              <w:suppressLineNumbers w:val="0"/>
              <w:kinsoku/>
              <w:wordWrap/>
              <w:overflowPunct/>
              <w:autoSpaceDE/>
              <w:autoSpaceDN/>
              <w:bidi w:val="0"/>
              <w:adjustRightInd/>
              <w:snapToGrid/>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同一项目同时满足上述1-2项规定的，累计计分；同一项目不重复提交，两小项累计最高分不超过</w:t>
            </w:r>
            <w:r>
              <w:rPr>
                <w:rFonts w:hint="eastAsia" w:ascii="仿宋_GB2312" w:hAnsi="仿宋_GB2312" w:cs="仿宋_GB2312"/>
                <w:sz w:val="32"/>
                <w:szCs w:val="32"/>
                <w:lang w:val="en-US" w:eastAsia="zh-CN"/>
              </w:rPr>
              <w:t>20</w:t>
            </w:r>
            <w:r>
              <w:rPr>
                <w:rFonts w:hint="eastAsia" w:ascii="仿宋_GB2312" w:hAnsi="仿宋_GB2312" w:eastAsia="仿宋_GB2312" w:cs="仿宋_GB2312"/>
                <w:sz w:val="32"/>
                <w:szCs w:val="32"/>
                <w:lang w:eastAsia="zh-CN"/>
              </w:rPr>
              <w:t>分。</w:t>
            </w:r>
          </w:p>
          <w:p>
            <w:pPr>
              <w:keepNext w:val="0"/>
              <w:keepLines w:val="0"/>
              <w:pageBreakBefore w:val="0"/>
              <w:widowControl w:val="0"/>
              <w:suppressLineNumbers w:val="0"/>
              <w:kinsoku/>
              <w:wordWrap/>
              <w:overflowPunct/>
              <w:autoSpaceDE/>
              <w:autoSpaceDN/>
              <w:bidi w:val="0"/>
              <w:adjustRightInd/>
              <w:snapToGrid/>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w:t>
            </w:r>
            <w:r>
              <w:rPr>
                <w:rFonts w:hint="eastAsia" w:ascii="仿宋_GB2312" w:hAnsi="仿宋_GB2312" w:eastAsia="仿宋_GB2312" w:cs="仿宋_GB2312"/>
                <w:b/>
                <w:bCs/>
                <w:sz w:val="32"/>
                <w:szCs w:val="32"/>
                <w:lang w:eastAsia="zh-CN"/>
              </w:rPr>
              <w:t>证明文件</w:t>
            </w:r>
            <w:r>
              <w:rPr>
                <w:rFonts w:hint="eastAsia" w:ascii="仿宋_GB2312" w:hAnsi="仿宋_GB2312" w:eastAsia="仿宋_GB2312" w:cs="仿宋_GB2312"/>
                <w:b/>
                <w:bCs/>
                <w:sz w:val="32"/>
                <w:szCs w:val="32"/>
              </w:rPr>
              <w:t>：</w:t>
            </w:r>
          </w:p>
          <w:p>
            <w:pPr>
              <w:keepNext w:val="0"/>
              <w:keepLines w:val="0"/>
              <w:pageBreakBefore w:val="0"/>
              <w:widowControl w:val="0"/>
              <w:suppressLineNumbers w:val="0"/>
              <w:kinsoku/>
              <w:wordWrap/>
              <w:overflowPunct/>
              <w:autoSpaceDE/>
              <w:autoSpaceDN/>
              <w:bidi w:val="0"/>
              <w:adjustRightInd/>
              <w:snapToGrid/>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投标人提供的每项业绩需按以下要求提供完整准确的证明文件，如未按以下要求提供完整证明文件的业绩不计分，一年一签的长期服务续签合同只计算一个业绩：</w:t>
            </w:r>
          </w:p>
          <w:p>
            <w:pPr>
              <w:keepNext w:val="0"/>
              <w:keepLines w:val="0"/>
              <w:pageBreakBefore w:val="0"/>
              <w:widowControl w:val="0"/>
              <w:suppressLineNumbers w:val="0"/>
              <w:kinsoku/>
              <w:wordWrap/>
              <w:overflowPunct/>
              <w:autoSpaceDE/>
              <w:autoSpaceDN/>
              <w:bidi w:val="0"/>
              <w:adjustRightInd/>
              <w:snapToGrid/>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合同关键页（关键信息包括但不仅限于合同的项目名称、服务内容、签订日期、合同双方签字盖章）</w:t>
            </w:r>
            <w:r>
              <w:rPr>
                <w:rFonts w:hint="eastAsia" w:ascii="仿宋_GB2312" w:hAnsi="仿宋_GB2312" w:cs="仿宋_GB2312"/>
                <w:color w:val="auto"/>
                <w:sz w:val="32"/>
                <w:szCs w:val="32"/>
                <w:highlight w:val="none"/>
                <w:lang w:val="en-US" w:eastAsia="zh-CN"/>
              </w:rPr>
              <w:t>、合同甲方的履约评价</w:t>
            </w:r>
            <w:r>
              <w:rPr>
                <w:rFonts w:hint="eastAsia" w:ascii="仿宋_GB2312" w:hAnsi="仿宋_GB2312" w:eastAsia="仿宋_GB2312" w:cs="仿宋_GB2312"/>
                <w:color w:val="auto"/>
                <w:sz w:val="32"/>
                <w:szCs w:val="32"/>
                <w:highlight w:val="none"/>
                <w:lang w:val="en-US" w:eastAsia="zh-CN"/>
              </w:rPr>
              <w:t>；</w:t>
            </w:r>
          </w:p>
          <w:p>
            <w:pPr>
              <w:keepNext w:val="0"/>
              <w:keepLines w:val="0"/>
              <w:pageBreakBefore w:val="0"/>
              <w:widowControl w:val="0"/>
              <w:suppressLineNumbers w:val="0"/>
              <w:kinsoku/>
              <w:wordWrap/>
              <w:overflowPunct/>
              <w:autoSpaceDE/>
              <w:autoSpaceDN/>
              <w:bidi w:val="0"/>
              <w:adjustRightInd/>
              <w:snapToGrid/>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以上证明材料不提供或提供不清晰导致无法判断的不得分。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0" w:hRule="atLeast"/>
          <w:jc w:val="center"/>
        </w:trPr>
        <w:tc>
          <w:tcPr>
            <w:tcW w:w="1384" w:type="dxa"/>
            <w:vMerge w:val="continue"/>
            <w:noWrap w:val="0"/>
            <w:vAlign w:val="center"/>
          </w:tcPr>
          <w:p>
            <w:pPr>
              <w:keepNext w:val="0"/>
              <w:keepLines w:val="0"/>
              <w:pageBreakBefore w:val="0"/>
              <w:widowControl w:val="0"/>
              <w:suppressLineNumbers w:val="0"/>
              <w:kinsoku/>
              <w:wordWrap/>
              <w:overflowPunct/>
              <w:autoSpaceDE/>
              <w:autoSpaceDN/>
              <w:bidi w:val="0"/>
              <w:adjustRightInd/>
              <w:spacing w:before="0" w:beforeAutospacing="0" w:after="0" w:afterAutospacing="0" w:line="440" w:lineRule="exact"/>
              <w:ind w:left="0" w:leftChars="0" w:right="0" w:firstLine="0" w:firstLineChars="0"/>
              <w:jc w:val="left"/>
              <w:textAlignment w:val="auto"/>
              <w:rPr>
                <w:rFonts w:hint="eastAsia" w:ascii="仿宋_GB2312" w:hAnsi="仿宋_GB2312" w:cs="仿宋_GB2312"/>
                <w:sz w:val="32"/>
                <w:szCs w:val="32"/>
                <w:vertAlign w:val="baseline"/>
                <w:lang w:val="en-US" w:eastAsia="zh-CN"/>
              </w:rPr>
            </w:pPr>
          </w:p>
        </w:tc>
        <w:tc>
          <w:tcPr>
            <w:tcW w:w="1219" w:type="dxa"/>
            <w:noWrap w:val="0"/>
            <w:vAlign w:val="center"/>
          </w:tcPr>
          <w:p>
            <w:pPr>
              <w:keepNext w:val="0"/>
              <w:keepLines w:val="0"/>
              <w:pageBreakBefore w:val="0"/>
              <w:widowControl w:val="0"/>
              <w:suppressLineNumbers w:val="0"/>
              <w:kinsoku/>
              <w:wordWrap/>
              <w:overflowPunct/>
              <w:autoSpaceDE/>
              <w:autoSpaceDN/>
              <w:bidi w:val="0"/>
              <w:adjustRightInd/>
              <w:spacing w:before="0" w:beforeAutospacing="0" w:after="0" w:afterAutospacing="0" w:line="440" w:lineRule="exact"/>
              <w:ind w:left="0" w:leftChars="0" w:right="0" w:firstLine="0" w:firstLineChars="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项目完成（服务期满）</w:t>
            </w:r>
          </w:p>
          <w:p>
            <w:pPr>
              <w:keepNext w:val="0"/>
              <w:keepLines w:val="0"/>
              <w:pageBreakBefore w:val="0"/>
              <w:widowControl w:val="0"/>
              <w:suppressLineNumbers w:val="0"/>
              <w:kinsoku/>
              <w:wordWrap/>
              <w:overflowPunct/>
              <w:autoSpaceDE/>
              <w:autoSpaceDN/>
              <w:bidi w:val="0"/>
              <w:adjustRightInd/>
              <w:spacing w:before="0" w:beforeAutospacing="0" w:after="0" w:afterAutospacing="0" w:line="440" w:lineRule="exact"/>
              <w:ind w:left="0" w:leftChars="0" w:right="0" w:firstLine="0" w:firstLineChars="0"/>
              <w:jc w:val="left"/>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lang w:val="en-US" w:eastAsia="zh-CN"/>
              </w:rPr>
              <w:t>后的服务承诺（</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sz w:val="32"/>
                <w:szCs w:val="32"/>
                <w:lang w:val="en-US" w:eastAsia="zh-CN"/>
              </w:rPr>
              <w:t>分）</w:t>
            </w:r>
          </w:p>
        </w:tc>
        <w:tc>
          <w:tcPr>
            <w:tcW w:w="6823" w:type="dxa"/>
            <w:noWrap w:val="0"/>
            <w:vAlign w:val="center"/>
          </w:tcPr>
          <w:p>
            <w:pPr>
              <w:keepNext w:val="0"/>
              <w:keepLines w:val="0"/>
              <w:pageBreakBefore w:val="0"/>
              <w:widowControl w:val="0"/>
              <w:suppressLineNumbers w:val="0"/>
              <w:kinsoku/>
              <w:wordWrap/>
              <w:overflowPunct/>
              <w:autoSpaceDE/>
              <w:autoSpaceDN/>
              <w:bidi w:val="0"/>
              <w:adjustRightInd/>
              <w:snapToGrid/>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（一）评审内容：</w:t>
            </w:r>
          </w:p>
          <w:p>
            <w:pPr>
              <w:keepNext w:val="0"/>
              <w:keepLines w:val="0"/>
              <w:pageBreakBefore w:val="0"/>
              <w:widowControl w:val="0"/>
              <w:suppressLineNumbers w:val="0"/>
              <w:kinsoku/>
              <w:wordWrap/>
              <w:overflowPunct/>
              <w:autoSpaceDE/>
              <w:autoSpaceDN/>
              <w:bidi w:val="0"/>
              <w:adjustRightInd/>
              <w:snapToGrid/>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根据针对本项目做出的服务承诺，考察包括但不限于以下内容：</w:t>
            </w:r>
          </w:p>
          <w:p>
            <w:pPr>
              <w:keepNext w:val="0"/>
              <w:keepLines w:val="0"/>
              <w:pageBreakBefore w:val="0"/>
              <w:widowControl w:val="0"/>
              <w:suppressLineNumbers w:val="0"/>
              <w:kinsoku/>
              <w:wordWrap/>
              <w:overflowPunct/>
              <w:autoSpaceDE/>
              <w:autoSpaceDN/>
              <w:bidi w:val="0"/>
              <w:adjustRightInd/>
              <w:snapToGrid/>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1.在服务期满后主动交接项目相关资料；</w:t>
            </w:r>
          </w:p>
          <w:p>
            <w:pPr>
              <w:keepNext w:val="0"/>
              <w:keepLines w:val="0"/>
              <w:pageBreakBefore w:val="0"/>
              <w:widowControl w:val="0"/>
              <w:suppressLineNumbers w:val="0"/>
              <w:kinsoku/>
              <w:wordWrap/>
              <w:overflowPunct/>
              <w:autoSpaceDE/>
              <w:autoSpaceDN/>
              <w:bidi w:val="0"/>
              <w:adjustRightInd/>
              <w:snapToGrid/>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2.配合项目检查审计等事项。</w:t>
            </w:r>
          </w:p>
          <w:p>
            <w:pPr>
              <w:keepNext w:val="0"/>
              <w:keepLines w:val="0"/>
              <w:pageBreakBefore w:val="0"/>
              <w:widowControl w:val="0"/>
              <w:suppressLineNumbers w:val="0"/>
              <w:kinsoku/>
              <w:wordWrap/>
              <w:overflowPunct/>
              <w:autoSpaceDE/>
              <w:autoSpaceDN/>
              <w:bidi w:val="0"/>
              <w:adjustRightInd/>
              <w:snapToGrid/>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（二）评审依据：</w:t>
            </w:r>
          </w:p>
          <w:p>
            <w:pPr>
              <w:keepNext w:val="0"/>
              <w:keepLines w:val="0"/>
              <w:pageBreakBefore w:val="0"/>
              <w:widowControl w:val="0"/>
              <w:suppressLineNumbers w:val="0"/>
              <w:kinsoku/>
              <w:wordWrap/>
              <w:overflowPunct/>
              <w:autoSpaceDE/>
              <w:autoSpaceDN/>
              <w:bidi w:val="0"/>
              <w:adjustRightInd/>
              <w:snapToGrid/>
              <w:spacing w:before="0" w:beforeAutospacing="0" w:after="0" w:afterAutospacing="0" w:line="360" w:lineRule="exact"/>
              <w:ind w:left="0" w:right="0" w:firstLine="0" w:firstLine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提供服务承诺函（格式自拟）并加盖投标人公章，未提供承诺或承诺内容不满足要求不得分。</w:t>
            </w:r>
          </w:p>
        </w:tc>
      </w:tr>
    </w:tbl>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方正黑体_GBK" w:hAnsi="方正黑体_GBK" w:eastAsia="方正黑体_GBK" w:cs="方正黑体_GBK"/>
          <w:b w:val="0"/>
          <w:bCs/>
          <w:color w:val="000000"/>
          <w:sz w:val="32"/>
          <w:szCs w:val="32"/>
          <w:lang w:eastAsia="zh-CN"/>
        </w:rPr>
      </w:pPr>
      <w:r>
        <w:rPr>
          <w:rFonts w:hint="eastAsia" w:ascii="方正黑体_GBK" w:hAnsi="方正黑体_GBK" w:eastAsia="方正黑体_GBK" w:cs="方正黑体_GBK"/>
          <w:b w:val="0"/>
          <w:bCs/>
          <w:color w:val="000000"/>
          <w:sz w:val="32"/>
          <w:szCs w:val="32"/>
          <w:lang w:eastAsia="zh-CN"/>
        </w:rPr>
        <w:t>八、</w:t>
      </w:r>
      <w:r>
        <w:rPr>
          <w:rFonts w:hint="eastAsia" w:ascii="方正黑体_GBK" w:hAnsi="方正黑体_GBK" w:eastAsia="方正黑体_GBK" w:cs="方正黑体_GBK"/>
          <w:b w:val="0"/>
          <w:bCs/>
          <w:color w:val="000000"/>
          <w:sz w:val="32"/>
          <w:szCs w:val="32"/>
        </w:rPr>
        <w:t>供应商提供资料清单</w:t>
      </w:r>
      <w:r>
        <w:rPr>
          <w:rFonts w:hint="eastAsia" w:ascii="方正黑体_GBK" w:hAnsi="方正黑体_GBK" w:eastAsia="方正黑体_GBK" w:cs="方正黑体_GBK"/>
          <w:b w:val="0"/>
          <w:bCs/>
          <w:color w:val="000000" w:themeColor="text1"/>
          <w:sz w:val="32"/>
          <w:szCs w:val="32"/>
          <w:lang w:eastAsia="zh-CN"/>
          <w14:textFill>
            <w14:solidFill>
              <w14:schemeClr w14:val="tx1"/>
            </w14:solidFill>
          </w14:textFill>
        </w:rPr>
        <w:t>（每页均需加盖公章）</w:t>
      </w:r>
    </w:p>
    <w:p>
      <w:pPr>
        <w:spacing w:line="560" w:lineRule="exact"/>
        <w:ind w:left="0" w:leftChars="0" w:firstLine="640" w:firstLineChars="200"/>
        <w:jc w:val="left"/>
        <w:rPr>
          <w:rFonts w:ascii="仿宋_GB2312" w:hAnsi="仿宋" w:eastAsia="仿宋_GB2312" w:cs="Times New Roman"/>
          <w:sz w:val="32"/>
        </w:rPr>
      </w:pPr>
      <w:r>
        <w:rPr>
          <w:rFonts w:hint="eastAsia" w:ascii="仿宋_GB2312" w:hAnsi="仿宋" w:eastAsia="仿宋_GB2312" w:cs="Times New Roman"/>
          <w:sz w:val="32"/>
        </w:rPr>
        <w:t>1.营业执照、事业</w:t>
      </w:r>
      <w:r>
        <w:rPr>
          <w:rFonts w:hint="eastAsia" w:ascii="仿宋_GB2312" w:hAnsi="仿宋" w:eastAsia="仿宋_GB2312" w:cs="Times New Roman"/>
          <w:sz w:val="32"/>
          <w:lang w:eastAsia="zh-CN"/>
        </w:rPr>
        <w:t>单位</w:t>
      </w:r>
      <w:r>
        <w:rPr>
          <w:rFonts w:hint="eastAsia" w:ascii="仿宋_GB2312" w:hAnsi="仿宋" w:eastAsia="仿宋_GB2312" w:cs="Times New Roman"/>
          <w:sz w:val="32"/>
        </w:rPr>
        <w:t>法人证书、社会团体法人登记证书</w:t>
      </w:r>
      <w:r>
        <w:rPr>
          <w:rFonts w:hint="eastAsia" w:ascii="仿宋_GB2312" w:hAnsi="仿宋" w:eastAsia="仿宋_GB2312" w:cs="Times New Roman"/>
          <w:sz w:val="32"/>
          <w:lang w:eastAsia="zh-CN"/>
        </w:rPr>
        <w:t>、民办非企业单位登记证书</w:t>
      </w:r>
      <w:r>
        <w:rPr>
          <w:rFonts w:hint="eastAsia" w:ascii="仿宋_GB2312" w:hAnsi="仿宋" w:eastAsia="仿宋_GB2312" w:cs="Times New Roman"/>
          <w:sz w:val="32"/>
          <w:highlight w:val="none"/>
        </w:rPr>
        <w:t>；</w:t>
      </w:r>
    </w:p>
    <w:p>
      <w:pPr>
        <w:spacing w:line="560" w:lineRule="exact"/>
        <w:ind w:firstLine="640" w:firstLineChars="200"/>
        <w:jc w:val="left"/>
        <w:rPr>
          <w:sz w:val="32"/>
          <w:szCs w:val="32"/>
        </w:rPr>
      </w:pPr>
      <w:r>
        <w:rPr>
          <w:rFonts w:hint="eastAsia" w:ascii="仿宋_GB2312" w:hAnsi="仿宋" w:eastAsia="仿宋_GB2312" w:cs="Times New Roman"/>
          <w:sz w:val="32"/>
          <w:szCs w:val="32"/>
        </w:rPr>
        <w:t>2.法定代表人身份证复印件；</w:t>
      </w:r>
    </w:p>
    <w:p>
      <w:pPr>
        <w:pStyle w:val="9"/>
        <w:spacing w:after="0" w:line="560" w:lineRule="exact"/>
        <w:ind w:left="0" w:leftChars="0" w:right="0" w:rightChars="0" w:firstLine="640"/>
        <w:jc w:val="left"/>
        <w:rPr>
          <w:rFonts w:ascii="仿宋_GB2312" w:hAnsi="仿宋" w:eastAsia="仿宋_GB2312" w:cs="Times New Roman"/>
          <w:sz w:val="32"/>
        </w:rPr>
      </w:pPr>
      <w:r>
        <w:rPr>
          <w:rFonts w:hint="eastAsia" w:ascii="仿宋_GB2312" w:hAnsi="仿宋" w:eastAsia="仿宋_GB2312" w:cs="Times New Roman"/>
          <w:sz w:val="32"/>
        </w:rPr>
        <w:t>3.项目报价</w:t>
      </w:r>
      <w:r>
        <w:rPr>
          <w:rFonts w:hint="eastAsia" w:ascii="仿宋_GB2312" w:hAnsi="仿宋" w:eastAsia="仿宋_GB2312" w:cs="Times New Roman"/>
          <w:sz w:val="32"/>
          <w:lang w:eastAsia="zh-CN"/>
        </w:rPr>
        <w:t>表</w:t>
      </w:r>
      <w:r>
        <w:rPr>
          <w:rFonts w:hint="eastAsia" w:ascii="仿宋_GB2312" w:hAnsi="仿宋" w:eastAsia="仿宋_GB2312" w:cs="Times New Roman"/>
          <w:b/>
          <w:bCs/>
          <w:sz w:val="32"/>
          <w:lang w:eastAsia="zh-CN"/>
        </w:rPr>
        <w:t>（需按格式提供）</w:t>
      </w:r>
      <w:r>
        <w:rPr>
          <w:rFonts w:hint="eastAsia" w:ascii="仿宋_GB2312" w:hAnsi="仿宋" w:eastAsia="仿宋_GB2312" w:cs="Times New Roman"/>
          <w:sz w:val="32"/>
        </w:rPr>
        <w:t>；</w:t>
      </w:r>
    </w:p>
    <w:p>
      <w:pPr>
        <w:pStyle w:val="9"/>
        <w:spacing w:after="0" w:line="560" w:lineRule="exact"/>
        <w:ind w:left="0" w:leftChars="0" w:right="0" w:rightChars="0" w:firstLine="640"/>
        <w:jc w:val="left"/>
        <w:rPr>
          <w:rFonts w:hint="eastAsia" w:ascii="仿宋_GB2312" w:hAnsi="仿宋" w:eastAsia="仿宋_GB2312" w:cs="Times New Roman"/>
          <w:sz w:val="32"/>
        </w:rPr>
      </w:pPr>
      <w:r>
        <w:rPr>
          <w:rFonts w:hint="eastAsia" w:ascii="仿宋_GB2312" w:hAnsi="仿宋" w:eastAsia="仿宋_GB2312" w:cs="Times New Roman"/>
          <w:sz w:val="32"/>
        </w:rPr>
        <w:t>4.评分规则所需资料（同类业绩证明、方案等）；</w:t>
      </w:r>
    </w:p>
    <w:p>
      <w:pPr>
        <w:pStyle w:val="9"/>
        <w:spacing w:after="0" w:line="560" w:lineRule="exact"/>
        <w:ind w:left="0" w:leftChars="0" w:right="0" w:rightChars="0" w:firstLine="640"/>
        <w:jc w:val="left"/>
        <w:rPr>
          <w:rFonts w:hint="default" w:ascii="仿宋_GB2312" w:hAnsi="仿宋" w:eastAsia="仿宋_GB2312" w:cs="Times New Roman"/>
          <w:sz w:val="32"/>
          <w:lang w:val="en-US" w:eastAsia="zh-CN"/>
        </w:rPr>
      </w:pPr>
      <w:r>
        <w:rPr>
          <w:rFonts w:hint="eastAsia" w:ascii="仿宋_GB2312" w:hAnsi="仿宋" w:eastAsia="仿宋_GB2312" w:cs="Times New Roman"/>
          <w:sz w:val="32"/>
          <w:lang w:val="en-US" w:eastAsia="zh-CN"/>
        </w:rPr>
        <w:t>5.诚信承诺书（详见附件1）；</w:t>
      </w:r>
    </w:p>
    <w:p>
      <w:pPr>
        <w:pStyle w:val="9"/>
        <w:spacing w:after="0" w:line="560" w:lineRule="exact"/>
        <w:ind w:left="0" w:leftChars="0" w:right="0" w:rightChars="0" w:firstLine="640"/>
        <w:jc w:val="both"/>
        <w:rPr>
          <w:rFonts w:hint="eastAsia" w:ascii="仿宋_GB2312" w:hAnsi="仿宋" w:eastAsia="仿宋_GB2312" w:cs="Times New Roman"/>
          <w:sz w:val="32"/>
          <w:highlight w:val="none"/>
          <w:lang w:eastAsia="zh-CN"/>
        </w:rPr>
      </w:pPr>
      <w:r>
        <w:rPr>
          <w:rFonts w:hint="eastAsia" w:ascii="仿宋_GB2312" w:hAnsi="仿宋" w:eastAsia="仿宋_GB2312" w:cs="Times New Roman"/>
          <w:sz w:val="32"/>
          <w:highlight w:val="none"/>
          <w:lang w:val="en-US" w:eastAsia="zh-CN"/>
        </w:rPr>
        <w:t>6</w:t>
      </w:r>
      <w:r>
        <w:rPr>
          <w:rFonts w:hint="eastAsia" w:ascii="仿宋_GB2312" w:hAnsi="仿宋" w:eastAsia="仿宋_GB2312" w:cs="Times New Roman"/>
          <w:sz w:val="32"/>
          <w:highlight w:val="none"/>
        </w:rPr>
        <w:t>.</w:t>
      </w:r>
      <w:r>
        <w:rPr>
          <w:rFonts w:hint="eastAsia" w:ascii="仿宋_GB2312" w:hAnsi="仿宋" w:eastAsia="仿宋_GB2312" w:cs="Times New Roman"/>
          <w:sz w:val="32"/>
          <w:highlight w:val="none"/>
          <w:lang w:eastAsia="zh-CN"/>
        </w:rPr>
        <w:t>填写</w:t>
      </w:r>
      <w:r>
        <w:rPr>
          <w:rFonts w:hint="eastAsia" w:ascii="仿宋_GB2312" w:hAnsi="仿宋" w:eastAsia="仿宋_GB2312" w:cs="Times New Roman"/>
          <w:sz w:val="32"/>
          <w:highlight w:val="none"/>
        </w:rPr>
        <w:t>《</w:t>
      </w:r>
      <w:r>
        <w:rPr>
          <w:rFonts w:hint="eastAsia" w:ascii="仿宋_GB2312" w:hAnsi="仿宋" w:eastAsia="仿宋_GB2312" w:cs="Times New Roman"/>
          <w:sz w:val="32"/>
          <w:highlight w:val="none"/>
          <w:lang w:eastAsia="zh-CN"/>
        </w:rPr>
        <w:t>深圳市龙华区民政局</w:t>
      </w:r>
      <w:r>
        <w:rPr>
          <w:rFonts w:hint="eastAsia" w:ascii="仿宋_GB2312" w:hAnsi="仿宋" w:eastAsia="仿宋_GB2312" w:cs="Times New Roman"/>
          <w:sz w:val="32"/>
          <w:highlight w:val="none"/>
        </w:rPr>
        <w:t>供应商基本情况表》</w:t>
      </w:r>
      <w:r>
        <w:rPr>
          <w:rFonts w:hint="eastAsia" w:ascii="仿宋_GB2312" w:hAnsi="仿宋" w:eastAsia="仿宋_GB2312" w:cs="Times New Roman"/>
          <w:sz w:val="32"/>
          <w:highlight w:val="none"/>
          <w:lang w:eastAsia="zh-CN"/>
        </w:rPr>
        <w:t>（加盖公章，</w:t>
      </w:r>
      <w:r>
        <w:rPr>
          <w:rFonts w:hint="eastAsia" w:ascii="仿宋_GB2312" w:hAnsi="仿宋" w:eastAsia="仿宋_GB2312" w:cs="Times New Roman"/>
          <w:sz w:val="32"/>
          <w:highlight w:val="none"/>
        </w:rPr>
        <w:t>详见附件</w:t>
      </w:r>
      <w:r>
        <w:rPr>
          <w:rFonts w:hint="eastAsia" w:ascii="仿宋_GB2312" w:hAnsi="仿宋" w:eastAsia="仿宋_GB2312" w:cs="Times New Roman"/>
          <w:sz w:val="32"/>
          <w:highlight w:val="none"/>
          <w:lang w:val="en-US" w:eastAsia="zh-CN"/>
        </w:rPr>
        <w:t>2</w:t>
      </w:r>
      <w:r>
        <w:rPr>
          <w:rFonts w:hint="eastAsia" w:ascii="仿宋_GB2312" w:hAnsi="仿宋" w:eastAsia="仿宋_GB2312" w:cs="Times New Roman"/>
          <w:sz w:val="32"/>
          <w:highlight w:val="none"/>
          <w:lang w:eastAsia="zh-CN"/>
        </w:rPr>
        <w:t>），提供表中投标（响应）供应商相关人员的近</w:t>
      </w:r>
      <w:r>
        <w:rPr>
          <w:rFonts w:hint="eastAsia" w:ascii="仿宋_GB2312" w:hAnsi="仿宋" w:eastAsia="仿宋_GB2312" w:cs="Times New Roman"/>
          <w:sz w:val="32"/>
          <w:highlight w:val="none"/>
          <w:lang w:val="en-US" w:eastAsia="zh-CN"/>
        </w:rPr>
        <w:t>1</w:t>
      </w:r>
      <w:r>
        <w:rPr>
          <w:rFonts w:hint="eastAsia" w:ascii="仿宋_GB2312" w:hAnsi="仿宋" w:eastAsia="仿宋_GB2312" w:cs="Times New Roman"/>
          <w:sz w:val="32"/>
          <w:highlight w:val="none"/>
          <w:lang w:eastAsia="zh-CN"/>
        </w:rPr>
        <w:t>个月社保缴纳情况，如未在投标（响应）供应商缴纳社保的人员，需提供加盖公章的情况说明或其他相关证明材料。</w:t>
      </w:r>
    </w:p>
    <w:p>
      <w:pPr>
        <w:pStyle w:val="9"/>
        <w:spacing w:after="0" w:line="560" w:lineRule="exact"/>
        <w:ind w:left="0" w:leftChars="0" w:right="0" w:rightChars="0" w:firstLine="640"/>
        <w:jc w:val="left"/>
        <w:rPr>
          <w:rFonts w:hint="eastAsia" w:ascii="方正黑体_GBK" w:hAnsi="方正黑体_GBK" w:eastAsia="方正黑体_GBK" w:cs="方正黑体_GBK"/>
          <w:sz w:val="32"/>
          <w:lang w:val="en-US" w:eastAsia="zh-CN"/>
        </w:rPr>
      </w:pPr>
      <w:r>
        <w:rPr>
          <w:rFonts w:hint="eastAsia" w:ascii="方正黑体_GBK" w:hAnsi="方正黑体_GBK" w:eastAsia="方正黑体_GBK" w:cs="方正黑体_GBK"/>
          <w:sz w:val="32"/>
          <w:lang w:val="en-US" w:eastAsia="zh-CN"/>
        </w:rPr>
        <w:t>九、其他注意事项</w:t>
      </w:r>
    </w:p>
    <w:p>
      <w:pPr>
        <w:keepNext w:val="0"/>
        <w:keepLines w:val="0"/>
        <w:widowControl/>
        <w:suppressLineNumbers w:val="0"/>
        <w:spacing w:line="560" w:lineRule="exact"/>
        <w:ind w:firstLine="640" w:firstLineChars="200"/>
        <w:jc w:val="left"/>
        <w:rPr>
          <w:rFonts w:hint="eastAsia" w:ascii="仿宋_GB2312" w:hAnsi="仿宋" w:eastAsia="仿宋_GB2312" w:cs="Times New Roman"/>
          <w:kern w:val="2"/>
          <w:sz w:val="32"/>
          <w:szCs w:val="24"/>
          <w:lang w:val="en-US" w:eastAsia="zh-CN" w:bidi="ar-SA"/>
        </w:rPr>
      </w:pPr>
      <w:r>
        <w:rPr>
          <w:rFonts w:hint="eastAsia" w:ascii="仿宋_GB2312" w:hAnsi="仿宋" w:eastAsia="仿宋_GB2312" w:cs="Times New Roman"/>
          <w:sz w:val="32"/>
          <w:lang w:val="en-US" w:eastAsia="zh-CN"/>
        </w:rPr>
        <w:t>1.供应商需在</w:t>
      </w:r>
      <w:r>
        <w:rPr>
          <w:rFonts w:hint="default" w:ascii="仿宋_GB2312" w:hAnsi="仿宋" w:eastAsia="仿宋_GB2312" w:cs="Times New Roman"/>
          <w:sz w:val="32"/>
          <w:lang w:val="en-US" w:eastAsia="zh-CN"/>
        </w:rPr>
        <w:t>深圳政府采购自行采购系统</w:t>
      </w:r>
      <w:r>
        <w:rPr>
          <w:rFonts w:hint="eastAsia" w:ascii="仿宋_GB2312" w:hAnsi="仿宋" w:eastAsia="仿宋_GB2312" w:cs="Times New Roman"/>
          <w:kern w:val="2"/>
          <w:sz w:val="32"/>
          <w:szCs w:val="24"/>
          <w:lang w:val="en-US" w:eastAsia="zh-CN" w:bidi="ar-SA"/>
        </w:rPr>
        <w:t>完成供应商注册（网址：</w:t>
      </w:r>
      <w:r>
        <w:rPr>
          <w:rFonts w:hint="eastAsia" w:ascii="仿宋_GB2312" w:hAnsi="仿宋" w:eastAsia="仿宋_GB2312" w:cs="Times New Roman"/>
          <w:color w:val="auto"/>
          <w:kern w:val="2"/>
          <w:sz w:val="32"/>
          <w:szCs w:val="24"/>
          <w:u w:val="none"/>
          <w:lang w:val="en-US" w:eastAsia="zh-CN" w:bidi="ar-SA"/>
        </w:rPr>
        <w:t>https://zxcg.szggzy.com/home/index.html），请于本项目投标截止时间前完成注册，否则如中标/成交，可能影响采购结果的发布。</w:t>
      </w:r>
    </w:p>
    <w:p>
      <w:pPr>
        <w:keepNext w:val="0"/>
        <w:keepLines w:val="0"/>
        <w:widowControl/>
        <w:suppressLineNumbers w:val="0"/>
        <w:spacing w:line="560" w:lineRule="exact"/>
        <w:ind w:firstLine="640" w:firstLineChars="200"/>
        <w:jc w:val="left"/>
        <w:rPr>
          <w:rFonts w:hint="default" w:ascii="仿宋_GB2312" w:hAnsi="仿宋" w:eastAsia="仿宋_GB2312" w:cs="Times New Roman"/>
          <w:kern w:val="2"/>
          <w:sz w:val="32"/>
          <w:szCs w:val="24"/>
          <w:highlight w:val="none"/>
          <w:lang w:val="en-US" w:eastAsia="zh-CN" w:bidi="ar-SA"/>
        </w:rPr>
      </w:pPr>
      <w:r>
        <w:rPr>
          <w:rFonts w:hint="eastAsia" w:ascii="仿宋_GB2312" w:hAnsi="仿宋" w:eastAsia="仿宋_GB2312" w:cs="Times New Roman"/>
          <w:kern w:val="2"/>
          <w:sz w:val="32"/>
          <w:szCs w:val="24"/>
          <w:highlight w:val="none"/>
          <w:lang w:val="en-US" w:eastAsia="zh-CN" w:bidi="ar-SA"/>
        </w:rPr>
        <w:t>2.采购人将通过</w:t>
      </w:r>
      <w:r>
        <w:rPr>
          <w:rFonts w:hint="eastAsia" w:ascii="仿宋_GB2312" w:hAnsi="仿宋" w:eastAsia="仿宋_GB2312" w:cs="Times New Roman"/>
          <w:color w:val="auto"/>
          <w:kern w:val="2"/>
          <w:sz w:val="32"/>
          <w:szCs w:val="24"/>
          <w:highlight w:val="none"/>
          <w:lang w:val="en-US" w:eastAsia="zh-CN" w:bidi="ar-SA"/>
        </w:rPr>
        <w:t>国家企业信用信息公示系统</w:t>
      </w:r>
      <w:r>
        <w:rPr>
          <w:rFonts w:hint="eastAsia" w:ascii="仿宋_GB2312" w:hAnsi="仿宋" w:eastAsia="仿宋_GB2312" w:cs="Times New Roman"/>
          <w:kern w:val="2"/>
          <w:sz w:val="32"/>
          <w:szCs w:val="24"/>
          <w:highlight w:val="none"/>
          <w:lang w:val="en-US" w:eastAsia="zh-CN" w:bidi="ar-SA"/>
        </w:rPr>
        <w:t>、机关赋码和事业单位登记管理网、全国社会组织信用信息公示平台、中国政府采购网等渠道查询供应商信用记录，对列入失信被执行人名单等的供应商拒绝其参与采购活动。</w:t>
      </w:r>
    </w:p>
    <w:p>
      <w:pPr>
        <w:keepNext w:val="0"/>
        <w:keepLines w:val="0"/>
        <w:widowControl/>
        <w:suppressLineNumbers w:val="0"/>
        <w:spacing w:line="560" w:lineRule="exact"/>
        <w:ind w:firstLine="640" w:firstLineChars="200"/>
        <w:jc w:val="both"/>
        <w:rPr>
          <w:rFonts w:hint="default" w:ascii="黑体" w:hAnsi="黑体" w:eastAsia="黑体" w:cs="黑体"/>
          <w:color w:val="000000"/>
          <w:sz w:val="32"/>
          <w:szCs w:val="32"/>
          <w:lang w:val="en-US" w:eastAsia="zh-CN"/>
        </w:rPr>
      </w:pPr>
      <w:r>
        <w:rPr>
          <w:rFonts w:hint="eastAsia" w:ascii="仿宋_GB2312" w:hAnsi="仿宋" w:eastAsia="仿宋_GB2312" w:cs="Times New Roman"/>
          <w:sz w:val="32"/>
          <w:highlight w:val="none"/>
          <w:lang w:val="en-US" w:eastAsia="zh-CN"/>
        </w:rPr>
        <w:t>3.</w:t>
      </w:r>
      <w:r>
        <w:rPr>
          <w:rFonts w:hint="eastAsia" w:ascii="仿宋_GB2312" w:hAnsi="仿宋" w:eastAsia="仿宋_GB2312" w:cs="Times New Roman"/>
          <w:sz w:val="32"/>
          <w:highlight w:val="none"/>
        </w:rPr>
        <w:t>供应商</w:t>
      </w:r>
      <w:r>
        <w:rPr>
          <w:rFonts w:hint="eastAsia" w:ascii="仿宋_GB2312" w:hAnsi="仿宋" w:eastAsia="仿宋_GB2312" w:cs="Times New Roman"/>
          <w:sz w:val="32"/>
          <w:highlight w:val="none"/>
          <w:lang w:eastAsia="zh-CN"/>
        </w:rPr>
        <w:t>采用电子邮箱投递</w:t>
      </w:r>
      <w:r>
        <w:rPr>
          <w:rFonts w:hint="eastAsia" w:ascii="仿宋_GB2312" w:hAnsi="仿宋" w:eastAsia="仿宋_GB2312" w:cs="Times New Roman"/>
          <w:sz w:val="32"/>
          <w:highlight w:val="none"/>
          <w:lang w:val="en-US" w:eastAsia="zh-CN"/>
        </w:rPr>
        <w:t>方式，将</w:t>
      </w:r>
      <w:r>
        <w:rPr>
          <w:rFonts w:hint="eastAsia" w:ascii="仿宋_GB2312" w:hAnsi="仿宋" w:eastAsia="仿宋_GB2312" w:cs="Times New Roman"/>
          <w:sz w:val="32"/>
          <w:highlight w:val="none"/>
        </w:rPr>
        <w:t>投标资料</w:t>
      </w:r>
      <w:r>
        <w:rPr>
          <w:rFonts w:hint="eastAsia" w:ascii="仿宋_GB2312" w:hAnsi="仿宋" w:eastAsia="仿宋_GB2312" w:cs="Times New Roman"/>
          <w:sz w:val="32"/>
          <w:highlight w:val="none"/>
          <w:lang w:eastAsia="zh-CN"/>
        </w:rPr>
        <w:t>发至：szlhmzj@szlhq.gov.cn，文件夹命名方式为</w:t>
      </w:r>
      <w:r>
        <w:rPr>
          <w:rFonts w:hint="eastAsia" w:ascii="仿宋_GB2312" w:hAnsi="仿宋" w:eastAsia="仿宋_GB2312" w:cs="Times New Roman"/>
          <w:sz w:val="32"/>
          <w:highlight w:val="none"/>
          <w:lang w:val="en-US" w:eastAsia="zh-CN"/>
        </w:rPr>
        <w:t>“龙华区</w:t>
      </w:r>
      <w:r>
        <w:rPr>
          <w:rFonts w:hint="eastAsia" w:ascii="仿宋_GB2312" w:hAnsi="仿宋" w:cs="Times New Roman"/>
          <w:sz w:val="32"/>
          <w:highlight w:val="none"/>
          <w:lang w:val="en-US" w:eastAsia="zh-CN"/>
        </w:rPr>
        <w:t>民政局2026年养老服务场所安全生产检查工作项目</w:t>
      </w:r>
      <w:r>
        <w:rPr>
          <w:rFonts w:hint="eastAsia" w:ascii="仿宋_GB2312" w:hAnsi="仿宋" w:eastAsia="仿宋_GB2312" w:cs="Times New Roman"/>
          <w:color w:val="000000"/>
          <w:kern w:val="2"/>
          <w:sz w:val="32"/>
          <w:szCs w:val="24"/>
          <w:highlight w:val="none"/>
          <w:lang w:val="en-US" w:eastAsia="zh-CN"/>
        </w:rPr>
        <w:t>+公司全称+日期+联系人+联系方式”。</w:t>
      </w:r>
      <w:r>
        <w:rPr>
          <w:rFonts w:ascii="仿宋_GB2312" w:hAnsi="仿宋" w:eastAsia="仿宋_GB2312" w:cs="Times New Roman"/>
          <w:sz w:val="32"/>
        </w:rPr>
        <w:br w:type="page"/>
      </w: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1</w:t>
      </w:r>
    </w:p>
    <w:p>
      <w:pPr>
        <w:pStyle w:val="3"/>
        <w:numPr>
          <w:ilvl w:val="0"/>
          <w:numId w:val="0"/>
        </w:numPr>
        <w:jc w:val="center"/>
        <w:outlineLvl w:val="3"/>
        <w:rPr>
          <w:rFonts w:hint="eastAsia" w:ascii="黑体" w:eastAsia="黑体"/>
          <w:b w:val="0"/>
          <w:color w:val="auto"/>
          <w:kern w:val="0"/>
          <w:sz w:val="24"/>
          <w:highlight w:val="none"/>
          <w:lang w:eastAsia="zh-CN"/>
        </w:rPr>
      </w:pPr>
      <w:r>
        <w:rPr>
          <w:rFonts w:hint="eastAsia" w:ascii="黑体"/>
          <w:b w:val="0"/>
          <w:color w:val="auto"/>
          <w:kern w:val="0"/>
          <w:sz w:val="24"/>
          <w:highlight w:val="none"/>
          <w:lang w:eastAsia="zh-CN"/>
        </w:rPr>
        <w:t>诚信承诺书</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olor w:val="auto"/>
          <w:sz w:val="21"/>
          <w:szCs w:val="21"/>
          <w:highlight w:val="none"/>
        </w:rPr>
      </w:pPr>
      <w:r>
        <w:rPr>
          <w:rFonts w:hint="eastAsia" w:ascii="宋体" w:hAnsi="宋体"/>
          <w:color w:val="auto"/>
          <w:sz w:val="21"/>
          <w:szCs w:val="21"/>
          <w:highlight w:val="none"/>
        </w:rPr>
        <w:t>致：</w:t>
      </w:r>
      <w:r>
        <w:rPr>
          <w:rFonts w:hint="eastAsia" w:ascii="宋体" w:hAnsi="宋体"/>
          <w:color w:val="auto"/>
          <w:sz w:val="21"/>
          <w:szCs w:val="21"/>
          <w:highlight w:val="none"/>
          <w:u w:val="single"/>
        </w:rPr>
        <w:t>深圳市龙华区</w:t>
      </w:r>
      <w:r>
        <w:rPr>
          <w:rFonts w:hint="eastAsia" w:ascii="宋体" w:hAnsi="宋体"/>
          <w:color w:val="auto"/>
          <w:sz w:val="21"/>
          <w:szCs w:val="21"/>
          <w:highlight w:val="none"/>
          <w:u w:val="single"/>
          <w:lang w:eastAsia="zh-CN"/>
        </w:rPr>
        <w:t>民政</w:t>
      </w:r>
      <w:r>
        <w:rPr>
          <w:rFonts w:hint="eastAsia" w:ascii="宋体" w:hAnsi="宋体"/>
          <w:color w:val="auto"/>
          <w:sz w:val="21"/>
          <w:szCs w:val="21"/>
          <w:highlight w:val="none"/>
          <w:u w:val="single"/>
        </w:rPr>
        <w:t>局</w:t>
      </w:r>
    </w:p>
    <w:p>
      <w:pPr>
        <w:keepNext w:val="0"/>
        <w:keepLines w:val="0"/>
        <w:pageBreakBefore w:val="0"/>
        <w:widowControl w:val="0"/>
        <w:kinsoku/>
        <w:wordWrap/>
        <w:overflowPunct/>
        <w:topLinePunct w:val="0"/>
        <w:autoSpaceDE/>
        <w:autoSpaceDN/>
        <w:bidi w:val="0"/>
        <w:adjustRightInd/>
        <w:snapToGrid/>
        <w:spacing w:line="400" w:lineRule="exact"/>
        <w:ind w:right="-815"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我单位承诺：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1.我单位参与本项目所投标（响应）的货物、工程或服务，不存在侵犯知识产权的情况。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2.我单位参与本项目</w:t>
      </w:r>
      <w:r>
        <w:rPr>
          <w:rFonts w:hint="eastAsia"/>
          <w:color w:val="auto"/>
          <w:sz w:val="21"/>
          <w:szCs w:val="21"/>
          <w:highlight w:val="none"/>
        </w:rPr>
        <w:t>政府采购活动时不存在被有关部门禁止参与政府采购活动且在有效期内的情况。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3.我单位具备《中华人民共和国政府采购法》第二十二条第一款规定的六项条件。</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4.我单位</w:t>
      </w:r>
      <w:r>
        <w:rPr>
          <w:rFonts w:hint="eastAsia"/>
          <w:color w:val="auto"/>
          <w:sz w:val="21"/>
          <w:szCs w:val="21"/>
          <w:highlight w:val="none"/>
        </w:rPr>
        <w:t>未被列入失信被执行人、</w:t>
      </w:r>
      <w:r>
        <w:rPr>
          <w:rFonts w:hint="eastAsia"/>
          <w:color w:val="auto"/>
          <w:sz w:val="21"/>
          <w:szCs w:val="21"/>
          <w:highlight w:val="none"/>
          <w:lang w:eastAsia="zh-CN"/>
        </w:rPr>
        <w:t>重大税收违法案件当事人名单</w:t>
      </w:r>
      <w:r>
        <w:rPr>
          <w:rFonts w:hint="eastAsia"/>
          <w:color w:val="auto"/>
          <w:sz w:val="21"/>
          <w:szCs w:val="21"/>
          <w:highlight w:val="none"/>
        </w:rPr>
        <w:t>、政府采购严重违法失信行为记录名单。</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5.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bCs/>
          <w:color w:val="auto"/>
          <w:sz w:val="21"/>
          <w:szCs w:val="21"/>
          <w:highlight w:val="none"/>
        </w:rPr>
      </w:pPr>
      <w:r>
        <w:rPr>
          <w:rFonts w:hint="eastAsia" w:ascii="宋体" w:hAnsi="宋体"/>
          <w:bCs/>
          <w:color w:val="auto"/>
          <w:sz w:val="21"/>
          <w:szCs w:val="21"/>
          <w:highlight w:val="none"/>
          <w:lang w:val="en-US" w:eastAsia="zh-CN"/>
        </w:rPr>
        <w:t>7</w:t>
      </w:r>
      <w:r>
        <w:rPr>
          <w:rFonts w:hint="eastAsia" w:ascii="宋体" w:hAnsi="宋体"/>
          <w:bCs/>
          <w:color w:val="auto"/>
          <w:sz w:val="21"/>
          <w:szCs w:val="21"/>
          <w:highlight w:val="none"/>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p>
    <w:p>
      <w:pPr>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ascii="宋体" w:hAnsi="宋体"/>
          <w:color w:val="auto"/>
          <w:sz w:val="21"/>
          <w:szCs w:val="21"/>
          <w:highlight w:val="none"/>
        </w:rPr>
      </w:pPr>
      <w:r>
        <w:rPr>
          <w:rFonts w:hint="eastAsia" w:ascii="宋体" w:hAnsi="宋体"/>
          <w:b/>
          <w:color w:val="auto"/>
          <w:sz w:val="21"/>
          <w:szCs w:val="21"/>
          <w:highlight w:val="none"/>
          <w:lang w:val="en-US" w:eastAsia="zh-CN"/>
        </w:rPr>
        <w:t>8</w:t>
      </w:r>
      <w:r>
        <w:rPr>
          <w:rFonts w:hint="eastAsia" w:ascii="宋体" w:hAnsi="宋体"/>
          <w:b/>
          <w:color w:val="auto"/>
          <w:sz w:val="21"/>
          <w:szCs w:val="21"/>
          <w:highlight w:val="none"/>
        </w:rPr>
        <w:t>.我单位清楚，如存在违反投标承诺行为情节严重的，将根据《深圳市财政局关于印发&lt;深圳市财政局政府采购供应商信用信息管理办法&gt;的通知》，依法被列入失信信息。</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以上承诺，如有违反，愿依照国家相关法律法规处理，并承担由此给采购人带来的损失。</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hint="eastAsia" w:ascii="宋体" w:hAnsi="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ascii="宋体" w:hAnsi="宋体"/>
          <w:color w:val="auto"/>
          <w:sz w:val="21"/>
          <w:szCs w:val="21"/>
          <w:highlight w:val="none"/>
        </w:rPr>
      </w:pPr>
      <w:r>
        <w:rPr>
          <w:rFonts w:hint="eastAsia" w:ascii="宋体" w:hAnsi="宋体"/>
          <w:color w:val="auto"/>
          <w:sz w:val="21"/>
          <w:szCs w:val="21"/>
          <w:highlight w:val="none"/>
        </w:rPr>
        <w:t xml:space="preserve">                                    </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color w:val="auto"/>
          <w:sz w:val="21"/>
          <w:szCs w:val="21"/>
          <w:highlight w:val="none"/>
        </w:rPr>
      </w:pPr>
      <w:r>
        <w:rPr>
          <w:rFonts w:hint="eastAsia"/>
          <w:color w:val="auto"/>
          <w:sz w:val="21"/>
          <w:szCs w:val="21"/>
          <w:highlight w:val="none"/>
        </w:rPr>
        <w:t>投标人：</w:t>
      </w:r>
      <w:r>
        <w:rPr>
          <w:rFonts w:hint="eastAsia"/>
          <w:color w:val="auto"/>
          <w:sz w:val="21"/>
          <w:szCs w:val="21"/>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645"/>
        <w:textAlignment w:val="auto"/>
        <w:rPr>
          <w:rFonts w:ascii="宋体" w:hAnsi="宋体"/>
          <w:color w:val="auto"/>
          <w:sz w:val="21"/>
          <w:szCs w:val="21"/>
          <w:highlight w:val="none"/>
        </w:rPr>
      </w:pPr>
      <w:r>
        <w:rPr>
          <w:rFonts w:hint="eastAsia" w:ascii="宋体" w:hAnsi="宋体"/>
          <w:color w:val="auto"/>
          <w:sz w:val="21"/>
          <w:szCs w:val="21"/>
          <w:highlight w:val="none"/>
        </w:rPr>
        <w:t xml:space="preserve">                                              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pPr>
        <w:rPr>
          <w:rFonts w:hint="default"/>
          <w:lang w:val="en-US" w:eastAsia="zh-CN"/>
        </w:rPr>
      </w:pPr>
    </w:p>
    <w:p>
      <w:pPr>
        <w:ind w:left="0" w:leftChars="0" w:firstLine="0" w:firstLineChars="0"/>
        <w:rPr>
          <w:rFonts w:hint="default"/>
          <w:lang w:val="en-US" w:eastAsia="zh-CN"/>
        </w:rPr>
      </w:pPr>
    </w:p>
    <w:p>
      <w:pPr>
        <w:pStyle w:val="21"/>
        <w:spacing w:line="560" w:lineRule="exact"/>
        <w:ind w:firstLine="0" w:firstLineChars="0"/>
        <w:rPr>
          <w:rFonts w:hint="eastAsia" w:ascii="方正小标宋简体" w:hAnsi="方正小标宋简体" w:eastAsia="方正小标宋简体" w:cs="方正小标宋简体"/>
          <w:b w:val="0"/>
          <w:bCs w:val="0"/>
          <w:sz w:val="44"/>
          <w:szCs w:val="44"/>
          <w:lang w:eastAsia="zh-CN"/>
        </w:rPr>
      </w:pPr>
      <w:r>
        <w:rPr>
          <w:rFonts w:hint="eastAsia" w:ascii="黑体" w:hAnsi="黑体" w:eastAsia="黑体" w:cs="黑体"/>
          <w:color w:val="000000"/>
          <w:sz w:val="32"/>
          <w:szCs w:val="32"/>
        </w:rPr>
        <w:t>附件</w:t>
      </w:r>
      <w:r>
        <w:rPr>
          <w:rFonts w:hint="eastAsia" w:ascii="黑体" w:hAnsi="黑体" w:eastAsia="黑体" w:cs="黑体"/>
          <w:color w:val="000000"/>
          <w:sz w:val="32"/>
          <w:szCs w:val="32"/>
          <w:lang w:val="en-US" w:eastAsia="zh-CN"/>
        </w:rPr>
        <w:t>2</w:t>
      </w:r>
    </w:p>
    <w:p>
      <w:pPr>
        <w:pStyle w:val="13"/>
        <w:snapToGrid w:val="0"/>
        <w:spacing w:before="0" w:after="0" w:line="560" w:lineRule="exact"/>
        <w:rPr>
          <w:rFonts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eastAsia="zh-CN"/>
        </w:rPr>
        <w:t>深圳市龙华区民政局</w:t>
      </w:r>
      <w:r>
        <w:rPr>
          <w:rFonts w:hint="eastAsia" w:ascii="方正小标宋简体" w:hAnsi="方正小标宋简体" w:eastAsia="方正小标宋简体" w:cs="方正小标宋简体"/>
          <w:b w:val="0"/>
          <w:bCs w:val="0"/>
          <w:sz w:val="44"/>
          <w:szCs w:val="44"/>
        </w:rPr>
        <w:t>供应商基本情况表</w:t>
      </w:r>
    </w:p>
    <w:p>
      <w:pPr>
        <w:spacing w:line="560" w:lineRule="exact"/>
        <w:ind w:left="0" w:leftChars="0" w:firstLine="0" w:firstLineChars="0"/>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填表单位：（加盖单位公章）</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 xml:space="preserve">   填表日期：    年   月   日</w:t>
      </w:r>
    </w:p>
    <w:tbl>
      <w:tblPr>
        <w:tblStyle w:val="16"/>
        <w:tblW w:w="10545" w:type="dxa"/>
        <w:tblInd w:w="-9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1062"/>
        <w:gridCol w:w="1283"/>
        <w:gridCol w:w="1270"/>
        <w:gridCol w:w="791"/>
        <w:gridCol w:w="1200"/>
        <w:gridCol w:w="1500"/>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356" w:type="dxa"/>
            <w:gridSpan w:val="2"/>
            <w:noWrap w:val="0"/>
            <w:vAlign w:val="center"/>
          </w:tcPr>
          <w:p>
            <w:pPr>
              <w:keepNext w:val="0"/>
              <w:keepLines w:val="0"/>
              <w:widowControl/>
              <w:suppressLineNumbers w:val="0"/>
              <w:spacing w:before="0" w:beforeAutospacing="0" w:after="0" w:afterAutospacing="0"/>
              <w:ind w:left="0" w:right="0"/>
              <w:jc w:val="left"/>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采购人</w:t>
            </w:r>
          </w:p>
        </w:tc>
        <w:tc>
          <w:tcPr>
            <w:tcW w:w="2553" w:type="dxa"/>
            <w:gridSpan w:val="2"/>
            <w:noWrap w:val="0"/>
            <w:vAlign w:val="center"/>
          </w:tcPr>
          <w:p>
            <w:pPr>
              <w:keepNext w:val="0"/>
              <w:keepLines w:val="0"/>
              <w:widowControl/>
              <w:suppressLineNumbers w:val="0"/>
              <w:spacing w:before="0" w:beforeAutospacing="0" w:after="0" w:afterAutospacing="0"/>
              <w:ind w:left="0" w:right="0"/>
              <w:jc w:val="left"/>
              <w:rPr>
                <w:rFonts w:hint="default" w:ascii="方正仿宋_GBK" w:hAnsi="方正仿宋_GBK" w:eastAsia="方正仿宋_GBK" w:cs="方正仿宋_GBK"/>
                <w:sz w:val="24"/>
              </w:rPr>
            </w:pPr>
          </w:p>
        </w:tc>
        <w:tc>
          <w:tcPr>
            <w:tcW w:w="1991" w:type="dxa"/>
            <w:gridSpan w:val="2"/>
            <w:noWrap w:val="0"/>
            <w:vAlign w:val="center"/>
          </w:tcPr>
          <w:p>
            <w:pPr>
              <w:keepNext w:val="0"/>
              <w:keepLines w:val="0"/>
              <w:widowControl/>
              <w:suppressLineNumbers w:val="0"/>
              <w:spacing w:before="0" w:beforeAutospacing="0" w:after="0" w:afterAutospacing="0"/>
              <w:ind w:left="0" w:right="0"/>
              <w:jc w:val="left"/>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项目名称</w:t>
            </w:r>
          </w:p>
        </w:tc>
        <w:tc>
          <w:tcPr>
            <w:tcW w:w="3645" w:type="dxa"/>
            <w:gridSpan w:val="2"/>
            <w:noWrap w:val="0"/>
            <w:vAlign w:val="center"/>
          </w:tcPr>
          <w:p>
            <w:pPr>
              <w:keepNext w:val="0"/>
              <w:keepLines w:val="0"/>
              <w:widowControl/>
              <w:suppressLineNumbers w:val="0"/>
              <w:spacing w:before="0" w:beforeAutospacing="0" w:after="0" w:afterAutospacing="0"/>
              <w:ind w:left="0" w:right="0"/>
              <w:jc w:val="left"/>
              <w:rPr>
                <w:rFonts w:hint="default"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gridSpan w:val="2"/>
            <w:noWrap w:val="0"/>
            <w:vAlign w:val="center"/>
          </w:tcPr>
          <w:p>
            <w:pPr>
              <w:keepNext w:val="0"/>
              <w:keepLines w:val="0"/>
              <w:widowControl/>
              <w:suppressLineNumbers w:val="0"/>
              <w:snapToGrid w:val="0"/>
              <w:spacing w:before="0" w:beforeAutospacing="0" w:after="0" w:afterAutospacing="0"/>
              <w:ind w:left="0" w:leftChars="0" w:right="0" w:firstLine="0" w:firstLineChars="0"/>
              <w:jc w:val="left"/>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投标（响应）供应商</w:t>
            </w:r>
          </w:p>
        </w:tc>
        <w:tc>
          <w:tcPr>
            <w:tcW w:w="2553" w:type="dxa"/>
            <w:gridSpan w:val="2"/>
            <w:noWrap w:val="0"/>
            <w:vAlign w:val="center"/>
          </w:tcPr>
          <w:p>
            <w:pPr>
              <w:keepNext w:val="0"/>
              <w:keepLines w:val="0"/>
              <w:widowControl/>
              <w:suppressLineNumbers w:val="0"/>
              <w:spacing w:before="0" w:beforeAutospacing="0" w:after="0" w:afterAutospacing="0"/>
              <w:ind w:left="0" w:right="0"/>
              <w:jc w:val="left"/>
              <w:rPr>
                <w:rFonts w:hint="default" w:ascii="方正仿宋_GBK" w:hAnsi="方正仿宋_GBK" w:eastAsia="方正仿宋_GBK" w:cs="方正仿宋_GBK"/>
                <w:sz w:val="24"/>
              </w:rPr>
            </w:pPr>
          </w:p>
        </w:tc>
        <w:tc>
          <w:tcPr>
            <w:tcW w:w="1991" w:type="dxa"/>
            <w:gridSpan w:val="2"/>
            <w:noWrap w:val="0"/>
            <w:vAlign w:val="center"/>
          </w:tcPr>
          <w:p>
            <w:pPr>
              <w:keepNext w:val="0"/>
              <w:keepLines w:val="0"/>
              <w:widowControl/>
              <w:suppressLineNumbers w:val="0"/>
              <w:snapToGrid w:val="0"/>
              <w:spacing w:before="0" w:beforeAutospacing="0" w:after="0" w:afterAutospacing="0"/>
              <w:ind w:left="0" w:leftChars="0" w:right="0" w:firstLine="0" w:firstLineChars="0"/>
              <w:jc w:val="left"/>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供应商统一社会信用代码</w:t>
            </w:r>
          </w:p>
        </w:tc>
        <w:tc>
          <w:tcPr>
            <w:tcW w:w="3645" w:type="dxa"/>
            <w:gridSpan w:val="2"/>
            <w:noWrap w:val="0"/>
            <w:vAlign w:val="center"/>
          </w:tcPr>
          <w:p>
            <w:pPr>
              <w:keepNext w:val="0"/>
              <w:keepLines w:val="0"/>
              <w:widowControl/>
              <w:suppressLineNumbers w:val="0"/>
              <w:spacing w:before="0" w:beforeAutospacing="0" w:after="0" w:afterAutospacing="0"/>
              <w:ind w:left="0" w:right="0"/>
              <w:jc w:val="left"/>
              <w:rPr>
                <w:rFonts w:hint="default"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0545" w:type="dxa"/>
            <w:gridSpan w:val="8"/>
            <w:noWrap w:val="0"/>
            <w:vAlign w:val="center"/>
          </w:tcPr>
          <w:p>
            <w:pPr>
              <w:keepNext w:val="0"/>
              <w:keepLines w:val="0"/>
              <w:widowControl/>
              <w:suppressLineNumbers w:val="0"/>
              <w:spacing w:before="0" w:beforeAutospacing="0" w:after="0" w:afterAutospacing="0"/>
              <w:ind w:left="0" w:right="0"/>
              <w:jc w:val="left"/>
              <w:rPr>
                <w:rFonts w:hint="default" w:ascii="方正仿宋_GBK" w:hAnsi="方正仿宋_GBK" w:eastAsia="方正仿宋_GBK" w:cs="方正仿宋_GBK"/>
                <w:sz w:val="24"/>
              </w:rPr>
            </w:pPr>
            <w:r>
              <w:rPr>
                <w:rFonts w:hint="eastAsia" w:ascii="方正仿宋_GBK" w:hAnsi="方正仿宋_GBK" w:eastAsia="方正仿宋_GBK" w:cs="方正仿宋_GBK"/>
                <w:b/>
                <w:bCs/>
                <w:sz w:val="24"/>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tcBorders>
              <w:bottom w:val="single" w:color="auto" w:sz="4" w:space="0"/>
            </w:tcBorders>
            <w:noWrap w:val="0"/>
            <w:vAlign w:val="center"/>
          </w:tcPr>
          <w:p>
            <w:pPr>
              <w:keepNext w:val="0"/>
              <w:keepLines w:val="0"/>
              <w:widowControl/>
              <w:suppressLineNumbers w:val="0"/>
              <w:snapToGrid w:val="0"/>
              <w:spacing w:before="0" w:beforeAutospacing="0" w:after="0" w:afterAutospacing="0"/>
              <w:ind w:left="0" w:leftChars="0" w:right="0" w:firstLine="0" w:firstLineChars="0"/>
              <w:jc w:val="center"/>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职务</w:t>
            </w:r>
          </w:p>
        </w:tc>
        <w:tc>
          <w:tcPr>
            <w:tcW w:w="1270" w:type="dxa"/>
            <w:tcBorders>
              <w:bottom w:val="single" w:color="auto" w:sz="4" w:space="0"/>
            </w:tcBorders>
            <w:noWrap w:val="0"/>
            <w:vAlign w:val="center"/>
          </w:tcPr>
          <w:p>
            <w:pPr>
              <w:keepNext w:val="0"/>
              <w:keepLines w:val="0"/>
              <w:widowControl/>
              <w:suppressLineNumbers w:val="0"/>
              <w:spacing w:before="0" w:beforeAutospacing="0" w:after="0" w:afterAutospacing="0"/>
              <w:ind w:left="0" w:leftChars="0" w:right="0" w:firstLine="0" w:firstLineChars="0"/>
              <w:jc w:val="center"/>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姓名</w:t>
            </w:r>
          </w:p>
        </w:tc>
        <w:tc>
          <w:tcPr>
            <w:tcW w:w="1991" w:type="dxa"/>
            <w:gridSpan w:val="2"/>
            <w:tcBorders>
              <w:bottom w:val="single" w:color="auto" w:sz="4" w:space="0"/>
            </w:tcBorders>
            <w:noWrap w:val="0"/>
            <w:vAlign w:val="center"/>
          </w:tcPr>
          <w:p>
            <w:pPr>
              <w:keepNext w:val="0"/>
              <w:keepLines w:val="0"/>
              <w:widowControl/>
              <w:suppressLineNumbers w:val="0"/>
              <w:spacing w:before="0" w:beforeAutospacing="0" w:after="0" w:afterAutospacing="0"/>
              <w:ind w:left="0" w:leftChars="0" w:right="0" w:firstLine="0" w:firstLineChars="0"/>
              <w:jc w:val="center"/>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身份证号码</w:t>
            </w:r>
          </w:p>
        </w:tc>
        <w:tc>
          <w:tcPr>
            <w:tcW w:w="1500" w:type="dxa"/>
            <w:tcBorders>
              <w:bottom w:val="single" w:color="auto" w:sz="4" w:space="0"/>
            </w:tcBorders>
            <w:noWrap w:val="0"/>
            <w:vAlign w:val="center"/>
          </w:tcPr>
          <w:p>
            <w:pPr>
              <w:keepNext w:val="0"/>
              <w:keepLines w:val="0"/>
              <w:widowControl/>
              <w:suppressLineNumbers w:val="0"/>
              <w:snapToGrid w:val="0"/>
              <w:spacing w:before="0" w:beforeAutospacing="0" w:after="0" w:afterAutospacing="0"/>
              <w:ind w:left="0" w:leftChars="0" w:right="0" w:firstLine="0" w:firstLineChars="0"/>
              <w:jc w:val="center"/>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劳动合同</w:t>
            </w:r>
          </w:p>
          <w:p>
            <w:pPr>
              <w:keepNext w:val="0"/>
              <w:keepLines w:val="0"/>
              <w:widowControl/>
              <w:suppressLineNumbers w:val="0"/>
              <w:snapToGrid w:val="0"/>
              <w:spacing w:before="0" w:beforeAutospacing="0" w:after="0" w:afterAutospacing="0"/>
              <w:ind w:left="0" w:leftChars="0" w:right="0" w:firstLine="0" w:firstLineChars="0"/>
              <w:jc w:val="center"/>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关系单位</w:t>
            </w:r>
          </w:p>
        </w:tc>
        <w:tc>
          <w:tcPr>
            <w:tcW w:w="2145" w:type="dxa"/>
            <w:tcBorders>
              <w:bottom w:val="single" w:color="auto" w:sz="4" w:space="0"/>
            </w:tcBorders>
            <w:noWrap w:val="0"/>
            <w:vAlign w:val="center"/>
          </w:tcPr>
          <w:p>
            <w:pPr>
              <w:keepNext w:val="0"/>
              <w:keepLines w:val="0"/>
              <w:widowControl/>
              <w:suppressLineNumbers w:val="0"/>
              <w:snapToGrid w:val="0"/>
              <w:spacing w:before="0" w:beforeAutospacing="0" w:after="0" w:afterAutospacing="0"/>
              <w:ind w:left="0" w:leftChars="0" w:right="0" w:firstLine="0" w:firstLineChars="0"/>
              <w:jc w:val="center"/>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缴纳社会保险单位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leftChars="0" w:right="0" w:firstLine="0" w:firstLineChars="0"/>
              <w:jc w:val="center"/>
              <w:rPr>
                <w:rFonts w:hint="default" w:ascii="方正仿宋_GBK" w:hAnsi="方正仿宋_GBK" w:eastAsia="方正仿宋_GBK" w:cs="方正仿宋_GBK"/>
                <w:sz w:val="24"/>
              </w:rPr>
            </w:pPr>
            <w:r>
              <w:rPr>
                <w:rFonts w:hint="eastAsia" w:ascii="方正仿宋_GBK" w:hAnsi="方正仿宋_GBK" w:eastAsia="方正仿宋_GBK" w:cs="方正仿宋_GBK"/>
                <w:sz w:val="22"/>
                <w:szCs w:val="22"/>
              </w:rPr>
              <w:t>法定代表人/单位负责人/主要经营负责人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方正仿宋_GBK" w:hAnsi="方正仿宋_GBK" w:eastAsia="方正仿宋_GBK" w:cs="方正仿宋_GBK"/>
                <w:sz w:val="24"/>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leftChars="0" w:right="0" w:firstLine="0" w:firstLineChars="0"/>
              <w:jc w:val="center"/>
              <w:rPr>
                <w:rFonts w:hint="default" w:ascii="方正仿宋_GBK" w:hAnsi="方正仿宋_GBK" w:eastAsia="方正仿宋_GBK" w:cs="方正仿宋_GBK"/>
                <w:sz w:val="24"/>
              </w:rPr>
            </w:pPr>
            <w:r>
              <w:rPr>
                <w:rFonts w:hint="eastAsia" w:ascii="方正仿宋_GBK" w:hAnsi="方正仿宋_GBK" w:eastAsia="方正仿宋_GBK" w:cs="方正仿宋_GBK"/>
                <w:sz w:val="22"/>
                <w:szCs w:val="22"/>
              </w:rPr>
              <w:t>项目投标授权代表人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方正仿宋_GBK" w:hAnsi="方正仿宋_GBK" w:eastAsia="方正仿宋_GBK" w:cs="方正仿宋_GBK"/>
                <w:sz w:val="24"/>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3</w:t>
            </w:r>
          </w:p>
        </w:tc>
        <w:tc>
          <w:tcPr>
            <w:tcW w:w="2345" w:type="dxa"/>
            <w:gridSpan w:val="2"/>
            <w:tcBorders>
              <w:top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项目负责人</w:t>
            </w:r>
          </w:p>
        </w:tc>
        <w:tc>
          <w:tcPr>
            <w:tcW w:w="1270" w:type="dxa"/>
            <w:tcBorders>
              <w:top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方正仿宋_GBK" w:hAnsi="方正仿宋_GBK" w:eastAsia="方正仿宋_GBK" w:cs="方正仿宋_GBK"/>
                <w:sz w:val="24"/>
              </w:rPr>
            </w:pPr>
          </w:p>
        </w:tc>
        <w:tc>
          <w:tcPr>
            <w:tcW w:w="1991" w:type="dxa"/>
            <w:gridSpan w:val="2"/>
            <w:tcBorders>
              <w:top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方正仿宋_GBK" w:hAnsi="方正仿宋_GBK" w:eastAsia="方正仿宋_GBK" w:cs="方正仿宋_GBK"/>
                <w:sz w:val="24"/>
              </w:rPr>
            </w:pPr>
          </w:p>
        </w:tc>
        <w:tc>
          <w:tcPr>
            <w:tcW w:w="1500" w:type="dxa"/>
            <w:tcBorders>
              <w:top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方正仿宋_GBK" w:hAnsi="方正仿宋_GBK" w:eastAsia="方正仿宋_GBK" w:cs="方正仿宋_GBK"/>
                <w:sz w:val="24"/>
              </w:rPr>
            </w:pPr>
          </w:p>
        </w:tc>
        <w:tc>
          <w:tcPr>
            <w:tcW w:w="2145" w:type="dxa"/>
            <w:tcBorders>
              <w:top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keepNext w:val="0"/>
              <w:keepLines w:val="0"/>
              <w:widowControl/>
              <w:suppressLineNumbers w:val="0"/>
              <w:spacing w:before="0" w:beforeAutospacing="0" w:after="0" w:afterAutospacing="0"/>
              <w:ind w:left="0" w:right="0"/>
              <w:jc w:val="left"/>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4</w:t>
            </w:r>
          </w:p>
        </w:tc>
        <w:tc>
          <w:tcPr>
            <w:tcW w:w="2345" w:type="dxa"/>
            <w:gridSpan w:val="2"/>
            <w:noWrap w:val="0"/>
            <w:vAlign w:val="center"/>
          </w:tcPr>
          <w:p>
            <w:pPr>
              <w:keepNext w:val="0"/>
              <w:keepLines w:val="0"/>
              <w:widowControl/>
              <w:suppressLineNumbers w:val="0"/>
              <w:spacing w:before="0" w:beforeAutospacing="0" w:after="0" w:afterAutospacing="0"/>
              <w:ind w:left="0" w:right="0"/>
              <w:jc w:val="center"/>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主要技术人员</w:t>
            </w:r>
          </w:p>
        </w:tc>
        <w:tc>
          <w:tcPr>
            <w:tcW w:w="1270" w:type="dxa"/>
            <w:noWrap w:val="0"/>
            <w:vAlign w:val="center"/>
          </w:tcPr>
          <w:p>
            <w:pPr>
              <w:keepNext w:val="0"/>
              <w:keepLines w:val="0"/>
              <w:widowControl/>
              <w:suppressLineNumbers w:val="0"/>
              <w:spacing w:before="0" w:beforeAutospacing="0" w:after="0" w:afterAutospacing="0"/>
              <w:ind w:left="0" w:right="0"/>
              <w:jc w:val="left"/>
              <w:rPr>
                <w:rFonts w:hint="default" w:ascii="方正仿宋_GBK" w:hAnsi="方正仿宋_GBK" w:eastAsia="方正仿宋_GBK" w:cs="方正仿宋_GBK"/>
                <w:sz w:val="24"/>
              </w:rPr>
            </w:pPr>
          </w:p>
        </w:tc>
        <w:tc>
          <w:tcPr>
            <w:tcW w:w="1991" w:type="dxa"/>
            <w:gridSpan w:val="2"/>
            <w:noWrap w:val="0"/>
            <w:vAlign w:val="center"/>
          </w:tcPr>
          <w:p>
            <w:pPr>
              <w:keepNext w:val="0"/>
              <w:keepLines w:val="0"/>
              <w:widowControl/>
              <w:suppressLineNumbers w:val="0"/>
              <w:spacing w:before="0" w:beforeAutospacing="0" w:after="0" w:afterAutospacing="0"/>
              <w:ind w:left="0" w:right="0"/>
              <w:jc w:val="left"/>
              <w:rPr>
                <w:rFonts w:hint="default" w:ascii="方正仿宋_GBK" w:hAnsi="方正仿宋_GBK" w:eastAsia="方正仿宋_GBK" w:cs="方正仿宋_GBK"/>
                <w:sz w:val="24"/>
              </w:rPr>
            </w:pPr>
          </w:p>
        </w:tc>
        <w:tc>
          <w:tcPr>
            <w:tcW w:w="1500" w:type="dxa"/>
            <w:noWrap w:val="0"/>
            <w:vAlign w:val="center"/>
          </w:tcPr>
          <w:p>
            <w:pPr>
              <w:keepNext w:val="0"/>
              <w:keepLines w:val="0"/>
              <w:widowControl/>
              <w:suppressLineNumbers w:val="0"/>
              <w:spacing w:before="0" w:beforeAutospacing="0" w:after="0" w:afterAutospacing="0"/>
              <w:ind w:left="0" w:right="0"/>
              <w:jc w:val="left"/>
              <w:rPr>
                <w:rFonts w:hint="default" w:ascii="方正仿宋_GBK" w:hAnsi="方正仿宋_GBK" w:eastAsia="方正仿宋_GBK" w:cs="方正仿宋_GBK"/>
                <w:sz w:val="24"/>
              </w:rPr>
            </w:pPr>
          </w:p>
        </w:tc>
        <w:tc>
          <w:tcPr>
            <w:tcW w:w="2145" w:type="dxa"/>
            <w:noWrap w:val="0"/>
            <w:vAlign w:val="center"/>
          </w:tcPr>
          <w:p>
            <w:pPr>
              <w:keepNext w:val="0"/>
              <w:keepLines w:val="0"/>
              <w:widowControl/>
              <w:suppressLineNumbers w:val="0"/>
              <w:spacing w:before="0" w:beforeAutospacing="0" w:after="0" w:afterAutospacing="0"/>
              <w:ind w:left="0" w:right="0"/>
              <w:jc w:val="left"/>
              <w:rPr>
                <w:rFonts w:hint="default"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keepNext w:val="0"/>
              <w:keepLines w:val="0"/>
              <w:widowControl/>
              <w:suppressLineNumbers w:val="0"/>
              <w:spacing w:before="0" w:beforeAutospacing="0" w:after="0" w:afterAutospacing="0"/>
              <w:ind w:left="0" w:right="0"/>
              <w:jc w:val="left"/>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5</w:t>
            </w:r>
          </w:p>
        </w:tc>
        <w:tc>
          <w:tcPr>
            <w:tcW w:w="2345" w:type="dxa"/>
            <w:gridSpan w:val="2"/>
            <w:noWrap w:val="0"/>
            <w:vAlign w:val="center"/>
          </w:tcPr>
          <w:p>
            <w:pPr>
              <w:pStyle w:val="5"/>
              <w:keepNext w:val="0"/>
              <w:keepLines w:val="0"/>
              <w:widowControl/>
              <w:suppressLineNumbers w:val="0"/>
              <w:snapToGrid w:val="0"/>
              <w:spacing w:before="0" w:beforeAutospacing="0" w:after="0" w:afterAutospacing="0" w:line="240" w:lineRule="auto"/>
              <w:ind w:left="0" w:right="0" w:firstLine="0" w:firstLineChars="0"/>
              <w:jc w:val="center"/>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投标文件编制人员</w:t>
            </w:r>
          </w:p>
        </w:tc>
        <w:tc>
          <w:tcPr>
            <w:tcW w:w="1270" w:type="dxa"/>
            <w:noWrap w:val="0"/>
            <w:vAlign w:val="center"/>
          </w:tcPr>
          <w:p>
            <w:pPr>
              <w:keepNext w:val="0"/>
              <w:keepLines w:val="0"/>
              <w:widowControl/>
              <w:suppressLineNumbers w:val="0"/>
              <w:spacing w:before="0" w:beforeAutospacing="0" w:after="0" w:afterAutospacing="0"/>
              <w:ind w:left="0" w:right="0"/>
              <w:jc w:val="left"/>
              <w:rPr>
                <w:rFonts w:hint="default" w:ascii="方正仿宋_GBK" w:hAnsi="方正仿宋_GBK" w:eastAsia="方正仿宋_GBK" w:cs="方正仿宋_GBK"/>
                <w:sz w:val="24"/>
              </w:rPr>
            </w:pPr>
          </w:p>
        </w:tc>
        <w:tc>
          <w:tcPr>
            <w:tcW w:w="1991" w:type="dxa"/>
            <w:gridSpan w:val="2"/>
            <w:noWrap w:val="0"/>
            <w:vAlign w:val="center"/>
          </w:tcPr>
          <w:p>
            <w:pPr>
              <w:keepNext w:val="0"/>
              <w:keepLines w:val="0"/>
              <w:widowControl/>
              <w:suppressLineNumbers w:val="0"/>
              <w:spacing w:before="0" w:beforeAutospacing="0" w:after="0" w:afterAutospacing="0"/>
              <w:ind w:left="0" w:right="0"/>
              <w:jc w:val="left"/>
              <w:rPr>
                <w:rFonts w:hint="default" w:ascii="方正仿宋_GBK" w:hAnsi="方正仿宋_GBK" w:eastAsia="方正仿宋_GBK" w:cs="方正仿宋_GBK"/>
                <w:sz w:val="24"/>
              </w:rPr>
            </w:pPr>
          </w:p>
        </w:tc>
        <w:tc>
          <w:tcPr>
            <w:tcW w:w="1500" w:type="dxa"/>
            <w:noWrap w:val="0"/>
            <w:vAlign w:val="center"/>
          </w:tcPr>
          <w:p>
            <w:pPr>
              <w:keepNext w:val="0"/>
              <w:keepLines w:val="0"/>
              <w:widowControl/>
              <w:suppressLineNumbers w:val="0"/>
              <w:spacing w:before="0" w:beforeAutospacing="0" w:after="0" w:afterAutospacing="0"/>
              <w:ind w:left="0" w:right="0"/>
              <w:jc w:val="left"/>
              <w:rPr>
                <w:rFonts w:hint="default" w:ascii="方正仿宋_GBK" w:hAnsi="方正仿宋_GBK" w:eastAsia="方正仿宋_GBK" w:cs="方正仿宋_GBK"/>
                <w:sz w:val="24"/>
              </w:rPr>
            </w:pPr>
          </w:p>
        </w:tc>
        <w:tc>
          <w:tcPr>
            <w:tcW w:w="2145" w:type="dxa"/>
            <w:noWrap w:val="0"/>
            <w:vAlign w:val="center"/>
          </w:tcPr>
          <w:p>
            <w:pPr>
              <w:keepNext w:val="0"/>
              <w:keepLines w:val="0"/>
              <w:widowControl/>
              <w:suppressLineNumbers w:val="0"/>
              <w:spacing w:before="0" w:beforeAutospacing="0" w:after="0" w:afterAutospacing="0"/>
              <w:ind w:left="0" w:right="0"/>
              <w:jc w:val="left"/>
              <w:rPr>
                <w:rFonts w:hint="default"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noWrap w:val="0"/>
            <w:vAlign w:val="center"/>
          </w:tcPr>
          <w:p>
            <w:pPr>
              <w:keepNext w:val="0"/>
              <w:keepLines w:val="0"/>
              <w:widowControl/>
              <w:suppressLineNumbers w:val="0"/>
              <w:spacing w:before="0" w:beforeAutospacing="0" w:after="0" w:afterAutospacing="0"/>
              <w:ind w:left="0" w:leftChars="0" w:right="0" w:firstLine="0" w:firstLineChars="0"/>
              <w:jc w:val="left"/>
              <w:rPr>
                <w:rFonts w:hint="default" w:ascii="方正仿宋_GBK" w:hAnsi="方正仿宋_GBK" w:eastAsia="方正仿宋_GBK" w:cs="方正仿宋_GBK"/>
                <w:sz w:val="24"/>
              </w:rPr>
            </w:pPr>
            <w:r>
              <w:rPr>
                <w:rFonts w:hint="eastAsia" w:ascii="方正仿宋_GBK" w:hAnsi="方正仿宋_GBK" w:eastAsia="方正仿宋_GBK" w:cs="方正仿宋_GBK"/>
                <w:b/>
                <w:bCs/>
                <w:sz w:val="24"/>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0545" w:type="dxa"/>
            <w:gridSpan w:val="8"/>
            <w:noWrap w:val="0"/>
            <w:vAlign w:val="center"/>
          </w:tcPr>
          <w:p>
            <w:pPr>
              <w:keepNext w:val="0"/>
              <w:keepLines w:val="0"/>
              <w:widowControl/>
              <w:suppressLineNumbers w:val="0"/>
              <w:spacing w:before="0" w:beforeAutospacing="0" w:after="0" w:afterAutospacing="0"/>
              <w:ind w:left="0" w:leftChars="0" w:right="0" w:firstLine="0" w:firstLineChars="0"/>
              <w:jc w:val="left"/>
              <w:rPr>
                <w:rFonts w:hint="default" w:ascii="方正仿宋_GBK" w:hAnsi="方正仿宋_GBK" w:eastAsia="方正仿宋_GBK" w:cs="方正仿宋_GBK"/>
                <w:b/>
                <w:bCs/>
                <w:sz w:val="24"/>
              </w:rPr>
            </w:pPr>
            <w:r>
              <w:rPr>
                <w:rFonts w:hint="default" w:ascii="方正仿宋_GBK" w:hAnsi="方正仿宋_GBK" w:eastAsia="方正仿宋_GBK" w:cs="方正仿宋_GBK"/>
                <w:b/>
                <w:bCs/>
                <w:sz w:val="24"/>
                <w:lang w:val="en-US"/>
              </w:rPr>
              <w:t>0</w:t>
            </w:r>
            <w:r>
              <w:rPr>
                <w:rFonts w:hint="eastAsia" w:ascii="方正仿宋_GBK" w:hAnsi="方正仿宋_GBK" w:eastAsia="方正仿宋_GBK" w:cs="方正仿宋_GBK"/>
                <w:b/>
                <w:bCs/>
                <w:sz w:val="24"/>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bottom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noWrap w:val="0"/>
            <w:vAlign w:val="center"/>
          </w:tcPr>
          <w:p>
            <w:pPr>
              <w:keepNext w:val="0"/>
              <w:keepLines w:val="0"/>
              <w:widowControl/>
              <w:suppressLineNumbers w:val="0"/>
              <w:spacing w:before="0" w:beforeAutospacing="0" w:after="0" w:afterAutospacing="0"/>
              <w:ind w:left="0" w:leftChars="0" w:right="0" w:firstLine="0" w:firstLineChars="0"/>
              <w:jc w:val="center"/>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关联关系类型</w:t>
            </w:r>
          </w:p>
        </w:tc>
        <w:tc>
          <w:tcPr>
            <w:tcW w:w="2061" w:type="dxa"/>
            <w:gridSpan w:val="2"/>
            <w:tcBorders>
              <w:bottom w:val="single" w:color="auto" w:sz="4" w:space="0"/>
            </w:tcBorders>
            <w:noWrap w:val="0"/>
            <w:vAlign w:val="center"/>
          </w:tcPr>
          <w:p>
            <w:pPr>
              <w:keepNext w:val="0"/>
              <w:keepLines w:val="0"/>
              <w:widowControl/>
              <w:suppressLineNumbers w:val="0"/>
              <w:spacing w:before="0" w:beforeAutospacing="0" w:after="0" w:afterAutospacing="0"/>
              <w:ind w:left="0" w:leftChars="0" w:right="0" w:firstLine="0" w:firstLineChars="0"/>
              <w:jc w:val="center"/>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关联主体名称</w:t>
            </w:r>
          </w:p>
        </w:tc>
        <w:tc>
          <w:tcPr>
            <w:tcW w:w="4845" w:type="dxa"/>
            <w:gridSpan w:val="3"/>
            <w:tcBorders>
              <w:bottom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控股股东</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方正仿宋_GBK" w:hAnsi="方正仿宋_GBK" w:eastAsia="方正仿宋_GBK" w:cs="方正仿宋_GBK"/>
                <w:sz w:val="24"/>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exact"/>
              <w:ind w:left="0" w:leftChars="0" w:right="0" w:firstLine="0" w:firstLineChars="0"/>
              <w:jc w:val="left"/>
              <w:textAlignment w:val="auto"/>
              <w:rPr>
                <w:rFonts w:hint="default" w:ascii="方正仿宋_GBK" w:hAnsi="方正仿宋_GBK" w:eastAsia="方正仿宋_GBK" w:cs="方正仿宋_GBK"/>
                <w:sz w:val="24"/>
              </w:rPr>
            </w:pPr>
            <w:r>
              <w:rPr>
                <w:rFonts w:hint="eastAsia" w:ascii="方正仿宋_GBK" w:hAnsi="方正仿宋_GBK" w:eastAsia="方正仿宋_GBK" w:cs="方正仿宋_GBK"/>
                <w:sz w:val="18"/>
                <w:szCs w:val="18"/>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管理关系</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方正仿宋_GBK" w:hAnsi="方正仿宋_GBK" w:eastAsia="方正仿宋_GBK" w:cs="方正仿宋_GBK"/>
                <w:sz w:val="24"/>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napToGrid w:val="0"/>
              <w:spacing w:before="0" w:beforeAutospacing="0" w:after="0" w:afterAutospacing="0"/>
              <w:ind w:left="0" w:leftChars="0" w:right="0" w:firstLine="0" w:firstLineChars="0"/>
              <w:jc w:val="left"/>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napToGrid w:val="0"/>
              <w:spacing w:before="0" w:beforeAutospacing="0" w:after="0" w:afterAutospacing="0"/>
              <w:ind w:left="0" w:right="0"/>
              <w:jc w:val="left"/>
              <w:rPr>
                <w:rFonts w:hint="default" w:ascii="方正仿宋_GBK" w:hAnsi="方正仿宋_GBK" w:eastAsia="方正仿宋_GBK" w:cs="方正仿宋_GBK"/>
                <w:sz w:val="24"/>
              </w:rPr>
            </w:pPr>
            <w:r>
              <w:rPr>
                <w:rFonts w:hint="eastAsia" w:ascii="方正仿宋_GBK" w:hAnsi="方正仿宋_GBK" w:eastAsia="方正仿宋_GBK" w:cs="方正仿宋_GBK"/>
                <w:b/>
                <w:bCs/>
                <w:sz w:val="24"/>
              </w:rPr>
              <w:t>说明：同一关联关系类型有多个主体的，应分行填写。</w:t>
            </w:r>
          </w:p>
        </w:tc>
      </w:tr>
    </w:tbl>
    <w:p>
      <w:pPr>
        <w:numPr>
          <w:ilvl w:val="0"/>
          <w:numId w:val="0"/>
        </w:numPr>
        <w:spacing w:line="560" w:lineRule="exact"/>
        <w:jc w:val="left"/>
        <w:rPr>
          <w:rFonts w:hint="default" w:ascii="黑体" w:hAnsi="黑体" w:eastAsia="黑体" w:cs="黑体"/>
          <w:sz w:val="32"/>
          <w:szCs w:val="32"/>
          <w:lang w:val="en-US" w:eastAsia="zh-CN"/>
        </w:rPr>
      </w:pPr>
    </w:p>
    <w:sectPr>
      <w:footerReference r:id="rId5" w:type="default"/>
      <w:pgSz w:w="11906" w:h="16838"/>
      <w:pgMar w:top="2098" w:right="1474" w:bottom="1984" w:left="1587"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altName w:val="OpenSymbol"/>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Open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等线 Light">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Times">
    <w:altName w:val="DejaVu Sans"/>
    <w:panose1 w:val="02020603050405020304"/>
    <w:charset w:val="00"/>
    <w:family w:val="roman"/>
    <w:pitch w:val="default"/>
    <w:sig w:usb0="00000000" w:usb1="00000000" w:usb2="00000009" w:usb3="00000000" w:csb0="000001FF"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1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D660B6"/>
    <w:multiLevelType w:val="singleLevel"/>
    <w:tmpl w:val="BCD660B6"/>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1MDFiYTIxMDgwYjc0MjJmYjY5YWQwZjc1NzkyNDAifQ=="/>
  </w:docVars>
  <w:rsids>
    <w:rsidRoot w:val="30F85651"/>
    <w:rsid w:val="04F5AC73"/>
    <w:rsid w:val="068723D9"/>
    <w:rsid w:val="06FC6923"/>
    <w:rsid w:val="07886409"/>
    <w:rsid w:val="08C416C3"/>
    <w:rsid w:val="0A5627EE"/>
    <w:rsid w:val="0ADDE120"/>
    <w:rsid w:val="0B3C0136"/>
    <w:rsid w:val="0D780CCE"/>
    <w:rsid w:val="0DDF6F9F"/>
    <w:rsid w:val="0EF73BB9"/>
    <w:rsid w:val="102D2243"/>
    <w:rsid w:val="133FA4FF"/>
    <w:rsid w:val="16CB00C0"/>
    <w:rsid w:val="17D336D0"/>
    <w:rsid w:val="17D50974"/>
    <w:rsid w:val="1A5F124B"/>
    <w:rsid w:val="1CFF0749"/>
    <w:rsid w:val="1DF47EFC"/>
    <w:rsid w:val="1F3B6A91"/>
    <w:rsid w:val="1FB5F5F0"/>
    <w:rsid w:val="1FF71F26"/>
    <w:rsid w:val="21091F11"/>
    <w:rsid w:val="2198527F"/>
    <w:rsid w:val="22B91B2D"/>
    <w:rsid w:val="24EA2059"/>
    <w:rsid w:val="24FD1D8D"/>
    <w:rsid w:val="2777D39E"/>
    <w:rsid w:val="2B00656C"/>
    <w:rsid w:val="2C5129BE"/>
    <w:rsid w:val="2C8763E0"/>
    <w:rsid w:val="2C9034E6"/>
    <w:rsid w:val="2ECB6A58"/>
    <w:rsid w:val="2F7A564C"/>
    <w:rsid w:val="30F85651"/>
    <w:rsid w:val="33136C1F"/>
    <w:rsid w:val="33A5E854"/>
    <w:rsid w:val="33F90A66"/>
    <w:rsid w:val="34DD74E5"/>
    <w:rsid w:val="367B585B"/>
    <w:rsid w:val="3A446A76"/>
    <w:rsid w:val="3A8B1791"/>
    <w:rsid w:val="3AF79A2C"/>
    <w:rsid w:val="3AFB8A1A"/>
    <w:rsid w:val="3B5339A2"/>
    <w:rsid w:val="3BCFA7D1"/>
    <w:rsid w:val="3BF34694"/>
    <w:rsid w:val="3BFC2E68"/>
    <w:rsid w:val="3C6F3118"/>
    <w:rsid w:val="3EF747D4"/>
    <w:rsid w:val="3F5D194E"/>
    <w:rsid w:val="3F7EC839"/>
    <w:rsid w:val="3F7F3536"/>
    <w:rsid w:val="3FBF0BBE"/>
    <w:rsid w:val="3FEDA2C7"/>
    <w:rsid w:val="3FF35E0E"/>
    <w:rsid w:val="41AA69A0"/>
    <w:rsid w:val="453E7B2C"/>
    <w:rsid w:val="459E681C"/>
    <w:rsid w:val="45CC5137"/>
    <w:rsid w:val="47BC2C1A"/>
    <w:rsid w:val="47C85DD2"/>
    <w:rsid w:val="48F669F4"/>
    <w:rsid w:val="4BA86D39"/>
    <w:rsid w:val="4BFFE5DC"/>
    <w:rsid w:val="4F1D6A04"/>
    <w:rsid w:val="4FFA9FB4"/>
    <w:rsid w:val="51624BA2"/>
    <w:rsid w:val="53F7D3F6"/>
    <w:rsid w:val="567FCF1F"/>
    <w:rsid w:val="56FA0705"/>
    <w:rsid w:val="57474FFD"/>
    <w:rsid w:val="584119B5"/>
    <w:rsid w:val="59E6A832"/>
    <w:rsid w:val="5B5F03A4"/>
    <w:rsid w:val="5D7E45C7"/>
    <w:rsid w:val="5DDCAC9A"/>
    <w:rsid w:val="5EEFD17A"/>
    <w:rsid w:val="5F73B63D"/>
    <w:rsid w:val="5FFF1A42"/>
    <w:rsid w:val="637F53BB"/>
    <w:rsid w:val="63E61662"/>
    <w:rsid w:val="64D3528F"/>
    <w:rsid w:val="69FD5379"/>
    <w:rsid w:val="6AD51CEE"/>
    <w:rsid w:val="6B3233DF"/>
    <w:rsid w:val="6B7F71DD"/>
    <w:rsid w:val="6BFF9613"/>
    <w:rsid w:val="6FFB577D"/>
    <w:rsid w:val="72127AC6"/>
    <w:rsid w:val="73012015"/>
    <w:rsid w:val="74116287"/>
    <w:rsid w:val="752E1480"/>
    <w:rsid w:val="75FA4ED2"/>
    <w:rsid w:val="76BA7B79"/>
    <w:rsid w:val="76BB6586"/>
    <w:rsid w:val="76EE465E"/>
    <w:rsid w:val="7777FAA9"/>
    <w:rsid w:val="77A7E039"/>
    <w:rsid w:val="783E1615"/>
    <w:rsid w:val="796B89B1"/>
    <w:rsid w:val="7997B082"/>
    <w:rsid w:val="79F3379A"/>
    <w:rsid w:val="79F79FAE"/>
    <w:rsid w:val="7AEC14C0"/>
    <w:rsid w:val="7AEFACAE"/>
    <w:rsid w:val="7AFF2140"/>
    <w:rsid w:val="7B2E886A"/>
    <w:rsid w:val="7BBE7B65"/>
    <w:rsid w:val="7BDA61C3"/>
    <w:rsid w:val="7C52568F"/>
    <w:rsid w:val="7CED1D7D"/>
    <w:rsid w:val="7CEEFC45"/>
    <w:rsid w:val="7D762F66"/>
    <w:rsid w:val="7DDB2817"/>
    <w:rsid w:val="7DDBB7D8"/>
    <w:rsid w:val="7DFD1829"/>
    <w:rsid w:val="7DFDBED9"/>
    <w:rsid w:val="7E2705AB"/>
    <w:rsid w:val="7E2FED38"/>
    <w:rsid w:val="7E6F592E"/>
    <w:rsid w:val="7E713A82"/>
    <w:rsid w:val="7EE5C6D4"/>
    <w:rsid w:val="7EEA405A"/>
    <w:rsid w:val="7F5747E2"/>
    <w:rsid w:val="7F6000C3"/>
    <w:rsid w:val="7F7DDB03"/>
    <w:rsid w:val="7F7FA9E1"/>
    <w:rsid w:val="7F9A0BEB"/>
    <w:rsid w:val="7FB76A7B"/>
    <w:rsid w:val="7FB7FCDA"/>
    <w:rsid w:val="7FBB6593"/>
    <w:rsid w:val="7FC701C6"/>
    <w:rsid w:val="7FD74ABD"/>
    <w:rsid w:val="7FEEDA87"/>
    <w:rsid w:val="7FFB019F"/>
    <w:rsid w:val="7FFF36FB"/>
    <w:rsid w:val="7FFF9E69"/>
    <w:rsid w:val="7FFFFE24"/>
    <w:rsid w:val="8DEF327C"/>
    <w:rsid w:val="9310AF86"/>
    <w:rsid w:val="93FA54E2"/>
    <w:rsid w:val="99FE5795"/>
    <w:rsid w:val="9F2F2E5A"/>
    <w:rsid w:val="9FA793ED"/>
    <w:rsid w:val="9FFF5AB5"/>
    <w:rsid w:val="A1EF85E4"/>
    <w:rsid w:val="A6D7BA72"/>
    <w:rsid w:val="AB9FD0FB"/>
    <w:rsid w:val="ADFB85D3"/>
    <w:rsid w:val="AFAD739D"/>
    <w:rsid w:val="AFE75D0A"/>
    <w:rsid w:val="B1D5123E"/>
    <w:rsid w:val="B39FEB9C"/>
    <w:rsid w:val="B5C731D6"/>
    <w:rsid w:val="B5FF0D24"/>
    <w:rsid w:val="B7BF081B"/>
    <w:rsid w:val="B7F7D0B6"/>
    <w:rsid w:val="B7FC65E9"/>
    <w:rsid w:val="B7FEE5CE"/>
    <w:rsid w:val="B973D6B2"/>
    <w:rsid w:val="BDF9A253"/>
    <w:rsid w:val="BEDBBFD8"/>
    <w:rsid w:val="BFBF8AA3"/>
    <w:rsid w:val="BFF4AD3D"/>
    <w:rsid w:val="BFFFF310"/>
    <w:rsid w:val="C75ACCC4"/>
    <w:rsid w:val="C9FF41FA"/>
    <w:rsid w:val="CCFDE8B2"/>
    <w:rsid w:val="CDDBC673"/>
    <w:rsid w:val="CFC71414"/>
    <w:rsid w:val="CFE79346"/>
    <w:rsid w:val="CFEEBD13"/>
    <w:rsid w:val="D3B26A65"/>
    <w:rsid w:val="D3BFFCF1"/>
    <w:rsid w:val="DBFFB527"/>
    <w:rsid w:val="DC7FFD17"/>
    <w:rsid w:val="DD2E1BAA"/>
    <w:rsid w:val="DDEDBF13"/>
    <w:rsid w:val="DDFFC818"/>
    <w:rsid w:val="DF6D8F29"/>
    <w:rsid w:val="DFF53DA2"/>
    <w:rsid w:val="E5FF0B89"/>
    <w:rsid w:val="E7DDEEA3"/>
    <w:rsid w:val="E7FDB133"/>
    <w:rsid w:val="E7FFD4CB"/>
    <w:rsid w:val="E9BF3261"/>
    <w:rsid w:val="EDEF011F"/>
    <w:rsid w:val="EDFF44EC"/>
    <w:rsid w:val="EE199B58"/>
    <w:rsid w:val="EE7B2119"/>
    <w:rsid w:val="EF254B62"/>
    <w:rsid w:val="EFFF6939"/>
    <w:rsid w:val="F35504B7"/>
    <w:rsid w:val="F3FF92B9"/>
    <w:rsid w:val="F43F89D7"/>
    <w:rsid w:val="F5D2FD71"/>
    <w:rsid w:val="F5FB7032"/>
    <w:rsid w:val="F63F1CA7"/>
    <w:rsid w:val="F7FF2ABB"/>
    <w:rsid w:val="F82B54E7"/>
    <w:rsid w:val="F9F798AB"/>
    <w:rsid w:val="F9FC5BE6"/>
    <w:rsid w:val="F9FF0D1F"/>
    <w:rsid w:val="FAEF321E"/>
    <w:rsid w:val="FB7D8EA9"/>
    <w:rsid w:val="FB7F0C4C"/>
    <w:rsid w:val="FB8FFDD7"/>
    <w:rsid w:val="FBE63B46"/>
    <w:rsid w:val="FBEEEF1C"/>
    <w:rsid w:val="FBF7E0DD"/>
    <w:rsid w:val="FC3883DE"/>
    <w:rsid w:val="FCFE169F"/>
    <w:rsid w:val="FD7F705F"/>
    <w:rsid w:val="FD9729C5"/>
    <w:rsid w:val="FDDFC38B"/>
    <w:rsid w:val="FDEF49B9"/>
    <w:rsid w:val="FDF19D19"/>
    <w:rsid w:val="FDF5AE54"/>
    <w:rsid w:val="FDFBAC6D"/>
    <w:rsid w:val="FEF7968B"/>
    <w:rsid w:val="FF5BFEEB"/>
    <w:rsid w:val="FF5D05EA"/>
    <w:rsid w:val="FF73B505"/>
    <w:rsid w:val="FFBF23FB"/>
    <w:rsid w:val="FFCEF1C1"/>
    <w:rsid w:val="FFDF5FBF"/>
    <w:rsid w:val="FFEC69D8"/>
    <w:rsid w:val="FFED54DD"/>
    <w:rsid w:val="FFEF7151"/>
    <w:rsid w:val="FFEF94B4"/>
    <w:rsid w:val="FFF09F84"/>
    <w:rsid w:val="FFF63CA1"/>
    <w:rsid w:val="FFFF8375"/>
    <w:rsid w:val="FFFFF1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nhideWhenUsed="0" w:uiPriority="9" w:semiHidden="0" w:name="heading 4"/>
    <w:lsdException w:qFormat="1" w:uiPriority="9"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440" w:lineRule="exact"/>
      <w:ind w:firstLine="420" w:firstLineChars="200"/>
      <w:jc w:val="left"/>
    </w:pPr>
    <w:rPr>
      <w:rFonts w:ascii="等线" w:hAnsi="等线" w:eastAsia="仿宋_GB2312" w:cs="Times New Roman"/>
      <w:kern w:val="2"/>
      <w:sz w:val="32"/>
      <w:szCs w:val="22"/>
      <w:lang w:val="en-US" w:eastAsia="zh-CN" w:bidi="ar-SA"/>
    </w:rPr>
  </w:style>
  <w:style w:type="paragraph" w:styleId="2">
    <w:name w:val="heading 1"/>
    <w:basedOn w:val="1"/>
    <w:next w:val="1"/>
    <w:qFormat/>
    <w:uiPriority w:val="9"/>
    <w:pPr>
      <w:keepNext/>
      <w:keepLines/>
      <w:spacing w:before="0" w:beforeLines="0" w:beforeAutospacing="0" w:after="0" w:afterLines="0" w:afterAutospacing="0" w:line="560" w:lineRule="exact"/>
      <w:ind w:firstLine="420" w:firstLineChars="200"/>
      <w:jc w:val="left"/>
      <w:outlineLvl w:val="0"/>
    </w:pPr>
    <w:rPr>
      <w:rFonts w:ascii="等线" w:hAnsi="等线" w:eastAsia="黑体"/>
      <w:kern w:val="44"/>
      <w:sz w:val="32"/>
    </w:rPr>
  </w:style>
  <w:style w:type="paragraph" w:styleId="3">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paragraph" w:styleId="4">
    <w:name w:val="heading 5"/>
    <w:basedOn w:val="1"/>
    <w:next w:val="1"/>
    <w:semiHidden/>
    <w:unhideWhenUsed/>
    <w:qFormat/>
    <w:uiPriority w:val="9"/>
    <w:pPr>
      <w:keepNext/>
      <w:keepLines/>
      <w:spacing w:before="280" w:beforeLines="0" w:beforeAutospacing="0" w:after="290" w:afterLines="0" w:afterAutospacing="0" w:line="372" w:lineRule="auto"/>
      <w:outlineLvl w:val="4"/>
    </w:pPr>
    <w:rPr>
      <w:b/>
      <w:sz w:val="28"/>
    </w:rPr>
  </w:style>
  <w:style w:type="character" w:default="1" w:styleId="17">
    <w:name w:val="Default Paragraph Font"/>
    <w:semiHidden/>
    <w:qFormat/>
    <w:uiPriority w:val="0"/>
  </w:style>
  <w:style w:type="table" w:default="1" w:styleId="15">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eastAsia="宋体" w:cs="Times New Roman"/>
      <w:kern w:val="2"/>
      <w:sz w:val="21"/>
      <w:szCs w:val="21"/>
    </w:rPr>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annotation text"/>
    <w:basedOn w:val="1"/>
    <w:qFormat/>
    <w:uiPriority w:val="0"/>
    <w:pPr>
      <w:jc w:val="left"/>
    </w:pPr>
  </w:style>
  <w:style w:type="paragraph" w:styleId="7">
    <w:name w:val="Body Text"/>
    <w:basedOn w:val="1"/>
    <w:next w:val="1"/>
    <w:qFormat/>
    <w:uiPriority w:val="0"/>
    <w:rPr>
      <w:rFonts w:ascii="仿宋_GB2312" w:hAnsi="仿宋_GB2312" w:cs="Times New Roman"/>
      <w:b/>
      <w:szCs w:val="24"/>
    </w:rPr>
  </w:style>
  <w:style w:type="paragraph" w:styleId="8">
    <w:name w:val="Body Text Indent"/>
    <w:basedOn w:val="1"/>
    <w:qFormat/>
    <w:uiPriority w:val="0"/>
    <w:pPr>
      <w:spacing w:after="120"/>
      <w:ind w:left="420" w:leftChars="200"/>
    </w:pPr>
  </w:style>
  <w:style w:type="paragraph" w:styleId="9">
    <w:name w:val="Block Text"/>
    <w:basedOn w:val="1"/>
    <w:qFormat/>
    <w:uiPriority w:val="0"/>
    <w:pPr>
      <w:tabs>
        <w:tab w:val="left" w:pos="426"/>
      </w:tabs>
      <w:spacing w:after="120"/>
      <w:ind w:left="1440" w:leftChars="700" w:right="1440" w:rightChars="7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3">
    <w:name w:val="Title"/>
    <w:basedOn w:val="1"/>
    <w:next w:val="1"/>
    <w:qFormat/>
    <w:uiPriority w:val="10"/>
    <w:pPr>
      <w:spacing w:before="240" w:after="60"/>
      <w:jc w:val="center"/>
      <w:outlineLvl w:val="0"/>
    </w:pPr>
    <w:rPr>
      <w:rFonts w:ascii="等线 Light" w:hAnsi="等线 Light" w:eastAsia="宋体" w:cs="Times New Roman"/>
      <w:b/>
      <w:bCs/>
      <w:sz w:val="32"/>
      <w:szCs w:val="32"/>
    </w:rPr>
  </w:style>
  <w:style w:type="paragraph" w:styleId="14">
    <w:name w:val="Body Text First Indent 2"/>
    <w:basedOn w:val="8"/>
    <w:next w:val="7"/>
    <w:qFormat/>
    <w:uiPriority w:val="0"/>
    <w:pPr>
      <w:ind w:firstLine="420" w:firstLineChars="200"/>
    </w:p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Hyperlink"/>
    <w:basedOn w:val="17"/>
    <w:qFormat/>
    <w:uiPriority w:val="0"/>
    <w:rPr>
      <w:color w:val="0000FF"/>
      <w:u w:val="single"/>
    </w:rPr>
  </w:style>
  <w:style w:type="paragraph" w:styleId="19">
    <w:name w:val="List Paragraph"/>
    <w:basedOn w:val="1"/>
    <w:qFormat/>
    <w:uiPriority w:val="34"/>
    <w:pPr>
      <w:ind w:firstLine="420" w:firstLineChars="200"/>
    </w:pPr>
  </w:style>
  <w:style w:type="paragraph" w:customStyle="1" w:styleId="20">
    <w:name w:val="USE 1"/>
    <w:basedOn w:val="1"/>
    <w:qFormat/>
    <w:uiPriority w:val="0"/>
    <w:pPr>
      <w:spacing w:line="200" w:lineRule="atLeast"/>
      <w:jc w:val="left"/>
    </w:pPr>
    <w:rPr>
      <w:rFonts w:ascii="宋体" w:hAnsi="宋体"/>
      <w:b/>
      <w:sz w:val="24"/>
      <w:szCs w:val="28"/>
    </w:rPr>
  </w:style>
  <w:style w:type="paragraph" w:customStyle="1" w:styleId="21">
    <w:name w:val="l正文"/>
    <w:basedOn w:val="1"/>
    <w:qFormat/>
    <w:uiPriority w:val="0"/>
    <w:pPr>
      <w:spacing w:line="300" w:lineRule="auto"/>
      <w:ind w:firstLine="200" w:firstLineChars="200"/>
      <w:jc w:val="left"/>
    </w:pPr>
    <w:rPr>
      <w:rFonts w:ascii="楷体_GB2312" w:hAnsi="Times" w:eastAsia="楷体_GB2312" w:cs="等线"/>
      <w:sz w:val="24"/>
    </w:rPr>
  </w:style>
  <w:style w:type="character" w:customStyle="1" w:styleId="22">
    <w:name w:val="15"/>
    <w:basedOn w:val="17"/>
    <w:qFormat/>
    <w:uiPriority w:val="0"/>
    <w:rPr>
      <w:rFonts w:hint="default" w:ascii="Times New Roman" w:hAnsi="Times New Roman" w:cs="Times New Roman"/>
    </w:rPr>
  </w:style>
  <w:style w:type="character" w:customStyle="1" w:styleId="23">
    <w:name w:val="10"/>
    <w:basedOn w:val="17"/>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919</Words>
  <Characters>1087</Characters>
  <Lines>1</Lines>
  <Paragraphs>1</Paragraphs>
  <TotalTime>4</TotalTime>
  <ScaleCrop>false</ScaleCrop>
  <LinksUpToDate>false</LinksUpToDate>
  <CharactersWithSpaces>1094</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2023-05-11T16:40:00Z</dcterms:created>
  <dc:creator>shao</dc:creator>
  <cp:lastModifiedBy>微信用户</cp:lastModifiedBy>
  <cp:lastPrinted>2026-05-15T15:42:00Z</cp:lastPrinted>
  <dcterms:modified xsi:type="dcterms:W3CDTF">2026-07-09T15:44:47Z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108553ECD9E4B1CC1BC00B6AB12A65F6</vt:lpwstr>
  </property>
</Properties>
</file>