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阅见鹭湖·书行龙华——三馆轻文旅漫游季</w:t>
      </w: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项目需求书</w:t>
      </w:r>
    </w:p>
    <w:p>
      <w:pPr>
        <w:pStyle w:val="8"/>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深圳市文化广电旅游体育局落实〈关于释放旅游消费潜力推动旅游业高质量发展的若干措施〉工作方案》要求加大优质旅游资源，打造世界级文化地标群，提升区域旅游知名度，全方位提升深圳旅游产业国际影响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龙华三馆项目作为龙华区重点民生工程，集大剧院、群艺馆、图书馆于一体，以“山水相融、人文赋能”为设计理念，致力于打造全区综合性建筑文旅新名片。其中，龙华图书馆拟于2026年第三季度开放运营，将进一步丰富全区优质文旅资源供给，助推龙华区旅游产业提质升级。在此背景下，拟组织开展阅见鹭湖·书行龙华——三馆轻文旅漫游季活动，打造“文旅＋阅读”融合样板，擦亮龙华湾区名片，提升龙华文旅品牌影响力。</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pStyle w:val="7"/>
        <w:spacing w:after="0" w:line="560" w:lineRule="exact"/>
        <w:ind w:left="0" w:leftChars="0" w:right="0" w:rightChars="0" w:firstLine="640" w:firstLineChars="200"/>
        <w:jc w:val="left"/>
        <w:rPr>
          <w:rFonts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2026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8</w:t>
      </w:r>
      <w:r>
        <w:rPr>
          <w:rFonts w:hint="eastAsia" w:ascii="仿宋_GB2312" w:hAnsi="仿宋_GB2312" w:eastAsia="仿宋_GB2312" w:cs="仿宋_GB2312"/>
          <w:sz w:val="32"/>
          <w:szCs w:val="36"/>
        </w:rPr>
        <w:t>月（暂定）</w:t>
      </w:r>
    </w:p>
    <w:p>
      <w:pPr>
        <w:tabs>
          <w:tab w:val="left" w:pos="1820"/>
        </w:tabs>
        <w:snapToGrid w:val="0"/>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在鹭湖艺术中心举办龙华三馆轻文旅漫游季启动推介活动，邀请文旅行业嘉宾、作家、市民游客及媒体代表现场参观馆内功能分区，集中展示龙华文旅特色资源，推动湾区文旅传播，打造龙华文旅新名片。</w:t>
      </w:r>
    </w:p>
    <w:p>
      <w:pPr>
        <w:numPr>
          <w:ilvl w:val="0"/>
          <w:numId w:val="2"/>
        </w:numPr>
        <w:spacing w:line="560" w:lineRule="exact"/>
        <w:ind w:firstLine="640" w:firstLineChars="200"/>
        <w:jc w:val="left"/>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具体要求</w:t>
      </w:r>
    </w:p>
    <w:p>
      <w:pPr>
        <w:pStyle w:val="15"/>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1.活动策划。</w:t>
      </w:r>
      <w:r>
        <w:rPr>
          <w:rFonts w:hint="eastAsia" w:ascii="仿宋_GB2312" w:eastAsia="仿宋_GB2312" w:cs="Times New Roman"/>
          <w:color w:val="auto"/>
          <w:kern w:val="2"/>
          <w:sz w:val="32"/>
          <w:szCs w:val="32"/>
          <w:highlight w:val="none"/>
          <w:lang w:val="en-US" w:eastAsia="zh-CN" w:bidi="ar-SA"/>
        </w:rPr>
        <w:t>提供完整详尽、可操作性强的项目实施方案，对活动现场进行专业督导，组织统筹团队工作人员，负责活动现场人员安全管理责任</w:t>
      </w:r>
      <w:r>
        <w:rPr>
          <w:rFonts w:hint="eastAsia" w:ascii="仿宋_GB2312" w:hAnsi="等线" w:eastAsia="仿宋_GB2312" w:cs="Times New Roman"/>
          <w:color w:val="auto"/>
          <w:kern w:val="2"/>
          <w:sz w:val="32"/>
          <w:szCs w:val="32"/>
          <w:highlight w:val="none"/>
          <w:lang w:val="en-US" w:eastAsia="zh-CN" w:bidi="ar-SA"/>
        </w:rPr>
        <w:t>，确保</w:t>
      </w:r>
      <w:r>
        <w:rPr>
          <w:rFonts w:hint="eastAsia" w:ascii="仿宋_GB2312" w:eastAsia="仿宋_GB2312" w:cs="Times New Roman"/>
          <w:color w:val="auto"/>
          <w:kern w:val="2"/>
          <w:sz w:val="32"/>
          <w:szCs w:val="32"/>
          <w:highlight w:val="none"/>
          <w:lang w:val="en-US" w:eastAsia="zh-CN" w:bidi="ar-SA"/>
        </w:rPr>
        <w:t>活动</w:t>
      </w:r>
      <w:r>
        <w:rPr>
          <w:rFonts w:hint="eastAsia" w:ascii="仿宋_GB2312" w:hAnsi="等线" w:eastAsia="仿宋_GB2312" w:cs="Times New Roman"/>
          <w:color w:val="auto"/>
          <w:kern w:val="2"/>
          <w:sz w:val="32"/>
          <w:szCs w:val="32"/>
          <w:highlight w:val="none"/>
          <w:lang w:val="en-US" w:eastAsia="zh-CN" w:bidi="ar-SA"/>
        </w:rPr>
        <w:t>顺利进行。</w:t>
      </w:r>
    </w:p>
    <w:p>
      <w:pPr>
        <w:pStyle w:val="15"/>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color w:val="auto"/>
          <w:sz w:val="32"/>
          <w:szCs w:val="32"/>
          <w:highlight w:val="none"/>
          <w:lang w:val="en-US" w:eastAsia="zh-CN"/>
        </w:rPr>
        <w:t>2.场地设计布置和设备租赁。</w:t>
      </w:r>
      <w:r>
        <w:rPr>
          <w:rFonts w:hint="eastAsia" w:ascii="仿宋_GB2312" w:eastAsia="仿宋_GB2312" w:cs="Times New Roman"/>
          <w:color w:val="auto"/>
          <w:kern w:val="2"/>
          <w:sz w:val="32"/>
          <w:szCs w:val="32"/>
          <w:highlight w:val="none"/>
          <w:lang w:val="en-US" w:eastAsia="zh-CN" w:bidi="ar-SA"/>
        </w:rPr>
        <w:t>负责舞美设计及布置、</w:t>
      </w:r>
      <w:r>
        <w:rPr>
          <w:rFonts w:hint="eastAsia" w:ascii="仿宋_GB2312" w:cs="Times New Roman"/>
          <w:color w:val="auto"/>
          <w:kern w:val="2"/>
          <w:sz w:val="32"/>
          <w:szCs w:val="32"/>
          <w:highlight w:val="none"/>
          <w:lang w:val="en-US" w:eastAsia="zh-CN" w:bidi="ar-SA"/>
        </w:rPr>
        <w:t>场</w:t>
      </w:r>
      <w:r>
        <w:rPr>
          <w:rFonts w:hint="eastAsia" w:ascii="仿宋_GB2312" w:eastAsia="仿宋_GB2312" w:cs="Times New Roman"/>
          <w:color w:val="auto"/>
          <w:kern w:val="2"/>
          <w:sz w:val="32"/>
          <w:szCs w:val="32"/>
          <w:highlight w:val="none"/>
          <w:lang w:val="en-US" w:eastAsia="zh-CN" w:bidi="ar-SA"/>
        </w:rPr>
        <w:t>馆入口透明材质美陈装饰、</w:t>
      </w:r>
      <w:r>
        <w:rPr>
          <w:rFonts w:hint="eastAsia" w:ascii="仿宋_GB2312" w:hAnsi="仿宋_GB2312" w:eastAsia="仿宋_GB2312" w:cs="仿宋_GB2312"/>
          <w:sz w:val="32"/>
          <w:szCs w:val="32"/>
          <w:highlight w:val="none"/>
          <w:lang w:val="en-US" w:eastAsia="zh-CN"/>
        </w:rPr>
        <w:t>启动推介活动</w:t>
      </w:r>
      <w:r>
        <w:rPr>
          <w:rFonts w:hint="eastAsia" w:ascii="仿宋_GB2312" w:eastAsia="仿宋_GB2312" w:cs="Times New Roman"/>
          <w:color w:val="auto"/>
          <w:kern w:val="2"/>
          <w:sz w:val="32"/>
          <w:szCs w:val="32"/>
          <w:highlight w:val="none"/>
          <w:lang w:val="en-US" w:eastAsia="zh-CN" w:bidi="ar-SA"/>
        </w:rPr>
        <w:t>现场氛围营造、定制标识设计制作、7个特色打卡点设计布置及线阵列音响套组、活动灯光、安保机器、</w:t>
      </w:r>
      <w:r>
        <w:rPr>
          <w:rFonts w:hint="eastAsia" w:ascii="仿宋_GB2312" w:hAnsi="仿宋_GB2312" w:eastAsia="仿宋_GB2312" w:cs="仿宋_GB2312"/>
          <w:sz w:val="32"/>
          <w:szCs w:val="32"/>
          <w:highlight w:val="none"/>
          <w:lang w:val="en-US" w:eastAsia="zh-CN"/>
        </w:rPr>
        <w:t>启动推介活动</w:t>
      </w:r>
      <w:r>
        <w:rPr>
          <w:rFonts w:hint="eastAsia" w:ascii="仿宋_GB2312" w:eastAsia="仿宋_GB2312" w:cs="Times New Roman"/>
          <w:color w:val="auto"/>
          <w:kern w:val="2"/>
          <w:sz w:val="32"/>
          <w:szCs w:val="32"/>
          <w:highlight w:val="none"/>
          <w:lang w:val="en-US" w:eastAsia="zh-CN" w:bidi="ar-SA"/>
        </w:rPr>
        <w:t>氛围道具、活动桌椅等设备租赁。</w:t>
      </w:r>
    </w:p>
    <w:p>
      <w:pPr>
        <w:pStyle w:val="15"/>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3.物料设计、制作。负责海报、邀请函、活动手册、导视立牌、主持人手卡、流程单、文创展示牌等宣传物料设计制作和主题冰箱贴、国潮书签、IP钥匙扣、透明书夹、创意文具、文创盲盒等文创产品设计制作。</w:t>
      </w:r>
    </w:p>
    <w:p>
      <w:pPr>
        <w:pStyle w:val="15"/>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4.宣传推广。负责整场活动摄影摄像、线上推广、双机位视频直播、图文直播、定点录像、航拍视频、媒体宣传等。</w:t>
      </w:r>
    </w:p>
    <w:p>
      <w:pPr>
        <w:pStyle w:val="15"/>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_GB2312" w:eastAsia="仿宋_GB2312" w:cs="仿宋_GB2312"/>
          <w:color w:val="auto"/>
          <w:sz w:val="32"/>
          <w:szCs w:val="32"/>
          <w:highlight w:val="none"/>
          <w:lang w:val="en-US" w:eastAsia="zh-CN"/>
        </w:rPr>
        <w:t>5.人员劳务。负责聘请主持人、执行人员、灯光师、音频视频控制师、礼仪等工作人员，负责邀请表演队伍。</w:t>
      </w:r>
    </w:p>
    <w:p>
      <w:pPr>
        <w:pStyle w:val="15"/>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6.其他保障。负责当天工作人员、志愿者餐水保障，现场嘉宾和市民饮用水保障和购买活动公众责任险等。</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46.43</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362"/>
        <w:gridCol w:w="3896"/>
        <w:gridCol w:w="1133"/>
        <w:gridCol w:w="1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54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28"/>
                <w:szCs w:val="28"/>
                <w:u w:val="none"/>
                <w:lang w:val="en-US" w:eastAsia="zh-CN" w:bidi="ar"/>
              </w:rPr>
              <w:t>阅见鹭湖·书行龙华——三馆轻文旅漫游季项目报价表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62"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分类</w:t>
            </w:r>
          </w:p>
        </w:tc>
        <w:tc>
          <w:tcPr>
            <w:tcW w:w="3896"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内容</w:t>
            </w:r>
          </w:p>
        </w:tc>
        <w:tc>
          <w:tcPr>
            <w:tcW w:w="1133"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384"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活动策划</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负责整体活动方案策划，包括制作活动方案、活动流程设计等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场地设计、布置</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舞美设计及布置，含插画背景板、立体花艺造景、书卷书本造型摆件、国风装饰、舞台基础结构搭建安装等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场</w:t>
            </w:r>
            <w:r>
              <w:rPr>
                <w:rFonts w:hint="eastAsia" w:ascii="宋体" w:hAnsi="宋体" w:eastAsia="宋体" w:cs="宋体"/>
                <w:i w:val="0"/>
                <w:iCs w:val="0"/>
                <w:color w:val="000000"/>
                <w:kern w:val="0"/>
                <w:sz w:val="22"/>
                <w:szCs w:val="22"/>
                <w:u w:val="none"/>
                <w:lang w:val="en-US" w:eastAsia="zh-CN" w:bidi="ar"/>
              </w:rPr>
              <w:t>馆入口透明材质美陈装饰</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启动推介活动现场氛围营造，含设计定制条幅装饰、水墨道旗、装饰品等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定制标识设计制作，含LOGO、发光立体字设计制作及固定支架、防水供电线路等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打卡点、互动墙设计制作安装，包括7个功能分区造景网红打卡装置</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设备租赁</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线阵列音响套组</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活动灯光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安保机器租赁，包含一套大型安检门，两个手持红外线扫描器</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启动推介活动道具租赁，含水雾投影设备、冷雾造景设备、启动推杆、发光启动装置等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活动桌椅租赁-长桌</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活动桌椅租赁-椅子</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物料设计、制作</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宣传物料设计制作，含海报、邀请函、活动手册、导视立牌、主持人手卡、流程单、文创展示牌等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文创产品设计，含冰箱贴、书签、IP钥匙扣、书夹、文具、盲盒等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主题冰箱贴制作</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国潮书签制作</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IP钥匙扣制作</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18</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透明书夹制作</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19</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创意文具制作</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文创盲盒制作</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宣传推广</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包含线上推广、摄影摄像团队服务、双机位视频直播、图文直播、定点录像、航拍视频、媒体宣传等</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人员劳务</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现场执行</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主持人</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24</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礼仪人员</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灯光师</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音频、视频控制师</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27</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表演队伍补贴</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其他保障</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工作人员餐水+保险</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志愿者餐水</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现场饮水保障（纯净水24瓶箱装）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w:t>
            </w: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活动公众责任险（据实）</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40" w:type="dxa"/>
            <w:gridSpan w:val="5"/>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仿宋_GB2312" w:eastAsia="仿宋_GB2312" w:cs="仿宋_GB2312"/>
                <w:sz w:val="28"/>
                <w:szCs w:val="28"/>
                <w:vertAlign w:val="baseline"/>
                <w:lang w:eastAsia="zh-CN"/>
              </w:rPr>
              <w:t>投标价格（万元）：</w:t>
            </w:r>
            <w:r>
              <w:rPr>
                <w:rFonts w:hint="eastAsia" w:ascii="仿宋_GB2312" w:hAnsi="仿宋_GB2312" w:eastAsia="仿宋_GB2312" w:cs="仿宋_GB2312"/>
                <w:sz w:val="28"/>
                <w:szCs w:val="28"/>
                <w:vertAlign w:val="baseline"/>
                <w:lang w:val="en-US" w:eastAsia="zh-CN"/>
              </w:rPr>
              <w:t>_____（以万元为单位，最多保留两位小数）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widowControl/>
        <w:spacing w:line="560" w:lineRule="exact"/>
        <w:ind w:firstLine="640" w:firstLineChars="200"/>
        <w:jc w:val="both"/>
        <w:rPr>
          <w:rFonts w:hint="eastAsia" w:ascii="仿宋_GB2312" w:hAnsi="仿宋" w:eastAsia="仿宋_GB2312" w:cs="仿宋"/>
          <w:color w:val="auto"/>
          <w:sz w:val="32"/>
          <w:szCs w:val="32"/>
          <w:highlight w:val="none"/>
        </w:rPr>
      </w:pPr>
      <w:r>
        <w:rPr>
          <w:rFonts w:hint="eastAsia" w:ascii="仿宋_GB2312" w:hAnsi="仿宋" w:eastAsia="仿宋_GB2312" w:cs="仿宋"/>
          <w:sz w:val="32"/>
          <w:szCs w:val="32"/>
          <w:highlight w:val="none"/>
        </w:rPr>
        <w:t>（一）在中国境内注册的独立法人或其他组织（提供营业执照、事业法人证书、社会团体法人登记证书等扫描件）</w:t>
      </w:r>
      <w:r>
        <w:rPr>
          <w:rFonts w:hint="eastAsia" w:ascii="仿宋_GB2312" w:hAnsi="仿宋" w:cs="仿宋"/>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以及提供总、分公司的营业执照扫描件；</w:t>
      </w:r>
    </w:p>
    <w:p>
      <w:pPr>
        <w:pStyle w:val="15"/>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（二）</w:t>
      </w:r>
      <w:r>
        <w:rPr>
          <w:rFonts w:hint="eastAsia" w:ascii="仿宋_GB2312" w:hAnsi="仿宋" w:cs="仿宋"/>
          <w:sz w:val="32"/>
          <w:szCs w:val="32"/>
          <w:highlight w:val="none"/>
          <w:lang w:eastAsia="zh-CN"/>
        </w:rPr>
        <w:t>投标人</w:t>
      </w:r>
      <w:r>
        <w:rPr>
          <w:rFonts w:hint="eastAsia" w:ascii="仿宋_GB2312" w:hAnsi="仿宋" w:eastAsia="仿宋_GB2312" w:cs="仿宋"/>
          <w:sz w:val="32"/>
          <w:szCs w:val="32"/>
          <w:highlight w:val="none"/>
        </w:rPr>
        <w:t>近三年内（成立不足三年的</w:t>
      </w:r>
      <w:r>
        <w:rPr>
          <w:rFonts w:hint="eastAsia" w:ascii="仿宋_GB2312" w:hAnsi="仿宋" w:cs="仿宋"/>
          <w:sz w:val="32"/>
          <w:szCs w:val="32"/>
          <w:highlight w:val="none"/>
          <w:lang w:eastAsia="zh-CN"/>
        </w:rPr>
        <w:t>，自</w:t>
      </w:r>
      <w:r>
        <w:rPr>
          <w:rFonts w:hint="eastAsia" w:ascii="仿宋_GB2312" w:hAnsi="仿宋" w:eastAsia="仿宋_GB2312" w:cs="仿宋"/>
          <w:sz w:val="32"/>
          <w:szCs w:val="32"/>
          <w:highlight w:val="none"/>
        </w:rPr>
        <w:t>成立之日起算），在经营活动中没有重大违法记录以及不存在被有关部门禁止参与政府采购活动且在有效期内的情况</w:t>
      </w:r>
      <w:r>
        <w:rPr>
          <w:rFonts w:hint="eastAsia" w:ascii="仿宋_GB2312" w:hAnsi="仿宋" w:cs="仿宋"/>
          <w:sz w:val="32"/>
          <w:szCs w:val="32"/>
          <w:highlight w:val="none"/>
          <w:lang w:eastAsia="zh-CN"/>
        </w:rPr>
        <w:t>；</w:t>
      </w:r>
    </w:p>
    <w:p>
      <w:pPr>
        <w:pStyle w:val="15"/>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kern w:val="2"/>
          <w:sz w:val="32"/>
          <w:szCs w:val="32"/>
          <w:highlight w:val="none"/>
          <w:lang w:val="en-US" w:eastAsia="zh-CN" w:bidi="ar-SA"/>
        </w:rPr>
        <w:t>也不得隶属</w:t>
      </w:r>
      <w:r>
        <w:rPr>
          <w:rFonts w:hint="eastAsia" w:ascii="仿宋_GB2312" w:hAnsi="仿宋" w:eastAsia="仿宋_GB2312" w:cs="仿宋"/>
          <w:bCs/>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pStyle w:val="15"/>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jc w:val="left"/>
        <w:rPr>
          <w:rFonts w:hint="eastAsia" w:ascii="仿宋_GB2312" w:hAnsi="仿宋" w:eastAsia="仿宋_GB2312"/>
          <w:sz w:val="32"/>
          <w:highlight w:val="yellow"/>
          <w:lang w:val="en-US" w:eastAsia="zh-CN"/>
        </w:rPr>
      </w:pPr>
      <w:r>
        <w:rPr>
          <w:rFonts w:hint="eastAsia" w:ascii="仿宋_GB2312" w:hAnsi="仿宋" w:eastAsia="仿宋_GB2312"/>
          <w:sz w:val="32"/>
          <w:highlight w:val="none"/>
        </w:rPr>
        <w:t>综合评分法</w:t>
      </w:r>
    </w:p>
    <w:p>
      <w:pPr>
        <w:keepNext w:val="0"/>
        <w:keepLines w:val="0"/>
        <w:pageBreakBefore w:val="0"/>
        <w:widowControl w:val="0"/>
        <w:snapToGrid/>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50</w:t>
            </w:r>
            <w:r>
              <w:rPr>
                <w:rFonts w:hint="eastAsia" w:ascii="仿宋_GB2312" w:hAnsi="仿宋_GB2312" w:eastAsia="仿宋_GB2312" w:cs="仿宋_GB2312"/>
                <w:b w:val="0"/>
                <w:bCs/>
                <w:szCs w:val="24"/>
              </w:rPr>
              <w:t>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143" w:type="dxa"/>
            <w:noWrap w:val="0"/>
            <w:vAlign w:val="center"/>
          </w:tcPr>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商务部分</w:t>
            </w:r>
          </w:p>
          <w:p>
            <w:pPr>
              <w:pStyle w:val="6"/>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2"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eastAsia="zh-CN"/>
              </w:rPr>
              <w:t>）</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w:t>
            </w:r>
            <w:r>
              <w:rPr>
                <w:rFonts w:hint="eastAsia" w:ascii="仿宋_GB2312" w:hAnsi="仿宋_GB2312" w:eastAsia="仿宋_GB2312" w:cs="仿宋_GB2312"/>
                <w:sz w:val="24"/>
                <w:szCs w:val="24"/>
                <w:highlight w:val="none"/>
                <w:lang w:val="en-US" w:eastAsia="zh-CN"/>
              </w:rPr>
              <w:t>文旅推广或阅读推广</w:t>
            </w:r>
            <w:r>
              <w:rPr>
                <w:rFonts w:hint="eastAsia" w:ascii="仿宋_GB2312" w:hAnsi="仿宋_GB2312" w:eastAsia="仿宋_GB2312" w:cs="仿宋_GB2312"/>
                <w:sz w:val="24"/>
                <w:szCs w:val="24"/>
                <w:lang w:eastAsia="zh-CN"/>
              </w:rPr>
              <w:t>同类业绩得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拟安排项目团队成员</w:t>
            </w:r>
          </w:p>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highlight w:val="none"/>
                <w:lang w:val="en-US" w:eastAsia="zh-CN"/>
              </w:rPr>
              <w:t>分）</w:t>
            </w:r>
          </w:p>
        </w:tc>
        <w:tc>
          <w:tcPr>
            <w:tcW w:w="6143" w:type="dxa"/>
            <w:noWrap w:val="0"/>
            <w:vAlign w:val="center"/>
          </w:tcPr>
          <w:p>
            <w:pPr>
              <w:pStyle w:val="10"/>
              <w:widowControl/>
              <w:topLinePunct w:val="0"/>
              <w:snapToGrid w:val="0"/>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eastAsia="zh-CN"/>
              </w:rPr>
              <w:t>（一）评审内容</w:t>
            </w:r>
          </w:p>
          <w:p>
            <w:pPr>
              <w:pStyle w:val="10"/>
              <w:widowControl/>
              <w:topLinePunct w:val="0"/>
              <w:snapToGrid w:val="0"/>
              <w:spacing w:line="360" w:lineRule="exact"/>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拟安排的项目团队成员（项目负责人除外）情况：</w:t>
            </w:r>
          </w:p>
          <w:p>
            <w:pPr>
              <w:pStyle w:val="10"/>
              <w:widowControl/>
              <w:topLinePunct w:val="0"/>
              <w:snapToGrid w:val="0"/>
              <w:spacing w:line="360" w:lineRule="exact"/>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1</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eastAsia="zh-CN"/>
              </w:rPr>
              <w:t>具有</w:t>
            </w:r>
            <w:r>
              <w:rPr>
                <w:rFonts w:hint="eastAsia" w:ascii="仿宋_GB2312" w:hAnsi="仿宋_GB2312" w:eastAsia="仿宋_GB2312" w:cs="仿宋_GB2312"/>
                <w:sz w:val="24"/>
                <w:szCs w:val="24"/>
                <w:highlight w:val="none"/>
                <w:lang w:val="en-US" w:eastAsia="zh-CN"/>
              </w:rPr>
              <w:t>传媒或设计类</w:t>
            </w:r>
            <w:r>
              <w:rPr>
                <w:rFonts w:hint="eastAsia" w:ascii="仿宋_GB2312" w:hAnsi="仿宋_GB2312" w:eastAsia="仿宋_GB2312" w:cs="仿宋_GB2312"/>
                <w:sz w:val="24"/>
                <w:szCs w:val="24"/>
                <w:highlight w:val="none"/>
                <w:lang w:eastAsia="zh-CN"/>
              </w:rPr>
              <w:t>专业本科（或以上）学历，每提供上述一类专业学历的得</w:t>
            </w: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lang w:eastAsia="zh-CN"/>
              </w:rPr>
              <w:t>分，最高得</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lang w:eastAsia="zh-CN"/>
              </w:rPr>
              <w:t>分（注：同一人不同学历不累计分值）；</w:t>
            </w:r>
          </w:p>
          <w:p>
            <w:pPr>
              <w:pStyle w:val="10"/>
              <w:widowControl/>
              <w:topLinePunct w:val="0"/>
              <w:snapToGrid w:val="0"/>
              <w:spacing w:line="360" w:lineRule="exact"/>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2</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eastAsia="zh-CN"/>
              </w:rPr>
              <w:t>具有</w:t>
            </w:r>
            <w:r>
              <w:rPr>
                <w:rFonts w:hint="eastAsia" w:ascii="仿宋_GB2312" w:hAnsi="仿宋_GB2312" w:eastAsia="仿宋_GB2312" w:cs="仿宋_GB2312"/>
                <w:sz w:val="24"/>
                <w:szCs w:val="24"/>
                <w:highlight w:val="none"/>
                <w:lang w:val="en-US" w:eastAsia="zh-CN"/>
              </w:rPr>
              <w:t>文旅推广或阅读推广活动</w:t>
            </w:r>
            <w:r>
              <w:rPr>
                <w:rFonts w:hint="eastAsia" w:ascii="仿宋_GB2312" w:hAnsi="仿宋_GB2312" w:eastAsia="仿宋_GB2312" w:cs="仿宋_GB2312"/>
                <w:sz w:val="24"/>
                <w:szCs w:val="24"/>
                <w:highlight w:val="none"/>
                <w:lang w:eastAsia="zh-CN"/>
              </w:rPr>
              <w:t>工作经验，每提供一人得</w:t>
            </w:r>
            <w:r>
              <w:rPr>
                <w:rFonts w:hint="eastAsia" w:ascii="仿宋_GB2312" w:hAnsi="仿宋_GB2312" w:eastAsia="仿宋_GB2312" w:cs="仿宋_GB2312"/>
                <w:sz w:val="24"/>
                <w:szCs w:val="24"/>
                <w:highlight w:val="none"/>
                <w:lang w:val="en-US" w:eastAsia="zh-CN"/>
              </w:rPr>
              <w:t>1.5</w:t>
            </w:r>
            <w:r>
              <w:rPr>
                <w:rFonts w:hint="eastAsia" w:ascii="仿宋_GB2312" w:hAnsi="仿宋_GB2312" w:eastAsia="仿宋_GB2312" w:cs="仿宋_GB2312"/>
                <w:sz w:val="24"/>
                <w:szCs w:val="24"/>
                <w:highlight w:val="none"/>
                <w:lang w:eastAsia="zh-CN"/>
              </w:rPr>
              <w:t>分，最高得</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lang w:eastAsia="zh-CN"/>
              </w:rPr>
              <w:t>分；</w:t>
            </w:r>
          </w:p>
          <w:p>
            <w:pPr>
              <w:pStyle w:val="10"/>
              <w:widowControl/>
              <w:topLinePunct w:val="0"/>
              <w:snapToGrid w:val="0"/>
              <w:spacing w:line="360" w:lineRule="exact"/>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同一人具备1至</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lang w:eastAsia="zh-CN"/>
              </w:rPr>
              <w:t>项情况的可</w:t>
            </w:r>
            <w:r>
              <w:rPr>
                <w:rFonts w:hint="eastAsia" w:ascii="仿宋_GB2312" w:hAnsi="仿宋_GB2312" w:eastAsia="仿宋_GB2312" w:cs="仿宋_GB2312"/>
                <w:sz w:val="24"/>
                <w:szCs w:val="24"/>
                <w:highlight w:val="none"/>
                <w:lang w:val="en-US" w:eastAsia="zh-CN"/>
              </w:rPr>
              <w:t>重复得</w:t>
            </w:r>
            <w:r>
              <w:rPr>
                <w:rFonts w:hint="eastAsia" w:ascii="仿宋_GB2312" w:hAnsi="仿宋_GB2312" w:eastAsia="仿宋_GB2312" w:cs="仿宋_GB2312"/>
                <w:sz w:val="24"/>
                <w:szCs w:val="24"/>
                <w:highlight w:val="none"/>
                <w:lang w:eastAsia="zh-CN"/>
              </w:rPr>
              <w:t>分，本项最高得</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lang w:eastAsia="zh-CN"/>
              </w:rPr>
              <w:t>分。</w:t>
            </w:r>
          </w:p>
          <w:p>
            <w:pPr>
              <w:pStyle w:val="10"/>
              <w:widowControl/>
              <w:topLinePunct w:val="0"/>
              <w:snapToGrid w:val="0"/>
              <w:spacing w:line="3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pStyle w:val="10"/>
              <w:widowControl/>
              <w:topLinePunct w:val="0"/>
              <w:snapToGrid w:val="0"/>
              <w:spacing w:line="3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1.提供毕业证书或学位证书扫描件、学历信息在学信网查询结果截图，原件备查。</w:t>
            </w:r>
          </w:p>
          <w:p>
            <w:pPr>
              <w:pStyle w:val="10"/>
              <w:widowControl/>
              <w:topLinePunct w:val="0"/>
              <w:snapToGrid w:val="0"/>
              <w:spacing w:line="3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2.工作经验需提供合同关键页或其他可以证明的材料，合同关键（关键信息包括但不仅限于合同的项目名称、项目负责人/团队成员名字、服务内容、合同双方盖章页），以及满足评分要求的服务内容。</w:t>
            </w:r>
          </w:p>
          <w:p>
            <w:pPr>
              <w:pStyle w:val="10"/>
              <w:widowControl/>
              <w:topLinePunct w:val="0"/>
              <w:snapToGrid w:val="0"/>
              <w:spacing w:line="3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3.以上人员近三月社保缴纳记录。</w:t>
            </w:r>
          </w:p>
          <w:p>
            <w:pPr>
              <w:pStyle w:val="10"/>
              <w:widowControl/>
              <w:topLinePunct w:val="0"/>
              <w:snapToGrid w:val="0"/>
              <w:spacing w:line="3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以上证明文件原件备查，</w:t>
            </w:r>
            <w:r>
              <w:rPr>
                <w:rFonts w:hint="eastAsia" w:ascii="仿宋_GB2312" w:hAnsi="仿宋_GB2312" w:eastAsia="仿宋_GB2312" w:cs="仿宋_GB2312"/>
                <w:sz w:val="24"/>
                <w:szCs w:val="24"/>
                <w:highlight w:val="none"/>
                <w:lang w:eastAsia="zh-CN"/>
              </w:rPr>
              <w:t>未提供或未按要求提供或提供的不清晰导致采购小组无法判断的，不得分。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continue"/>
            <w:tcBorders>
              <w:bottom w:val="single" w:color="auto" w:sz="4" w:space="0"/>
            </w:tcBorders>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tcBorders>
              <w:bottom w:val="single" w:color="auto" w:sz="4" w:space="0"/>
            </w:tcBorders>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143" w:type="dxa"/>
            <w:tcBorders>
              <w:bottom w:val="single" w:color="auto" w:sz="4" w:space="0"/>
            </w:tcBorders>
            <w:noWrap w:val="0"/>
            <w:vAlign w:val="center"/>
          </w:tcPr>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topLinePunct/>
              <w:adjustRightInd/>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topLinePunct/>
              <w:adjustRightInd/>
              <w:snapToGrid w:val="0"/>
              <w:spacing w:line="560" w:lineRule="exact"/>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restart"/>
            <w:tcBorders>
              <w:top w:val="single" w:color="auto" w:sz="4" w:space="0"/>
              <w:bottom w:val="single" w:color="auto" w:sz="4" w:space="0"/>
              <w:right w:val="single" w:color="auto" w:sz="4" w:space="0"/>
            </w:tcBorders>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sz w:val="24"/>
                <w:szCs w:val="24"/>
                <w:vertAlign w:val="baseline"/>
                <w:lang w:val="en-US" w:eastAsia="zh-CN"/>
              </w:rPr>
              <w:t>分）</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实</w:t>
            </w:r>
            <w:r>
              <w:rPr>
                <w:rFonts w:hint="eastAsia" w:ascii="仿宋_GB2312" w:hAnsi="仿宋_GB2312" w:eastAsia="仿宋_GB2312" w:cs="仿宋_GB2312"/>
                <w:sz w:val="24"/>
                <w:szCs w:val="24"/>
                <w:lang w:val="en-US" w:eastAsia="zh-CN"/>
              </w:rPr>
              <w:t>施</w:t>
            </w:r>
          </w:p>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方案</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sz w:val="24"/>
                <w:szCs w:val="24"/>
                <w:lang w:val="en-US" w:eastAsia="zh-CN"/>
              </w:rPr>
              <w:t>分）</w:t>
            </w:r>
          </w:p>
        </w:tc>
        <w:tc>
          <w:tcPr>
            <w:tcW w:w="6143" w:type="dxa"/>
            <w:tcBorders>
              <w:top w:val="single" w:color="auto" w:sz="4" w:space="0"/>
              <w:left w:val="single" w:color="auto" w:sz="4" w:space="0"/>
              <w:bottom w:val="single" w:color="auto" w:sz="4" w:space="0"/>
            </w:tcBorders>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1.龙华鹭湖三馆项目背景和龙华文旅资源分析；</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2.阅见鹭湖·书行龙华——三馆轻文旅漫游季活动方案；</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3.活动现场搭建、布置效果；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4.活动流程设计和执行安排情况。</w:t>
            </w:r>
          </w:p>
          <w:p>
            <w:pPr>
              <w:topLinePunct/>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满足以上任意一项要求得5分，最高得20分，在此基础上，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1.优：项目实施方案内容全面、具体、针对性强、科学合理、可操作性强得10分；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2.良：项目实施方案内容较丰富、较具体、针对性较强、较科学合理、可操作性较强得7分；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122" w:type="dxa"/>
            <w:vMerge w:val="continue"/>
            <w:tcBorders>
              <w:top w:val="single" w:color="auto" w:sz="4" w:space="0"/>
              <w:bottom w:val="single" w:color="auto" w:sz="4" w:space="0"/>
              <w:right w:val="single" w:color="auto" w:sz="4" w:space="0"/>
            </w:tcBorders>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项目重点难点分析、应对措施及相关的合理化建议</w:t>
            </w:r>
          </w:p>
          <w:p>
            <w:pPr>
              <w:spacing w:line="560" w:lineRule="exact"/>
              <w:jc w:val="left"/>
              <w:rPr>
                <w:rFonts w:hint="eastAsia"/>
                <w:lang w:eastAsia="zh-CN"/>
              </w:rPr>
            </w:pPr>
            <w:r>
              <w:rPr>
                <w:rFonts w:hint="eastAsia" w:ascii="仿宋_GB2312" w:hAnsi="仿宋_GB2312" w:eastAsia="仿宋_GB2312" w:cs="仿宋_GB2312"/>
                <w:sz w:val="24"/>
                <w:szCs w:val="24"/>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p>
        </w:tc>
        <w:tc>
          <w:tcPr>
            <w:tcW w:w="6143" w:type="dxa"/>
            <w:tcBorders>
              <w:top w:val="single" w:color="auto" w:sz="4" w:space="0"/>
              <w:left w:val="single" w:color="auto" w:sz="4" w:space="0"/>
              <w:bottom w:val="single" w:color="auto" w:sz="4" w:space="0"/>
            </w:tcBorders>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3.向招标方提出项目实施具体建议。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良：以上项目重点难点分析、应对措施及相关合理化建议的三点内容较</w:t>
            </w:r>
            <w:r>
              <w:rPr>
                <w:rFonts w:hint="eastAsia" w:ascii="仿宋_GB2312" w:hAnsi="仿宋_GB2312" w:eastAsia="仿宋_GB2312" w:cs="仿宋_GB2312"/>
                <w:sz w:val="24"/>
                <w:szCs w:val="24"/>
                <w:lang w:eastAsia="zh-CN"/>
              </w:rPr>
              <w:t>丰富</w:t>
            </w:r>
            <w:r>
              <w:rPr>
                <w:rFonts w:hint="eastAsia" w:ascii="仿宋_GB2312" w:hAnsi="仿宋_GB2312" w:eastAsia="仿宋_GB2312" w:cs="仿宋_GB2312"/>
                <w:sz w:val="24"/>
                <w:szCs w:val="24"/>
              </w:rPr>
              <w:t>、针对性较强、可操作性较强，加</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sz w:val="24"/>
                <w:szCs w:val="24"/>
              </w:rPr>
              <w:t>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spacing w:line="560" w:lineRule="exact"/>
        <w:ind w:firstLine="640" w:firstLineChars="200"/>
        <w:jc w:val="left"/>
        <w:rPr>
          <w:rFonts w:hint="eastAsia" w:ascii="黑体" w:hAnsi="黑体" w:eastAsia="黑体" w:cs="黑体"/>
          <w:sz w:val="32"/>
        </w:rPr>
      </w:pPr>
      <w:r>
        <w:rPr>
          <w:rFonts w:hint="eastAsia" w:ascii="黑体" w:hAnsi="黑体" w:eastAsia="黑体" w:cs="黑体"/>
          <w:sz w:val="32"/>
        </w:rPr>
        <w:t>八、供应商提供资料清单</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注：以下全部资料每页均须加盖单位公章；第1至5项为投标资格必备资料，第1至5项任意一项资料缺失、未按要求完整提交的，作无效投标处理。</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b/>
          <w:bCs/>
          <w:color w:val="FF0000"/>
          <w:sz w:val="32"/>
          <w:highlight w:val="yellow"/>
          <w:lang w:eastAsia="zh-CN"/>
        </w:rPr>
      </w:pPr>
      <w:r>
        <w:rPr>
          <w:rFonts w:hint="eastAsia" w:ascii="仿宋_GB2312" w:hAnsi="仿宋" w:eastAsia="仿宋_GB2312" w:cs="Times New Roman"/>
          <w:sz w:val="32"/>
        </w:rPr>
        <w:t>6.评分规则所需资料（同类业绩证明、方案等）。</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w:t>
      </w:r>
      <w:r>
        <w:rPr>
          <w:rFonts w:hint="eastAsia" w:ascii="仿宋_GB2312" w:hAnsi="仿宋" w:eastAsia="仿宋_GB2312" w:cs="Times New Roman"/>
          <w:color w:val="auto"/>
          <w:sz w:val="32"/>
          <w:highlight w:val="none"/>
        </w:rPr>
        <w:t>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sz w:val="32"/>
          <w:szCs w:val="32"/>
          <w:highlight w:val="none"/>
          <w:lang w:val="en-US" w:eastAsia="zh-CN"/>
        </w:rPr>
        <w:t>阅见鹭湖·书行龙华——三馆轻文旅漫游季</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spacing w:line="560" w:lineRule="exact"/>
        <w:ind w:firstLine="640" w:firstLineChars="200"/>
        <w:jc w:val="left"/>
        <w:rPr>
          <w:rFonts w:hint="default" w:ascii="仿宋_GB2312" w:hAnsi="仿宋" w:eastAsia="仿宋_GB2312" w:cs="Times New Roman"/>
          <w:sz w:val="32"/>
          <w:szCs w:val="22"/>
          <w:lang w:val="en-US"/>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0755-23338</w:t>
      </w:r>
      <w:r>
        <w:rPr>
          <w:rFonts w:hint="default" w:ascii="仿宋_GB2312" w:hAnsi="仿宋" w:eastAsia="仿宋_GB2312" w:cs="Times New Roman"/>
          <w:sz w:val="32"/>
          <w:szCs w:val="22"/>
          <w:lang w:val="en-US"/>
        </w:rPr>
        <w:t>032</w:t>
      </w:r>
    </w:p>
    <w:p>
      <w:pPr>
        <w:pStyle w:val="18"/>
        <w:spacing w:line="560" w:lineRule="exact"/>
        <w:ind w:firstLine="0" w:firstLineChars="0"/>
        <w:rPr>
          <w:rFonts w:hint="default" w:ascii="黑体" w:hAnsi="黑体" w:eastAsia="黑体" w:cs="黑体"/>
          <w:color w:val="000000"/>
          <w:sz w:val="32"/>
          <w:szCs w:val="32"/>
          <w:lang w:val="en-US" w:eastAsia="zh-CN"/>
        </w:rPr>
      </w:pP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bookmarkStart w:id="2" w:name="_GoBack"/>
      <w:bookmarkEnd w:id="2"/>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F40FF"/>
    <w:multiLevelType w:val="singleLevel"/>
    <w:tmpl w:val="CCDF40FF"/>
    <w:lvl w:ilvl="0" w:tentative="0">
      <w:start w:val="2"/>
      <w:numFmt w:val="chineseCounting"/>
      <w:suff w:val="nothing"/>
      <w:lvlText w:val="（%1）"/>
      <w:lvlJc w:val="left"/>
      <w:rPr>
        <w:rFonts w:hint="eastAsia"/>
      </w:rPr>
    </w:lvl>
  </w:abstractNum>
  <w:abstractNum w:abstractNumId="1">
    <w:nsid w:val="7BBB74B8"/>
    <w:multiLevelType w:val="singleLevel"/>
    <w:tmpl w:val="7BBB74B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16EB8C75"/>
    <w:rsid w:val="1821AF03"/>
    <w:rsid w:val="2BFF11FD"/>
    <w:rsid w:val="36B9A477"/>
    <w:rsid w:val="376DDDD6"/>
    <w:rsid w:val="3D5FDCFC"/>
    <w:rsid w:val="3E7D9539"/>
    <w:rsid w:val="3F77630A"/>
    <w:rsid w:val="3F7D16C5"/>
    <w:rsid w:val="3FF70220"/>
    <w:rsid w:val="417FA3F9"/>
    <w:rsid w:val="55FF0961"/>
    <w:rsid w:val="57FB8770"/>
    <w:rsid w:val="59DDA3B8"/>
    <w:rsid w:val="5F2BE56A"/>
    <w:rsid w:val="5FFB15CC"/>
    <w:rsid w:val="6CFFD566"/>
    <w:rsid w:val="6FC72380"/>
    <w:rsid w:val="6FD7A3CD"/>
    <w:rsid w:val="72EE2070"/>
    <w:rsid w:val="73FB884D"/>
    <w:rsid w:val="7697F557"/>
    <w:rsid w:val="76A5E002"/>
    <w:rsid w:val="77AB661A"/>
    <w:rsid w:val="77F734E0"/>
    <w:rsid w:val="79E201D4"/>
    <w:rsid w:val="7BD3E33C"/>
    <w:rsid w:val="7BDBE762"/>
    <w:rsid w:val="7BF7E217"/>
    <w:rsid w:val="7BFF1C1D"/>
    <w:rsid w:val="7CEBEEC5"/>
    <w:rsid w:val="7D973EE3"/>
    <w:rsid w:val="7D9F3A20"/>
    <w:rsid w:val="7DBFE3E4"/>
    <w:rsid w:val="7DD39989"/>
    <w:rsid w:val="7DFD925A"/>
    <w:rsid w:val="7E6B60BE"/>
    <w:rsid w:val="7E9F479A"/>
    <w:rsid w:val="7EE92942"/>
    <w:rsid w:val="7F964334"/>
    <w:rsid w:val="95DE5814"/>
    <w:rsid w:val="9EFFBBA7"/>
    <w:rsid w:val="9FF753B3"/>
    <w:rsid w:val="ABCB83E1"/>
    <w:rsid w:val="ADEF3CFB"/>
    <w:rsid w:val="B2FF8A33"/>
    <w:rsid w:val="B9FFB562"/>
    <w:rsid w:val="BBFF548B"/>
    <w:rsid w:val="BF5FC81F"/>
    <w:rsid w:val="BFF36448"/>
    <w:rsid w:val="CEAEA899"/>
    <w:rsid w:val="CFD6AC8B"/>
    <w:rsid w:val="D1CE1D16"/>
    <w:rsid w:val="D3D56C91"/>
    <w:rsid w:val="DEB7FE68"/>
    <w:rsid w:val="DFFF69F1"/>
    <w:rsid w:val="DFFF8049"/>
    <w:rsid w:val="E376E1AF"/>
    <w:rsid w:val="E54F13F4"/>
    <w:rsid w:val="E77E6E49"/>
    <w:rsid w:val="EFEC31AA"/>
    <w:rsid w:val="EFF64497"/>
    <w:rsid w:val="F6DFB852"/>
    <w:rsid w:val="FDBB8A97"/>
    <w:rsid w:val="FDD7B321"/>
    <w:rsid w:val="FDFFDEC4"/>
    <w:rsid w:val="FE7DD8F3"/>
    <w:rsid w:val="FFBFB86A"/>
    <w:rsid w:val="FFEF2FC6"/>
    <w:rsid w:val="FFF6D155"/>
    <w:rsid w:val="FFF7A1A8"/>
    <w:rsid w:val="FFF7E391"/>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4"/>
    <w:next w:val="1"/>
    <w:qFormat/>
    <w:uiPriority w:val="9"/>
    <w:pPr>
      <w:spacing w:before="260" w:after="260" w:line="240" w:lineRule="auto"/>
      <w:outlineLvl w:val="2"/>
    </w:pPr>
    <w:rPr>
      <w:rFonts w:ascii="宋体" w:hAnsi="宋体" w:eastAsia="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Body Text 2"/>
    <w:basedOn w:val="1"/>
    <w:qFormat/>
    <w:uiPriority w:val="0"/>
    <w:pPr>
      <w:spacing w:line="360" w:lineRule="auto"/>
    </w:pPr>
    <w:rPr>
      <w:sz w:val="24"/>
    </w:rPr>
  </w:style>
  <w:style w:type="paragraph" w:styleId="10">
    <w:name w:val="Normal (Web)"/>
    <w:basedOn w:val="1"/>
    <w:qFormat/>
    <w:uiPriority w:val="99"/>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2025-04-24T09:16:00Z</dcterms:created>
  <dc:creator>yang</dc:creator>
  <cp:lastModifiedBy>lxy</cp:lastModifiedBy>
  <cp:lastPrinted>2026-07-08T08:12:00Z</cp:lastPrinted>
  <dcterms:modified xsi:type="dcterms:W3CDTF">2026-07-09T17:58:35Z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DC46871A13B244F99427476A97392F40</vt:lpwstr>
  </property>
</Properties>
</file>