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附件</w:t>
      </w:r>
    </w:p>
    <w:p>
      <w:pPr>
        <w:spacing w:line="56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龙华区社会组织2026年财务专项审计</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rPr>
        <w:t>项目</w:t>
      </w:r>
      <w:r>
        <w:rPr>
          <w:rFonts w:hint="eastAsia" w:ascii="方正小标宋简体" w:hAnsi="方正小标宋简体" w:eastAsia="方正小标宋简体" w:cs="方正小标宋简体"/>
          <w:sz w:val="44"/>
          <w:szCs w:val="44"/>
        </w:rPr>
        <w:t>需求书</w:t>
      </w:r>
    </w:p>
    <w:p>
      <w:pPr>
        <w:spacing w:line="560" w:lineRule="exact"/>
        <w:jc w:val="center"/>
        <w:rPr>
          <w:rFonts w:hint="eastAsia" w:ascii="方正小标宋简体" w:hAnsi="方正小标宋简体" w:eastAsia="方正小标宋简体" w:cs="方正小标宋简体"/>
          <w:spacing w:val="17"/>
          <w:sz w:val="44"/>
          <w:szCs w:val="44"/>
        </w:rPr>
      </w:pPr>
    </w:p>
    <w:p>
      <w:pPr>
        <w:numPr>
          <w:ilvl w:val="0"/>
          <w:numId w:val="1"/>
        </w:num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项目目标</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为进一步加强我区社会组织财务管理工作，扎实履行社会组织登记管理机关监管责任，结合我区社会组织实际情况，根据《民政部关于印发&lt;社会组织抽查暂行办法&gt;的通知》（民发〔2017〕45号）等有关规定，开展社会组织财务专项审计工作。</w:t>
      </w:r>
    </w:p>
    <w:p>
      <w:p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二、服务时间</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2026年</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月—2026年10月</w:t>
      </w:r>
      <w:bookmarkStart w:id="1" w:name="_GoBack"/>
      <w:bookmarkEnd w:id="1"/>
    </w:p>
    <w:p>
      <w:p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三、项目内容及要求</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审计期间主要为2024年1月1日至2025年12月31日（重要事项将追溯到以前年度或者延伸至审计日）。本次专项审计共分为：审计准备阶段、审计实施阶段、审计汇总阶段和出具审计报告阶段。各阶段内容如下：</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（一）审计准备阶段（2026年</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月）</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1.开展调研。根据审计原则，结合社会组织管理工作中发现的问题和社会组织的实际情况，拟定审计内容清单。</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2.制定方案。在调研的基础上，与社会组织充分沟通审计人员安排、审计工作程序、审计时间安排等内容，明确审计工作重点。</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3.制定工作标准。形成由具备专业资质的人员组成的审计技术支持小组，按照注册会计师执业准则和实际工作要求，制定审计标准。</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4.进行审前培训。对参与审计的所有人员进行审前培训。培训内容包括：审计纪律、审计原则、审计具体工作方案和审计程序等。 </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（二）审计实施阶段（2026年9月）</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1.全面开展审计工作。按照注册会计师执业准则的要求，审计人员实施实质性审计测试程序，完成现场审计工作。</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2.定期沟通审计问题。审计人员及时汇总审计过程中发现的问题，并根据问题的重要程度进行分级汇报，对重大问题提出初步解决意见并及时上报。</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3.现场审计底稿复核。审计人员在审计现场完成一级和二级审计底稿复核工作，提出审计意见，提交上级审计人员进行三级复核。</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（三）审计问题汇总及出具审计报告阶段（2026年10月）</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1.对审计问题进行汇总。</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2.对审计数据进行分析整理。</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3.10月31日前完成12家社会组织2024-2025年度的财务审计工作并出具审计报告。</w:t>
      </w:r>
    </w:p>
    <w:p>
      <w:pPr>
        <w:tabs>
          <w:tab w:val="left" w:pos="1820"/>
        </w:tabs>
        <w:snapToGrid w:val="0"/>
        <w:spacing w:line="560" w:lineRule="exact"/>
        <w:ind w:firstLine="65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4.指导社会组织对审计存在问题进行整改。</w:t>
      </w:r>
    </w:p>
    <w:p>
      <w:pPr>
        <w:numPr>
          <w:ilvl w:val="0"/>
          <w:numId w:val="2"/>
        </w:numPr>
        <w:tabs>
          <w:tab w:val="left" w:pos="1820"/>
        </w:tabs>
        <w:snapToGrid w:val="0"/>
        <w:spacing w:line="560" w:lineRule="exact"/>
        <w:ind w:firstLine="65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审计重点内容</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1.内部治理情况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2024、2025年度是否按照章程规定召开会员（代表）大会、理事会；是否按照章程规定按期进行换届；是否按规定及时办理变更登记、章程修改核准和负责人备案。检查负责人是否超龄超届任职，是否超职数配备，选举程序是否规范；设置名誉职务是否符合有关规定，是否存在有关人员通过担任名誉职务变相把持社会组织。</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2.制度制定和执行情况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检查有关决策记录，是否存在决策机制失效、未履行重大事项报备义务等情况；是否按照民政部、中央社会工作部印发的《关于加强社会组织理事会建设的意见》等要求，规范行使理事会职权、规范选人程序、落实民主决策，是否认真落实理事会有关决议事项；是否有公务员或退（离）休领导干部违规任职的情况；检查财务制度、资产管理制度、内部控制制度的制定和执行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3.收费情况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检查是否存在借开展评比表彰和举办论坛、展会、培训等活动违规收费情况；其他开展服务及收费情况。对社会团体，同步检查会费标准制定和修改程序、表决方式、基本服务项目设置、票据使用、收支管理等情况；是否存在利用编制团体标准乱收费情况。对行业协会商会，同步检查遵守《国务院办公厅关于进一步规范行业协会商会收费的通知》关于“严禁强制入会和强制收费”、“严禁利用法定职责和行政机关委托、授权事项违规收费”、“严禁通过评比达标表彰活动收费”、“严禁通过职业资格认定违规收费”、“严禁只收费不服务或多头重复收费”等规定的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4.分支（代表）机构管理情况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检查社会团体分支机构、代表机构、专项基金的设立、管理情况，包括设立分支（代表）机构程序是否合规，是否超出章程规定的宗旨和业务范围设立分支（代表）机构，分支（代表）机构名称是否规范，是否设立地域性分支机构，是否分支（代表）机构下再设分支（代表）机构，是否在同一领域设置多个业务范围重合的分支机构；分支（代表）机构财务是否纳入社会团体统一账户（社会团体在境外设立机构的，还应当符合设立地的法律法规等规定）；分支（代表）机构是否异化为关联企业及其工作人员谋取私利的渠道。检查社会团体是否对分支机构、代表机构、专项基金实施有效管理，包括是否以设立分支机构、代表机构、专项基金的名义收取或变相收取管理费、赞助费，是否超范围开展业务活动等。检查民办非企业单位是否违规设立分支机构。</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5.开展业务活动情况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检查2024、2025年度是否依法依章程开展业务活动；是否违反中央八项规定及其实施细则精神以及党中央关于整治形式主义为基层减负的各项部署要求。检查是否未按照有关要求履行相关报批手续开展评比表彰、达标、创建示范活动，是否存在随意冠以“国家”、“中国”、“中华”、“全国”、“全球”、“世界”、“人民”、“功勋”等名号举办活动等情况。检查所属期刊是否存在管理混乱、经营不善、脱离主业、违规外包等问题。</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6.财务管理和关联交易情况</w:t>
      </w:r>
    </w:p>
    <w:p>
      <w:pPr>
        <w:numPr>
          <w:ilvl w:val="255"/>
          <w:numId w:val="0"/>
        </w:numPr>
        <w:tabs>
          <w:tab w:val="left" w:pos="1820"/>
        </w:tabs>
        <w:wordWrap w:val="0"/>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检查财务管理是否规范，包括收支核算未统一，资金收支无严格的审批签字程序，发票、收据使用不规范，会计凭证归档不完整，使用其他组织或者个人银行账户进行账务往来，存在不合理列支业务活动成本、管理费用等挥霍浪费组织财产或者公共资源情况，违规设立“小金库”或公款吃喝，从出资企业领取畸高薪酬、侵占出资企业资产。检查是否违规违法使用资金，包括将业务活动委托利益关联方组织实施，把单位资金据为己有，未按规定执行招标、比选等采购流程，虚构合作名义向个人设立企业转移资金；关联方交易未履行内部决策程序，未按照公允价格交易，未按照《民间非营利组织会计制度》等规定对相关信息予以披露。检查财务监督是否严格，包括监事会或者监事未履行财务监督职责，未向会员公开会费收支情况，未按要求对审计监督、财会监督发现问题进行整改。检查资产处置是否得当，包括将资产用于对外担保、投资等高风险行为，未履行决策程序导致资产流失，将大额财产长期无偿交由或出借给其他组织或个人不收回。检查支出是否超出章程规定的业务范围，是否存在抽逃活动资金或者开办资金，是否向出资人、举办者、捐赠人、理事、监事及管理人员等分配或变相分配财产，是否通过虚增业务活动成本、虚假发放工作人员费用、专家费用等方式分配或变相分配财产，兼职理事参加决策、监督等履职行为时是否以劳务费、专家费等方式领取报酬，负责人、工作人员或者其他人员是否存在侵占、私分、挪用组织财产情况。检查对外投资是否按规定履行内部决策程序，是否符合章程规定的业务范围，是否符合合法、安全、有效原则，是否按照《民间非营利组织会计制度》进行投资收益核算，是否存在损害组织利益情况，是否违规投资社会组织负责人实际控制的实体机构。</w:t>
      </w:r>
    </w:p>
    <w:p>
      <w:pPr>
        <w:keepNext w:val="0"/>
        <w:keepLines w:val="0"/>
        <w:pageBreakBefore w:val="0"/>
        <w:widowControl w:val="0"/>
        <w:numPr>
          <w:ilvl w:val="255"/>
          <w:numId w:val="0"/>
        </w:numPr>
        <w:tabs>
          <w:tab w:val="left" w:pos="1820"/>
        </w:tabs>
        <w:kinsoku/>
        <w:wordWrap w:val="0"/>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7.社会组织履行重大事项报告义务等情况</w:t>
      </w:r>
    </w:p>
    <w:p>
      <w:pPr>
        <w:keepNext w:val="0"/>
        <w:keepLines w:val="0"/>
        <w:pageBreakBefore w:val="0"/>
        <w:widowControl w:val="0"/>
        <w:shd w:val="clear" w:color="auto" w:fill="FFFFFF"/>
        <w:tabs>
          <w:tab w:val="left" w:pos="1820"/>
        </w:tabs>
        <w:kinsoku/>
        <w:wordWrap w:val="0"/>
        <w:overflowPunct/>
        <w:topLinePunct w:val="0"/>
        <w:autoSpaceDE/>
        <w:autoSpaceDN/>
        <w:bidi w:val="0"/>
        <w:adjustRightInd/>
        <w:snapToGrid w:val="0"/>
        <w:spacing w:after="0" w:line="560" w:lineRule="exact"/>
        <w:ind w:right="12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检查重大事项是否按规定报批（备），是否按照审批意见开展活动，是否按照规定对重大事项进行管理；是否建立重大风险台账制度，是否按要求对风险事项进行研判。</w:t>
      </w:r>
    </w:p>
    <w:p>
      <w:pPr>
        <w:keepNext w:val="0"/>
        <w:keepLines w:val="0"/>
        <w:pageBreakBefore w:val="0"/>
        <w:widowControl w:val="0"/>
        <w:tabs>
          <w:tab w:val="left" w:pos="1820"/>
        </w:tabs>
        <w:kinsoku/>
        <w:wordWrap w:val="0"/>
        <w:overflowPunct/>
        <w:topLinePunct w:val="0"/>
        <w:autoSpaceDE/>
        <w:autoSpaceDN/>
        <w:bidi w:val="0"/>
        <w:adjustRightInd/>
        <w:snapToGrid w:val="0"/>
        <w:spacing w:after="0"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8.其他遵守财务管理等相关法律法规规定、遵守非营利原则的情况。</w:t>
      </w:r>
    </w:p>
    <w:p>
      <w:p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四、报价限额</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6"/>
        </w:rPr>
        <w:t>报价</w:t>
      </w:r>
      <w:r>
        <w:rPr>
          <w:rFonts w:hint="default" w:ascii="仿宋_GB2312" w:hAnsi="仿宋_GB2312" w:eastAsia="仿宋_GB2312" w:cs="仿宋_GB2312"/>
          <w:sz w:val="32"/>
          <w:szCs w:val="36"/>
          <w:lang w:val="en-US"/>
        </w:rPr>
        <w:t>总</w:t>
      </w:r>
      <w:r>
        <w:rPr>
          <w:rFonts w:hint="eastAsia" w:ascii="仿宋_GB2312" w:hAnsi="仿宋_GB2312" w:eastAsia="仿宋_GB2312" w:cs="仿宋_GB2312"/>
          <w:sz w:val="32"/>
          <w:szCs w:val="36"/>
        </w:rPr>
        <w:t>限额不超过60000元（大写:人民币陆万元整），</w:t>
      </w:r>
      <w:r>
        <w:rPr>
          <w:rFonts w:hint="default" w:ascii="仿宋_GB2312" w:hAnsi="仿宋_GB2312" w:eastAsia="仿宋_GB2312" w:cs="仿宋_GB2312"/>
          <w:sz w:val="32"/>
          <w:szCs w:val="36"/>
          <w:lang w:val="en-US"/>
        </w:rPr>
        <w:t>每家单价不超过5000元</w:t>
      </w:r>
      <w:r>
        <w:rPr>
          <w:rFonts w:hint="eastAsia" w:ascii="仿宋_GB2312" w:hAnsi="仿宋_GB2312" w:eastAsia="仿宋_GB2312" w:cs="仿宋_GB2312"/>
          <w:sz w:val="32"/>
          <w:szCs w:val="36"/>
        </w:rPr>
        <w:t>（大写:人民币伍仟元整）</w:t>
      </w:r>
      <w:r>
        <w:rPr>
          <w:rFonts w:hint="default" w:ascii="仿宋_GB2312" w:hAnsi="仿宋_GB2312" w:eastAsia="仿宋_GB2312" w:cs="仿宋_GB2312"/>
          <w:sz w:val="32"/>
          <w:szCs w:val="36"/>
          <w:lang w:val="en-US"/>
        </w:rPr>
        <w:t>，</w:t>
      </w:r>
      <w:r>
        <w:rPr>
          <w:rFonts w:hint="eastAsia" w:ascii="仿宋_GB2312" w:hAnsi="仿宋_GB2312" w:eastAsia="仿宋_GB2312" w:cs="仿宋_GB2312"/>
          <w:sz w:val="32"/>
          <w:szCs w:val="36"/>
        </w:rPr>
        <w:t>超出限价的投标文件按无效投标处理，</w:t>
      </w:r>
      <w:r>
        <w:rPr>
          <w:rFonts w:hint="eastAsia" w:ascii="仿宋_GB2312" w:hAnsi="仿宋_GB2312" w:eastAsia="仿宋_GB2312" w:cs="仿宋_GB2312"/>
          <w:sz w:val="32"/>
          <w:szCs w:val="32"/>
        </w:rPr>
        <w:t>项目报价表需与下表保持一致：</w:t>
      </w:r>
    </w:p>
    <w:tbl>
      <w:tblPr>
        <w:tblStyle w:val="20"/>
        <w:tblW w:w="10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5"/>
        <w:gridCol w:w="1846"/>
        <w:gridCol w:w="933"/>
        <w:gridCol w:w="934"/>
        <w:gridCol w:w="4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2" w:type="dxa"/>
            <w:gridSpan w:val="5"/>
            <w:vAlign w:val="center"/>
          </w:tcPr>
          <w:p>
            <w:pPr>
              <w:pStyle w:val="14"/>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龙华区社会组织2026年财务专项审计项目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5" w:type="dxa"/>
            <w:vAlign w:val="center"/>
          </w:tcPr>
          <w:p>
            <w:pPr>
              <w:pStyle w:val="14"/>
              <w:spacing w:after="0" w:line="560" w:lineRule="exact"/>
              <w:ind w:left="0" w:leftChars="0" w:right="0" w:rightChars="0"/>
              <w:jc w:val="center"/>
              <w:rPr>
                <w:rFonts w:hint="eastAsia" w:ascii="仿宋_GB2312" w:hAnsi="仿宋_GB2312" w:eastAsia="仿宋_GB2312" w:cs="仿宋_GB2312"/>
                <w:kern w:val="0"/>
                <w:sz w:val="32"/>
                <w:szCs w:val="32"/>
              </w:rPr>
            </w:pPr>
            <w:bookmarkStart w:id="0" w:name="_Hlk232514726"/>
            <w:r>
              <w:rPr>
                <w:rFonts w:hint="eastAsia" w:ascii="仿宋_GB2312" w:hAnsi="仿宋_GB2312" w:eastAsia="仿宋_GB2312" w:cs="仿宋_GB2312"/>
                <w:kern w:val="0"/>
                <w:sz w:val="32"/>
                <w:szCs w:val="32"/>
              </w:rPr>
              <w:t>项目</w:t>
            </w:r>
          </w:p>
        </w:tc>
        <w:tc>
          <w:tcPr>
            <w:tcW w:w="1846" w:type="dxa"/>
            <w:vAlign w:val="center"/>
          </w:tcPr>
          <w:p>
            <w:pPr>
              <w:pStyle w:val="14"/>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内容</w:t>
            </w:r>
          </w:p>
        </w:tc>
        <w:tc>
          <w:tcPr>
            <w:tcW w:w="933" w:type="dxa"/>
            <w:vAlign w:val="center"/>
          </w:tcPr>
          <w:p>
            <w:pPr>
              <w:pStyle w:val="14"/>
              <w:spacing w:after="0" w:line="560" w:lineRule="exact"/>
              <w:ind w:left="0" w:leftChars="0" w:right="0" w:rightChars="0"/>
              <w:jc w:val="center"/>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单位</w:t>
            </w:r>
          </w:p>
        </w:tc>
        <w:tc>
          <w:tcPr>
            <w:tcW w:w="934" w:type="dxa"/>
            <w:vAlign w:val="center"/>
          </w:tcPr>
          <w:p>
            <w:pPr>
              <w:pStyle w:val="14"/>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数量</w:t>
            </w:r>
          </w:p>
        </w:tc>
        <w:tc>
          <w:tcPr>
            <w:tcW w:w="4284" w:type="dxa"/>
            <w:vAlign w:val="center"/>
          </w:tcPr>
          <w:p>
            <w:pPr>
              <w:pStyle w:val="14"/>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5" w:type="dxa"/>
            <w:vAlign w:val="center"/>
          </w:tcPr>
          <w:p>
            <w:pPr>
              <w:pStyle w:val="14"/>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龙华区社会组织2026年财务专项审计项目</w:t>
            </w:r>
          </w:p>
        </w:tc>
        <w:tc>
          <w:tcPr>
            <w:tcW w:w="1846" w:type="dxa"/>
            <w:vAlign w:val="center"/>
          </w:tcPr>
          <w:p>
            <w:pPr>
              <w:pStyle w:val="14"/>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对龙华区12家社会组织开展2024-2025年度财务专项审计</w:t>
            </w:r>
          </w:p>
        </w:tc>
        <w:tc>
          <w:tcPr>
            <w:tcW w:w="933" w:type="dxa"/>
            <w:vAlign w:val="center"/>
          </w:tcPr>
          <w:p>
            <w:pPr>
              <w:pStyle w:val="14"/>
              <w:spacing w:after="0" w:line="560" w:lineRule="exact"/>
              <w:ind w:left="0" w:leftChars="0" w:right="0" w:rightChars="0"/>
              <w:jc w:val="center"/>
              <w:rPr>
                <w:rFonts w:hint="eastAsia" w:ascii="仿宋_GB2312" w:hAnsi="仿宋_GB2312" w:cs="仿宋_GB2312"/>
                <w:kern w:val="0"/>
                <w:sz w:val="32"/>
                <w:szCs w:val="32"/>
              </w:rPr>
            </w:pPr>
            <w:r>
              <w:rPr>
                <w:rFonts w:hint="eastAsia" w:ascii="仿宋_GB2312" w:hAnsi="仿宋_GB2312" w:eastAsia="仿宋_GB2312" w:cs="仿宋_GB2312"/>
                <w:kern w:val="0"/>
                <w:sz w:val="32"/>
                <w:szCs w:val="32"/>
              </w:rPr>
              <w:t>家</w:t>
            </w:r>
          </w:p>
        </w:tc>
        <w:tc>
          <w:tcPr>
            <w:tcW w:w="934" w:type="dxa"/>
            <w:vAlign w:val="center"/>
          </w:tcPr>
          <w:p>
            <w:pPr>
              <w:pStyle w:val="14"/>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w:t>
            </w:r>
          </w:p>
        </w:tc>
        <w:tc>
          <w:tcPr>
            <w:tcW w:w="4284" w:type="dxa"/>
            <w:vAlign w:val="center"/>
          </w:tcPr>
          <w:p>
            <w:pPr>
              <w:pStyle w:val="14"/>
              <w:wordWrap w:val="0"/>
              <w:spacing w:after="0" w:line="560" w:lineRule="exact"/>
              <w:ind w:left="0" w:leftChars="0" w:right="0" w:rightChars="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10月31日前完成12家社会组织2024-2025年度的财务审计工作并出具审计报告。</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312" w:type="dxa"/>
            <w:gridSpan w:val="5"/>
            <w:vAlign w:val="center"/>
          </w:tcPr>
          <w:p>
            <w:pPr>
              <w:pStyle w:val="14"/>
              <w:spacing w:after="0" w:line="400" w:lineRule="exact"/>
              <w:ind w:left="0" w:leftChars="0" w:right="0" w:righ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投标价格（万元）：    （以万元为单位，最多保留两位小数）</w:t>
            </w:r>
          </w:p>
        </w:tc>
      </w:tr>
    </w:tbl>
    <w:p>
      <w:pPr>
        <w:spacing w:line="560" w:lineRule="exact"/>
        <w:ind w:firstLine="640" w:firstLineChars="200"/>
        <w:jc w:val="left"/>
        <w:rPr>
          <w:rFonts w:hint="eastAsia"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37"/>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（一）投标人须为在中华人民共和国境内依法登记设立的独立法人。会计师事务所实行总所、分所管理的，仅允许总所或一个分所参与本项目投标，总所与分所不得同时参与本项目投标。</w:t>
      </w:r>
    </w:p>
    <w:p>
      <w:pPr>
        <w:pStyle w:val="37"/>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分所参与投标的，应当具有有效的《会计师事务所分所执业证书》，并提供总所针对本项目出具的专项授权书，明确由总所对分所参与本项目投标、签约、履约及相关执业行为承担相应法律责任。同时提供总所营业执照、总所《会计师事务所执业证书》及分所《会计师事务所分所执业证书》复印件并加盖公章。依据《中华人民共和国注册会计师法》第十六条、《会计师事务所执业许可和监督管理办法》等有关规定执行。</w:t>
      </w:r>
    </w:p>
    <w:p>
      <w:pPr>
        <w:pStyle w:val="37"/>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p>
    <w:p>
      <w:pPr>
        <w:pStyle w:val="37"/>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（三）</w:t>
      </w:r>
      <w:r>
        <w:rPr>
          <w:rFonts w:hint="eastAsia" w:ascii="仿宋_GB2312" w:hAnsi="仿宋" w:eastAsia="仿宋_GB2312" w:cs="仿宋"/>
          <w:bCs/>
          <w:sz w:val="32"/>
          <w:szCs w:val="32"/>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rPr>
        <w:t>，不得同时参加本项目的采购活动。</w:t>
      </w:r>
    </w:p>
    <w:p>
      <w:pPr>
        <w:pStyle w:val="11"/>
        <w:ind w:firstLine="640" w:firstLineChars="200"/>
        <w:rPr>
          <w:rFonts w:hint="eastAsia" w:ascii="仿宋_GB2312" w:hAnsi="仿宋" w:eastAsia="仿宋_GB2312" w:cs="仿宋"/>
          <w:bCs/>
          <w:sz w:val="32"/>
          <w:szCs w:val="32"/>
        </w:rPr>
      </w:pPr>
      <w:r>
        <w:rPr>
          <w:rFonts w:hint="eastAsia" w:ascii="仿宋_GB2312" w:hAnsi="仿宋" w:eastAsia="仿宋_GB2312" w:cs="仿宋"/>
          <w:sz w:val="32"/>
          <w:szCs w:val="32"/>
        </w:rPr>
        <w:t>（四）供应商资格条</w:t>
      </w:r>
      <w:r>
        <w:rPr>
          <w:rFonts w:hint="eastAsia" w:ascii="仿宋_GB2312" w:hAnsi="仿宋" w:eastAsia="仿宋_GB2312" w:cs="仿宋"/>
          <w:bCs/>
          <w:sz w:val="32"/>
          <w:szCs w:val="32"/>
        </w:rPr>
        <w:t>件：供应商应具有财政部门颁发且在有效期内的《会计师事务所执业证书》；分所参与投标的，应具有有效的《会计师事务所分所执业证书》。供应商与本次12家被审计社会组织存在投资、控股、管理关系，或近2个完整会计年度（2024、2025年度）存在代账、往期审计、咨询等其他可能损害审计独立性情形的，不得参与本项目投标。</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综合评分法</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七、评分要求（综合评分法适用）</w:t>
      </w:r>
    </w:p>
    <w:p>
      <w:pPr>
        <w:pStyle w:val="46"/>
        <w:spacing w:line="560" w:lineRule="exact"/>
        <w:ind w:firstLine="640" w:firstLineChars="200"/>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jc w:val="left"/>
        <w:rPr>
          <w:rFonts w:hint="eastAsia" w:ascii="楷体_GB2312" w:hAnsi="楷体_GB2312" w:eastAsia="楷体_GB2312" w:cs="楷体_GB2312"/>
          <w:bCs/>
          <w:color w:val="000000"/>
          <w:sz w:val="32"/>
          <w:szCs w:val="32"/>
        </w:rPr>
      </w:pPr>
      <w:r>
        <w:rPr>
          <w:rFonts w:hint="eastAsia" w:ascii="仿宋_GB2312" w:eastAsia="仿宋_GB2312"/>
          <w:color w:val="000000"/>
          <w:sz w:val="32"/>
          <w:szCs w:val="32"/>
        </w:rPr>
        <w:t>采取综合评分标准，平均分最高的投标人为本项目中标人。</w:t>
      </w:r>
    </w:p>
    <w:p>
      <w:pPr>
        <w:pStyle w:val="46"/>
        <w:spacing w:line="560" w:lineRule="exact"/>
        <w:ind w:firstLine="640" w:firstLineChars="200"/>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（二）评分权重</w:t>
      </w:r>
    </w:p>
    <w:tbl>
      <w:tblPr>
        <w:tblStyle w:val="19"/>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2197"/>
        <w:gridCol w:w="2197"/>
        <w:gridCol w:w="2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Borders>
              <w:top w:val="single" w:color="auto" w:sz="4" w:space="0"/>
              <w:left w:val="single" w:color="auto" w:sz="4" w:space="0"/>
              <w:bottom w:val="single" w:color="auto" w:sz="4" w:space="0"/>
              <w:right w:val="single" w:color="auto" w:sz="4" w:space="0"/>
            </w:tcBorders>
          </w:tcPr>
          <w:p>
            <w:pPr>
              <w:pStyle w:val="4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评分内容</w:t>
            </w:r>
          </w:p>
        </w:tc>
        <w:tc>
          <w:tcPr>
            <w:tcW w:w="2197" w:type="dxa"/>
            <w:tcBorders>
              <w:top w:val="single" w:color="auto" w:sz="4" w:space="0"/>
              <w:left w:val="single" w:color="auto" w:sz="4" w:space="0"/>
              <w:bottom w:val="single" w:color="auto" w:sz="4" w:space="0"/>
              <w:right w:val="single" w:color="auto" w:sz="4" w:space="0"/>
            </w:tcBorders>
          </w:tcPr>
          <w:p>
            <w:pPr>
              <w:pStyle w:val="4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报价</w:t>
            </w:r>
          </w:p>
        </w:tc>
        <w:tc>
          <w:tcPr>
            <w:tcW w:w="2197" w:type="dxa"/>
            <w:tcBorders>
              <w:top w:val="single" w:color="auto" w:sz="4" w:space="0"/>
              <w:left w:val="single" w:color="auto" w:sz="4" w:space="0"/>
              <w:bottom w:val="single" w:color="auto" w:sz="4" w:space="0"/>
              <w:right w:val="single" w:color="auto" w:sz="4" w:space="0"/>
            </w:tcBorders>
          </w:tcPr>
          <w:p>
            <w:pPr>
              <w:pStyle w:val="4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商务部分</w:t>
            </w:r>
          </w:p>
        </w:tc>
        <w:tc>
          <w:tcPr>
            <w:tcW w:w="2197" w:type="dxa"/>
            <w:tcBorders>
              <w:top w:val="single" w:color="auto" w:sz="4" w:space="0"/>
              <w:left w:val="single" w:color="auto" w:sz="4" w:space="0"/>
              <w:bottom w:val="single" w:color="auto" w:sz="4" w:space="0"/>
              <w:right w:val="single" w:color="auto" w:sz="4" w:space="0"/>
            </w:tcBorders>
          </w:tcPr>
          <w:p>
            <w:pPr>
              <w:pStyle w:val="4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技术部分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Borders>
              <w:top w:val="single" w:color="auto" w:sz="4" w:space="0"/>
              <w:left w:val="single" w:color="auto" w:sz="4" w:space="0"/>
              <w:bottom w:val="single" w:color="auto" w:sz="4" w:space="0"/>
              <w:right w:val="single" w:color="auto" w:sz="4" w:space="0"/>
            </w:tcBorders>
          </w:tcPr>
          <w:p>
            <w:pPr>
              <w:pStyle w:val="4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分值</w:t>
            </w:r>
          </w:p>
        </w:tc>
        <w:tc>
          <w:tcPr>
            <w:tcW w:w="2197" w:type="dxa"/>
            <w:tcBorders>
              <w:top w:val="single" w:color="auto" w:sz="4" w:space="0"/>
              <w:left w:val="single" w:color="auto" w:sz="4" w:space="0"/>
              <w:bottom w:val="single" w:color="auto" w:sz="4" w:space="0"/>
              <w:right w:val="single" w:color="auto" w:sz="4" w:space="0"/>
            </w:tcBorders>
          </w:tcPr>
          <w:p>
            <w:pPr>
              <w:pStyle w:val="46"/>
              <w:spacing w:line="440" w:lineRule="exact"/>
              <w:jc w:val="center"/>
              <w:rPr>
                <w:rFonts w:hint="eastAsia" w:ascii="仿宋_GB2312" w:hAnsi="仿宋_GB2312" w:eastAsia="仿宋_GB2312" w:cs="仿宋_GB2312"/>
                <w:b w:val="0"/>
                <w:bCs/>
                <w:sz w:val="32"/>
                <w:szCs w:val="32"/>
              </w:rPr>
            </w:pPr>
            <w:r>
              <w:rPr>
                <w:rFonts w:ascii="仿宋_GB2312" w:hAnsi="仿宋_GB2312" w:eastAsia="仿宋_GB2312" w:cs="仿宋_GB2312"/>
                <w:b w:val="0"/>
                <w:bCs/>
                <w:sz w:val="32"/>
                <w:szCs w:val="32"/>
              </w:rPr>
              <w:t>10</w:t>
            </w:r>
            <w:r>
              <w:rPr>
                <w:rFonts w:hint="eastAsia" w:ascii="仿宋_GB2312" w:hAnsi="仿宋_GB2312" w:eastAsia="仿宋_GB2312" w:cs="仿宋_GB2312"/>
                <w:b w:val="0"/>
                <w:bCs/>
                <w:sz w:val="32"/>
                <w:szCs w:val="32"/>
              </w:rPr>
              <w:t>分</w:t>
            </w:r>
          </w:p>
        </w:tc>
        <w:tc>
          <w:tcPr>
            <w:tcW w:w="2197" w:type="dxa"/>
            <w:tcBorders>
              <w:top w:val="single" w:color="auto" w:sz="4" w:space="0"/>
              <w:left w:val="single" w:color="auto" w:sz="4" w:space="0"/>
              <w:bottom w:val="single" w:color="auto" w:sz="4" w:space="0"/>
              <w:right w:val="single" w:color="auto" w:sz="4" w:space="0"/>
            </w:tcBorders>
          </w:tcPr>
          <w:p>
            <w:pPr>
              <w:pStyle w:val="4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30</w:t>
            </w:r>
            <w:r>
              <w:rPr>
                <w:rFonts w:hint="eastAsia" w:ascii="仿宋_GB2312" w:hAnsi="仿宋_GB2312" w:eastAsia="仿宋_GB2312" w:cs="仿宋_GB2312"/>
                <w:b w:val="0"/>
                <w:bCs/>
                <w:sz w:val="32"/>
                <w:szCs w:val="32"/>
              </w:rPr>
              <w:t>分</w:t>
            </w:r>
          </w:p>
        </w:tc>
        <w:tc>
          <w:tcPr>
            <w:tcW w:w="2197" w:type="dxa"/>
            <w:tcBorders>
              <w:top w:val="single" w:color="auto" w:sz="4" w:space="0"/>
              <w:left w:val="single" w:color="auto" w:sz="4" w:space="0"/>
              <w:bottom w:val="single" w:color="auto" w:sz="4" w:space="0"/>
              <w:right w:val="single" w:color="auto" w:sz="4" w:space="0"/>
            </w:tcBorders>
          </w:tcPr>
          <w:p>
            <w:pPr>
              <w:pStyle w:val="4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60</w:t>
            </w:r>
            <w:r>
              <w:rPr>
                <w:rFonts w:hint="eastAsia" w:ascii="仿宋_GB2312" w:hAnsi="仿宋_GB2312" w:eastAsia="仿宋_GB2312" w:cs="仿宋_GB2312"/>
                <w:b w:val="0"/>
                <w:bCs/>
                <w:sz w:val="32"/>
                <w:szCs w:val="32"/>
              </w:rPr>
              <w:t>分</w:t>
            </w:r>
          </w:p>
        </w:tc>
      </w:tr>
    </w:tbl>
    <w:p>
      <w:pPr>
        <w:pStyle w:val="46"/>
        <w:spacing w:line="560" w:lineRule="exact"/>
        <w:ind w:firstLine="640" w:firstLineChars="200"/>
        <w:rPr>
          <w:rFonts w:hint="eastAsia"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20"/>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539"/>
        <w:gridCol w:w="6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restart"/>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报价</w:t>
            </w:r>
          </w:p>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（10分）</w:t>
            </w:r>
          </w:p>
        </w:tc>
        <w:tc>
          <w:tcPr>
            <w:tcW w:w="1539" w:type="dxa"/>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评分因素</w:t>
            </w:r>
          </w:p>
        </w:tc>
        <w:tc>
          <w:tcPr>
            <w:tcW w:w="6083" w:type="dxa"/>
            <w:vAlign w:val="center"/>
          </w:tcPr>
          <w:p>
            <w:pPr>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tcPr>
          <w:p>
            <w:pPr>
              <w:spacing w:line="440" w:lineRule="exact"/>
              <w:jc w:val="center"/>
              <w:rPr>
                <w:rFonts w:hint="eastAsia" w:ascii="仿宋_GB2312" w:hAnsi="仿宋_GB2312" w:eastAsia="仿宋_GB2312" w:cs="仿宋_GB2312"/>
                <w:kern w:val="0"/>
                <w:sz w:val="32"/>
                <w:szCs w:val="32"/>
              </w:rPr>
            </w:pPr>
          </w:p>
        </w:tc>
        <w:tc>
          <w:tcPr>
            <w:tcW w:w="1539" w:type="dxa"/>
            <w:vAlign w:val="center"/>
          </w:tcPr>
          <w:p>
            <w:pPr>
              <w:topLinePunct/>
              <w:snapToGrid w:val="0"/>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价格</w:t>
            </w:r>
          </w:p>
        </w:tc>
        <w:tc>
          <w:tcPr>
            <w:tcW w:w="6083" w:type="dxa"/>
            <w:vAlign w:val="center"/>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以本次报价或投标人所报的有效报价中的最低价作为基准报价。投标人报价得分=（基准价/投标人报价）*10分，本项最高得10分。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restart"/>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商务部分</w:t>
            </w:r>
          </w:p>
          <w:p>
            <w:pPr>
              <w:pStyle w:val="12"/>
              <w:spacing w:line="440" w:lineRule="exact"/>
              <w:jc w:val="center"/>
              <w:rPr>
                <w:rFonts w:ascii="仿宋_GB2312" w:hAnsi="仿宋_GB2312" w:eastAsia="仿宋_GB2312" w:cs="仿宋_GB2312"/>
                <w:kern w:val="0"/>
                <w:szCs w:val="32"/>
              </w:rPr>
            </w:pPr>
            <w:r>
              <w:rPr>
                <w:rFonts w:ascii="仿宋_GB2312" w:hAnsi="仿宋_GB2312" w:eastAsia="仿宋_GB2312" w:cs="仿宋_GB2312"/>
                <w:kern w:val="0"/>
                <w:szCs w:val="32"/>
              </w:rPr>
              <w:t>（</w:t>
            </w:r>
            <w:r>
              <w:rPr>
                <w:rFonts w:hint="eastAsia" w:ascii="仿宋_GB2312" w:hAnsi="仿宋_GB2312" w:eastAsia="仿宋_GB2312" w:cs="仿宋_GB2312"/>
                <w:kern w:val="0"/>
                <w:szCs w:val="32"/>
                <w:lang w:val="en-US" w:eastAsia="zh-CN"/>
              </w:rPr>
              <w:t>30</w:t>
            </w:r>
            <w:r>
              <w:rPr>
                <w:rFonts w:ascii="仿宋_GB2312" w:hAnsi="仿宋_GB2312" w:eastAsia="仿宋_GB2312" w:cs="仿宋_GB2312"/>
                <w:kern w:val="0"/>
                <w:szCs w:val="32"/>
              </w:rPr>
              <w:t>分）</w:t>
            </w:r>
          </w:p>
        </w:tc>
        <w:tc>
          <w:tcPr>
            <w:tcW w:w="1539" w:type="dxa"/>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w:t>
            </w:r>
          </w:p>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因素</w:t>
            </w:r>
          </w:p>
        </w:tc>
        <w:tc>
          <w:tcPr>
            <w:tcW w:w="6083" w:type="dxa"/>
            <w:vAlign w:val="center"/>
          </w:tcPr>
          <w:p>
            <w:pPr>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tcPr>
          <w:p>
            <w:pPr>
              <w:spacing w:line="440" w:lineRule="exact"/>
              <w:jc w:val="center"/>
              <w:rPr>
                <w:rFonts w:hint="eastAsia" w:ascii="仿宋_GB2312" w:hAnsi="仿宋_GB2312" w:eastAsia="仿宋_GB2312" w:cs="仿宋_GB2312"/>
                <w:kern w:val="0"/>
                <w:sz w:val="32"/>
                <w:szCs w:val="32"/>
              </w:rPr>
            </w:pP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同类项目业绩（10分）</w:t>
            </w:r>
          </w:p>
        </w:tc>
        <w:tc>
          <w:tcPr>
            <w:tcW w:w="6083" w:type="dxa"/>
          </w:tcPr>
          <w:p>
            <w:pPr>
              <w:topLinePunct/>
              <w:snapToGrid w:val="0"/>
              <w:spacing w:line="440" w:lineRule="exact"/>
              <w:jc w:val="left"/>
              <w:rPr>
                <w:rStyle w:val="23"/>
                <w:kern w:val="0"/>
              </w:rPr>
            </w:pPr>
            <w:r>
              <w:rPr>
                <w:rFonts w:hint="eastAsia" w:ascii="仿宋_GB2312" w:hAnsi="仿宋_GB2312" w:eastAsia="仿宋_GB2312" w:cs="仿宋_GB2312"/>
                <w:kern w:val="0"/>
                <w:sz w:val="32"/>
                <w:szCs w:val="32"/>
              </w:rPr>
              <w:t>（一）评审内容：投标人近三年（2023年1月1日至今，以合同签订时间为准）完成的同类财务专项审计或年度财务报表审计服务业绩。</w:t>
            </w:r>
          </w:p>
          <w:p>
            <w:pPr>
              <w:pStyle w:val="11"/>
              <w:topLinePunct/>
              <w:snapToGrid w:val="0"/>
              <w:spacing w:line="440"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同类项目指与社会组织相关财务审计项目。须提供</w:t>
            </w:r>
            <w:r>
              <w:rPr>
                <w:rFonts w:ascii="仿宋_GB2312" w:hAnsi="仿宋_GB2312" w:eastAsia="仿宋_GB2312" w:cs="仿宋_GB2312"/>
                <w:kern w:val="0"/>
                <w:sz w:val="32"/>
                <w:szCs w:val="32"/>
              </w:rPr>
              <w:t>项目清单</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需</w:t>
            </w:r>
            <w:r>
              <w:rPr>
                <w:rFonts w:hint="eastAsia" w:ascii="仿宋_GB2312" w:hAnsi="仿宋_GB2312" w:eastAsia="仿宋_GB2312" w:cs="仿宋_GB2312"/>
                <w:kern w:val="0"/>
                <w:sz w:val="32"/>
                <w:szCs w:val="32"/>
              </w:rPr>
              <w:t>体现</w:t>
            </w:r>
            <w:r>
              <w:rPr>
                <w:rFonts w:ascii="仿宋_GB2312" w:hAnsi="仿宋_GB2312" w:eastAsia="仿宋_GB2312" w:cs="仿宋_GB2312"/>
                <w:kern w:val="0"/>
                <w:sz w:val="32"/>
                <w:szCs w:val="32"/>
              </w:rPr>
              <w:t>项目名称、</w:t>
            </w:r>
            <w:r>
              <w:rPr>
                <w:rFonts w:hint="eastAsia" w:ascii="仿宋_GB2312" w:hAnsi="仿宋_GB2312" w:eastAsia="仿宋_GB2312" w:cs="仿宋_GB2312"/>
                <w:kern w:val="0"/>
                <w:sz w:val="32"/>
                <w:szCs w:val="32"/>
              </w:rPr>
              <w:t>合同签订时间、</w:t>
            </w:r>
            <w:r>
              <w:rPr>
                <w:rFonts w:ascii="仿宋_GB2312" w:hAnsi="仿宋_GB2312" w:eastAsia="仿宋_GB2312" w:cs="仿宋_GB2312"/>
                <w:kern w:val="0"/>
                <w:sz w:val="32"/>
                <w:szCs w:val="32"/>
              </w:rPr>
              <w:t>用户单位名称等要素</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、合同关键页</w:t>
            </w:r>
            <w:r>
              <w:rPr>
                <w:rFonts w:hint="eastAsia" w:ascii="仿宋_GB2312" w:hAnsi="仿宋_GB2312" w:eastAsia="仿宋_GB2312" w:cs="仿宋_GB2312"/>
                <w:kern w:val="0"/>
                <w:sz w:val="32"/>
                <w:szCs w:val="32"/>
              </w:rPr>
              <w:t>及审计报告关键页</w:t>
            </w:r>
            <w:r>
              <w:rPr>
                <w:rFonts w:ascii="仿宋_GB2312" w:hAnsi="仿宋_GB2312" w:eastAsia="仿宋_GB2312" w:cs="仿宋_GB2312"/>
                <w:kern w:val="0"/>
                <w:sz w:val="32"/>
                <w:szCs w:val="32"/>
              </w:rPr>
              <w:t>并加盖公章</w:t>
            </w:r>
            <w:r>
              <w:rPr>
                <w:rFonts w:hint="eastAsia" w:ascii="仿宋_GB2312" w:hAnsi="仿宋_GB2312" w:eastAsia="仿宋_GB2312" w:cs="仿宋_GB2312"/>
                <w:kern w:val="0"/>
                <w:sz w:val="32"/>
                <w:szCs w:val="32"/>
              </w:rPr>
              <w:t>，未按要求提供不得分。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（二）评审依据：1.每提供1项同类项目经验得1分；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2.本项最高得10分。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tcPr>
          <w:p>
            <w:pPr>
              <w:spacing w:line="440" w:lineRule="exact"/>
              <w:jc w:val="center"/>
              <w:rPr>
                <w:rFonts w:hint="eastAsia" w:ascii="仿宋_GB2312" w:hAnsi="仿宋_GB2312" w:eastAsia="仿宋_GB2312" w:cs="仿宋_GB2312"/>
                <w:kern w:val="0"/>
                <w:sz w:val="32"/>
                <w:szCs w:val="32"/>
              </w:rPr>
            </w:pP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事务所资质与信誉（</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tc>
        <w:tc>
          <w:tcPr>
            <w:tcW w:w="6083" w:type="dxa"/>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（一）评审内容：1.投标人具有</w:t>
            </w:r>
            <w:r>
              <w:rPr>
                <w:rFonts w:hint="eastAsia" w:ascii="仿宋_GB2312" w:hAnsi="仿宋_GB2312" w:eastAsia="仿宋_GB2312" w:cs="仿宋_GB2312"/>
                <w:kern w:val="0"/>
                <w:sz w:val="32"/>
                <w:szCs w:val="32"/>
                <w:lang w:eastAsia="zh-CN"/>
              </w:rPr>
              <w:t>与审计执业</w:t>
            </w:r>
            <w:r>
              <w:rPr>
                <w:rFonts w:ascii="仿宋_GB2312" w:hAnsi="仿宋_GB2312" w:eastAsia="仿宋_GB2312" w:cs="仿宋_GB2312"/>
                <w:kern w:val="0"/>
                <w:sz w:val="32"/>
                <w:szCs w:val="32"/>
              </w:rPr>
              <w:t>相关</w:t>
            </w:r>
            <w:r>
              <w:rPr>
                <w:rFonts w:hint="eastAsia" w:ascii="仿宋_GB2312" w:hAnsi="仿宋_GB2312" w:eastAsia="仿宋_GB2312" w:cs="仿宋_GB2312"/>
                <w:kern w:val="0"/>
                <w:sz w:val="32"/>
                <w:szCs w:val="32"/>
              </w:rPr>
              <w:t>管理体系认证。</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须提供</w:t>
            </w:r>
            <w:r>
              <w:rPr>
                <w:rFonts w:hint="eastAsia" w:ascii="仿宋_GB2312" w:hAnsi="仿宋_GB2312" w:eastAsia="仿宋_GB2312" w:cs="仿宋_GB2312"/>
                <w:kern w:val="0"/>
                <w:sz w:val="32"/>
                <w:szCs w:val="32"/>
                <w:lang w:eastAsia="zh-CN"/>
              </w:rPr>
              <w:t>在有效期内的</w:t>
            </w:r>
            <w:r>
              <w:rPr>
                <w:rFonts w:hint="eastAsia" w:ascii="仿宋_GB2312" w:hAnsi="仿宋_GB2312" w:eastAsia="仿宋_GB2312" w:cs="仿宋_GB2312"/>
                <w:kern w:val="0"/>
                <w:sz w:val="32"/>
                <w:szCs w:val="32"/>
              </w:rPr>
              <w:t>相关证书</w:t>
            </w:r>
            <w:r>
              <w:rPr>
                <w:rFonts w:hint="eastAsia" w:ascii="仿宋_GB2312" w:hAnsi="仿宋_GB2312" w:eastAsia="仿宋_GB2312" w:cs="仿宋_GB2312"/>
                <w:kern w:val="0"/>
                <w:sz w:val="32"/>
                <w:szCs w:val="32"/>
                <w:lang w:eastAsia="zh-CN"/>
              </w:rPr>
              <w:t>扫描件，全国认证认可信息公共服务平台截图</w:t>
            </w:r>
            <w:r>
              <w:rPr>
                <w:rFonts w:hint="eastAsia" w:ascii="仿宋_GB2312" w:hAnsi="仿宋_GB2312" w:eastAsia="仿宋_GB2312" w:cs="仿宋_GB2312"/>
                <w:kern w:val="0"/>
                <w:sz w:val="32"/>
                <w:szCs w:val="32"/>
              </w:rPr>
              <w:t>并加盖公章。</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（二）评审依据：1.每提供1项有效管理体系认证得</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分，最高得</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vAlign w:val="center"/>
          </w:tcPr>
          <w:p>
            <w:pPr>
              <w:spacing w:line="440" w:lineRule="exact"/>
              <w:jc w:val="center"/>
              <w:rPr>
                <w:rFonts w:hint="eastAsia" w:ascii="仿宋_GB2312" w:hAnsi="仿宋_GB2312" w:eastAsia="仿宋_GB2312" w:cs="仿宋_GB2312"/>
                <w:kern w:val="0"/>
                <w:sz w:val="32"/>
                <w:szCs w:val="32"/>
              </w:rPr>
            </w:pP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风险评估与保密承诺（</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tc>
        <w:tc>
          <w:tcPr>
            <w:tcW w:w="6083" w:type="dxa"/>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（一）评审内容：</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.投标人对执行业务过程中知悉的采购人信息的保密措施；</w:t>
            </w:r>
          </w:p>
          <w:p>
            <w:pPr>
              <w:topLinePunct/>
              <w:snapToGrid w:val="0"/>
              <w:spacing w:line="440" w:lineRule="exact"/>
              <w:jc w:val="left"/>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.投标人出具保密承诺书。</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须提供信息安全保密方案、保密承诺书并加盖公章。</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（二）评审依据：根据投标人提供信息安全保密方案及保密承诺书进行评分：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1.保密措施完善、风险评估承担能力强，得</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2.保密措施较为完善、风险评估承担能力较强，得</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3.保密措施一般、风险评估承担能力一般，得</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4.未提供保密方案及保密承诺书本项不得分。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restart"/>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技术部分（</w:t>
            </w:r>
            <w:r>
              <w:rPr>
                <w:rFonts w:hint="eastAsia" w:ascii="仿宋_GB2312" w:hAnsi="仿宋_GB2312" w:eastAsia="仿宋_GB2312" w:cs="仿宋_GB2312"/>
                <w:kern w:val="0"/>
                <w:sz w:val="32"/>
                <w:szCs w:val="32"/>
                <w:lang w:val="en-US" w:eastAsia="zh-CN"/>
              </w:rPr>
              <w:t>60</w:t>
            </w:r>
            <w:r>
              <w:rPr>
                <w:rFonts w:hint="eastAsia" w:ascii="仿宋_GB2312" w:hAnsi="仿宋_GB2312" w:eastAsia="仿宋_GB2312" w:cs="仿宋_GB2312"/>
                <w:kern w:val="0"/>
                <w:sz w:val="32"/>
                <w:szCs w:val="32"/>
              </w:rPr>
              <w:t>分）</w:t>
            </w: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审计实施方案（</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分）</w:t>
            </w:r>
          </w:p>
        </w:tc>
        <w:tc>
          <w:tcPr>
            <w:tcW w:w="6083" w:type="dxa"/>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（一）评审内容：1.对项目背景、审计目标、审计范围的理解是否全面、准确；</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2.审计程序设计是否科学、合理，是否符合《中国注册会计师审计准则》要求；</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3.审计重点、难点分析及应对措施；</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4.审计工作进度安排及阶段成果交付计划；</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5.过程资料及档案管理方案。</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须提供审计实施方案并加盖公章。</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（二）评审依据：根据投标人提供的审计实施方案进行综合评价：</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1.方案整体科学合理、针对性强、可操作性强，评审为优，得</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2.方案较为合理、有一定针对性、可操作性较强，评审为良，得</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3.方案一般、针对性一般、可操作性一般，评审为中，得</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4.方案不太合理、缺乏针对性、可操作性差，评审为差，得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5.未提供实施方案不得分。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tcPr>
          <w:p>
            <w:pPr>
              <w:spacing w:line="440" w:lineRule="exact"/>
              <w:jc w:val="left"/>
              <w:rPr>
                <w:rFonts w:hint="eastAsia" w:ascii="仿宋_GB2312" w:hAnsi="仿宋_GB2312" w:eastAsia="仿宋_GB2312" w:cs="仿宋_GB2312"/>
                <w:kern w:val="0"/>
                <w:sz w:val="32"/>
                <w:szCs w:val="32"/>
              </w:rPr>
            </w:pP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项目团队配置（25分）</w:t>
            </w:r>
          </w:p>
        </w:tc>
        <w:tc>
          <w:tcPr>
            <w:tcW w:w="6083" w:type="dxa"/>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（一）评审内容：1.拟派项目负责人的资质与经验（注册会计师执业资格、同类项目经验年限）；</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2.项目团队成员的专业结构、人数配置及从业经验；</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3.团队成员的稳定性及专职在岗承诺。</w:t>
            </w:r>
          </w:p>
          <w:p>
            <w:pPr>
              <w:pStyle w:val="11"/>
              <w:topLinePunct/>
              <w:snapToGrid w:val="0"/>
              <w:spacing w:line="440"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须提供项目负责人个人同类审计项目业绩证明材料、拟派人员配置表、注册会计师执业证书复印件、社保缴纳证明（投标截止日前3个月内任意1个月）</w:t>
            </w:r>
            <w:r>
              <w:rPr>
                <w:rFonts w:ascii="仿宋_GB2312" w:hAnsi="仿宋_GB2312" w:eastAsia="仿宋_GB2312" w:cs="仿宋_GB2312"/>
                <w:kern w:val="0"/>
                <w:sz w:val="32"/>
                <w:szCs w:val="32"/>
              </w:rPr>
              <w:t>等</w:t>
            </w:r>
            <w:r>
              <w:rPr>
                <w:rFonts w:hint="eastAsia" w:ascii="仿宋_GB2312" w:hAnsi="仿宋_GB2312" w:eastAsia="仿宋_GB2312" w:cs="仿宋_GB2312"/>
                <w:kern w:val="0"/>
                <w:sz w:val="32"/>
                <w:szCs w:val="32"/>
              </w:rPr>
              <w:t>证明材料并加盖公章。</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（二）评审依据：1.项目负责人具备注册会计师执业资格，且具有5年及以上同类项目经验，得5分；3-4年得3分；3年以下得1分；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2.项目成员配备注册会计师</w:t>
            </w:r>
            <w:r>
              <w:rPr>
                <w:rFonts w:hint="eastAsia" w:ascii="仿宋_GB2312" w:hAnsi="仿宋_GB2312" w:eastAsia="仿宋_GB2312" w:cs="仿宋_GB2312"/>
                <w:kern w:val="0"/>
                <w:sz w:val="32"/>
                <w:szCs w:val="32"/>
                <w:lang w:eastAsia="zh-CN"/>
              </w:rPr>
              <w:t>不少于</w:t>
            </w:r>
            <w:r>
              <w:rPr>
                <w:rFonts w:hint="eastAsia" w:ascii="仿宋_GB2312" w:hAnsi="仿宋_GB2312" w:eastAsia="仿宋_GB2312" w:cs="仿宋_GB2312"/>
                <w:kern w:val="0"/>
                <w:sz w:val="32"/>
                <w:szCs w:val="32"/>
                <w:lang w:val="en-US" w:eastAsia="zh-CN"/>
              </w:rPr>
              <w:t>2名</w:t>
            </w:r>
            <w:r>
              <w:rPr>
                <w:rFonts w:hint="eastAsia" w:ascii="仿宋_GB2312" w:hAnsi="仿宋_GB2312" w:eastAsia="仿宋_GB2312" w:cs="仿宋_GB2312"/>
                <w:kern w:val="0"/>
                <w:sz w:val="32"/>
                <w:szCs w:val="32"/>
              </w:rPr>
              <w:t>得5分，每增加1名加2分，最高得10分；注册会计师人数不足2名本项不得分；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r>
              <w:rPr>
                <w:rFonts w:ascii="仿宋_GB2312" w:hAnsi="仿宋_GB2312" w:eastAsia="仿宋_GB2312" w:cs="仿宋_GB2312"/>
                <w:kern w:val="0"/>
                <w:sz w:val="32"/>
                <w:szCs w:val="32"/>
              </w:rPr>
              <w:t>从</w:t>
            </w:r>
            <w:r>
              <w:rPr>
                <w:rFonts w:hint="eastAsia" w:ascii="仿宋_GB2312" w:hAnsi="仿宋_GB2312" w:eastAsia="仿宋_GB2312" w:cs="仿宋_GB2312"/>
                <w:kern w:val="0"/>
                <w:sz w:val="32"/>
                <w:szCs w:val="32"/>
              </w:rPr>
              <w:t>项目团队成员稳定性、从业经验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全职在岗承诺约束力等方面综合评价：优得10分，良得7分，中得4分，差得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tcPr>
          <w:p>
            <w:pPr>
              <w:spacing w:line="440" w:lineRule="exact"/>
              <w:jc w:val="left"/>
              <w:rPr>
                <w:rFonts w:hint="eastAsia" w:ascii="仿宋_GB2312" w:hAnsi="仿宋_GB2312" w:eastAsia="仿宋_GB2312" w:cs="仿宋_GB2312"/>
                <w:kern w:val="0"/>
                <w:sz w:val="32"/>
                <w:szCs w:val="32"/>
              </w:rPr>
            </w:pP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质量保证与风险控制（10分）</w:t>
            </w:r>
          </w:p>
        </w:tc>
        <w:tc>
          <w:tcPr>
            <w:tcW w:w="6083" w:type="dxa"/>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（一）评审内容：1.会计师事务所内部质量控制制度及执行情况；</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2.项目复核机制（项目组内部复核、项目质量控制复核）；</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3.审计风险识别与应对措施。</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须提供质量</w:t>
            </w:r>
            <w:r>
              <w:rPr>
                <w:rFonts w:hint="eastAsia" w:ascii="仿宋_GB2312" w:hAnsi="仿宋_GB2312" w:eastAsia="仿宋_GB2312" w:cs="仿宋_GB2312"/>
                <w:kern w:val="0"/>
                <w:sz w:val="32"/>
                <w:szCs w:val="32"/>
                <w:lang w:eastAsia="zh-CN"/>
              </w:rPr>
              <w:t>保证与风险控制机制，应包括但不限于以上内容</w:t>
            </w:r>
            <w:r>
              <w:rPr>
                <w:rFonts w:hint="eastAsia" w:ascii="仿宋_GB2312" w:hAnsi="仿宋_GB2312" w:eastAsia="仿宋_GB2312" w:cs="仿宋_GB2312"/>
                <w:kern w:val="0"/>
                <w:sz w:val="32"/>
                <w:szCs w:val="32"/>
              </w:rPr>
              <w:t>并加盖公章。</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（二）评审依据：根据投标人提供的质量</w:t>
            </w:r>
            <w:r>
              <w:rPr>
                <w:rFonts w:hint="eastAsia" w:ascii="仿宋_GB2312" w:hAnsi="仿宋_GB2312" w:eastAsia="仿宋_GB2312" w:cs="仿宋_GB2312"/>
                <w:kern w:val="0"/>
                <w:sz w:val="32"/>
                <w:szCs w:val="32"/>
                <w:lang w:eastAsia="zh-CN"/>
              </w:rPr>
              <w:t>与内部控制机制进行</w:t>
            </w:r>
            <w:r>
              <w:rPr>
                <w:rFonts w:hint="eastAsia" w:ascii="仿宋_GB2312" w:hAnsi="仿宋_GB2312" w:eastAsia="仿宋_GB2312" w:cs="仿宋_GB2312"/>
                <w:kern w:val="0"/>
                <w:sz w:val="32"/>
                <w:szCs w:val="32"/>
              </w:rPr>
              <w:t>综合评价：</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eastAsia="zh-CN"/>
              </w:rPr>
              <w:t>机制</w:t>
            </w:r>
            <w:r>
              <w:rPr>
                <w:rFonts w:hint="eastAsia" w:ascii="仿宋_GB2312" w:hAnsi="仿宋_GB2312" w:eastAsia="仿宋_GB2312" w:cs="仿宋_GB2312"/>
                <w:kern w:val="0"/>
                <w:sz w:val="32"/>
                <w:szCs w:val="32"/>
              </w:rPr>
              <w:t>健全、风险应对措施有效得10分；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eastAsia="zh-CN"/>
              </w:rPr>
              <w:t>机制</w:t>
            </w:r>
            <w:r>
              <w:rPr>
                <w:rFonts w:hint="eastAsia" w:ascii="仿宋_GB2312" w:hAnsi="仿宋_GB2312" w:eastAsia="仿宋_GB2312" w:cs="仿宋_GB2312"/>
                <w:kern w:val="0"/>
                <w:sz w:val="32"/>
                <w:szCs w:val="32"/>
              </w:rPr>
              <w:t>较健全</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风险应对措施有效得7分；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3.质量</w:t>
            </w:r>
            <w:r>
              <w:rPr>
                <w:rFonts w:hint="eastAsia" w:ascii="仿宋_GB2312" w:hAnsi="仿宋_GB2312" w:eastAsia="仿宋_GB2312" w:cs="仿宋_GB2312"/>
                <w:kern w:val="0"/>
                <w:sz w:val="32"/>
                <w:szCs w:val="32"/>
                <w:lang w:eastAsia="zh-CN"/>
              </w:rPr>
              <w:t>与内部控制机制</w:t>
            </w:r>
            <w:r>
              <w:rPr>
                <w:rFonts w:hint="eastAsia" w:ascii="仿宋_GB2312" w:hAnsi="仿宋_GB2312" w:eastAsia="仿宋_GB2312" w:cs="仿宋_GB2312"/>
                <w:kern w:val="0"/>
                <w:sz w:val="32"/>
                <w:szCs w:val="32"/>
              </w:rPr>
              <w:t>一般得</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4.质量控制制度缺失或薄弱得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4" w:type="dxa"/>
            <w:vMerge w:val="continue"/>
          </w:tcPr>
          <w:p>
            <w:pPr>
              <w:spacing w:line="440" w:lineRule="exact"/>
              <w:jc w:val="left"/>
              <w:rPr>
                <w:rFonts w:hint="eastAsia" w:ascii="仿宋_GB2312" w:hAnsi="仿宋_GB2312" w:eastAsia="仿宋_GB2312" w:cs="仿宋_GB2312"/>
                <w:kern w:val="0"/>
                <w:sz w:val="32"/>
                <w:szCs w:val="32"/>
              </w:rPr>
            </w:pPr>
          </w:p>
        </w:tc>
        <w:tc>
          <w:tcPr>
            <w:tcW w:w="1539" w:type="dxa"/>
            <w:vAlign w:val="center"/>
          </w:tcPr>
          <w:p>
            <w:pPr>
              <w:spacing w:line="44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服务响应与售后保障（10分）</w:t>
            </w:r>
          </w:p>
        </w:tc>
        <w:tc>
          <w:tcPr>
            <w:tcW w:w="6083" w:type="dxa"/>
          </w:tcPr>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（一）评审内容：1.服务响应时效承诺；</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2.与采购人的沟通协调机制；</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3.审计报告修改及补充服务承诺；</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4.后续跟踪服务及咨询支持。</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须提供书面服务承诺函并加盖公章。</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（二）评审依据：根据投标人提供的服务承诺进行综合评价：</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1.服务响应迅速、沟通机制完善、售后保障有力，得10分；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2.服务响应较快、沟通机制较完善，得7分；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3.服务响应一般、沟通机制一般，得4分；</w:t>
            </w:r>
          </w:p>
          <w:p>
            <w:pPr>
              <w:topLinePunct/>
              <w:snapToGrid w:val="0"/>
              <w:spacing w:line="44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4.服务响应差、缺乏售后保障，得0分。</w:t>
            </w:r>
          </w:p>
        </w:tc>
      </w:tr>
    </w:tbl>
    <w:p>
      <w:pPr>
        <w:pStyle w:val="46"/>
        <w:spacing w:line="560" w:lineRule="exact"/>
        <w:ind w:firstLine="640" w:firstLineChars="200"/>
        <w:rPr>
          <w:rFonts w:hint="eastAsia" w:ascii="方正黑体_GBK" w:hAnsi="方正黑体_GBK" w:eastAsia="方正黑体_GBK" w:cs="方正黑体_GBK"/>
          <w:b w:val="0"/>
          <w:bCs/>
          <w:color w:val="000000"/>
          <w:sz w:val="32"/>
          <w:szCs w:val="32"/>
        </w:rPr>
      </w:pPr>
      <w:r>
        <w:rPr>
          <w:rFonts w:hint="eastAsia" w:ascii="方正黑体_GBK" w:hAnsi="方正黑体_GBK" w:eastAsia="方正黑体_GBK" w:cs="方正黑体_GBK"/>
          <w:b w:val="0"/>
          <w:bCs/>
          <w:color w:val="000000"/>
          <w:sz w:val="32"/>
          <w:szCs w:val="32"/>
        </w:rPr>
        <w:t>八、供应商提供资料清单（每页均需加盖公章）</w:t>
      </w:r>
    </w:p>
    <w:p>
      <w:pPr>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1.营业执照；</w:t>
      </w:r>
    </w:p>
    <w:p>
      <w:pPr>
        <w:spacing w:line="560" w:lineRule="exact"/>
        <w:ind w:firstLine="640" w:firstLineChars="200"/>
        <w:jc w:val="left"/>
        <w:rPr>
          <w:sz w:val="32"/>
          <w:szCs w:val="32"/>
        </w:rPr>
      </w:pPr>
      <w:r>
        <w:rPr>
          <w:rFonts w:hint="eastAsia" w:ascii="仿宋_GB2312" w:hAnsi="仿宋" w:eastAsia="仿宋_GB2312"/>
          <w:sz w:val="32"/>
          <w:szCs w:val="32"/>
        </w:rPr>
        <w:t>2.法定代表人身份证复印件；</w:t>
      </w:r>
    </w:p>
    <w:p>
      <w:pPr>
        <w:pStyle w:val="14"/>
        <w:spacing w:after="0" w:line="560" w:lineRule="exact"/>
        <w:ind w:left="0" w:leftChars="0" w:right="0" w:rightChars="0" w:firstLine="640"/>
        <w:jc w:val="left"/>
        <w:rPr>
          <w:rFonts w:ascii="仿宋_GB2312" w:hAnsi="仿宋" w:eastAsia="仿宋_GB2312"/>
          <w:sz w:val="32"/>
        </w:rPr>
      </w:pPr>
      <w:r>
        <w:rPr>
          <w:rFonts w:hint="eastAsia" w:ascii="仿宋_GB2312" w:hAnsi="仿宋" w:eastAsia="仿宋_GB2312"/>
          <w:sz w:val="32"/>
        </w:rPr>
        <w:t>3.项目报价表</w:t>
      </w:r>
      <w:r>
        <w:rPr>
          <w:rFonts w:hint="eastAsia" w:ascii="仿宋_GB2312" w:hAnsi="仿宋" w:eastAsia="仿宋_GB2312"/>
          <w:b/>
          <w:bCs/>
          <w:sz w:val="32"/>
        </w:rPr>
        <w:t>（需按格式提供）</w:t>
      </w:r>
      <w:r>
        <w:rPr>
          <w:rFonts w:hint="eastAsia" w:ascii="仿宋_GB2312" w:hAnsi="仿宋" w:eastAsia="仿宋_GB2312"/>
          <w:sz w:val="32"/>
        </w:rPr>
        <w:t>；</w:t>
      </w:r>
    </w:p>
    <w:p>
      <w:pPr>
        <w:pStyle w:val="14"/>
        <w:spacing w:after="0" w:line="560" w:lineRule="exact"/>
        <w:ind w:left="0" w:leftChars="0" w:right="0" w:rightChars="0" w:firstLine="640"/>
        <w:jc w:val="left"/>
        <w:rPr>
          <w:rFonts w:hint="eastAsia" w:ascii="仿宋_GB2312" w:hAnsi="仿宋" w:eastAsia="仿宋_GB2312"/>
          <w:sz w:val="32"/>
          <w:lang w:eastAsia="zh-CN"/>
        </w:rPr>
      </w:pPr>
      <w:r>
        <w:rPr>
          <w:rFonts w:hint="eastAsia" w:ascii="仿宋_GB2312" w:hAnsi="仿宋" w:eastAsia="仿宋_GB2312"/>
          <w:sz w:val="32"/>
        </w:rPr>
        <w:t>4</w:t>
      </w:r>
      <w:r>
        <w:rPr>
          <w:rFonts w:hint="eastAsia" w:ascii="仿宋_GB2312" w:hAnsi="仿宋" w:eastAsia="仿宋_GB2312"/>
          <w:sz w:val="32"/>
          <w:lang w:val="en-US" w:eastAsia="zh-CN"/>
        </w:rPr>
        <w:t>.</w:t>
      </w:r>
      <w:r>
        <w:rPr>
          <w:rFonts w:hint="eastAsia" w:ascii="仿宋_GB2312" w:hAnsi="仿宋" w:eastAsia="仿宋_GB2312"/>
          <w:sz w:val="32"/>
        </w:rPr>
        <w:t>报价费用构成明细表（应与投标总报价保持一致，对整体报价进行分项说明，包括但不限于人工成本、差旅外勤费用、报告编制费用、税费等内容）</w:t>
      </w:r>
      <w:r>
        <w:rPr>
          <w:rFonts w:hint="eastAsia" w:ascii="仿宋_GB2312" w:hAnsi="仿宋" w:eastAsia="仿宋_GB2312"/>
          <w:sz w:val="32"/>
          <w:lang w:eastAsia="zh-CN"/>
        </w:rPr>
        <w:t>；</w:t>
      </w:r>
    </w:p>
    <w:p>
      <w:pPr>
        <w:pStyle w:val="14"/>
        <w:spacing w:after="0" w:line="560" w:lineRule="exact"/>
        <w:ind w:left="0" w:leftChars="0" w:right="0" w:rightChars="0" w:firstLine="640"/>
        <w:jc w:val="left"/>
        <w:rPr>
          <w:rFonts w:hint="eastAsia" w:ascii="仿宋_GB2312" w:hAnsi="仿宋" w:eastAsia="仿宋_GB2312"/>
          <w:sz w:val="32"/>
        </w:rPr>
      </w:pPr>
      <w:r>
        <w:rPr>
          <w:rFonts w:hint="eastAsia" w:ascii="仿宋_GB2312" w:hAnsi="仿宋" w:eastAsia="仿宋_GB2312"/>
          <w:sz w:val="32"/>
          <w:lang w:val="en-US" w:eastAsia="zh-CN"/>
        </w:rPr>
        <w:t>5</w:t>
      </w:r>
      <w:r>
        <w:rPr>
          <w:rFonts w:hint="eastAsia" w:ascii="仿宋_GB2312" w:hAnsi="仿宋" w:eastAsia="仿宋_GB2312"/>
          <w:sz w:val="32"/>
        </w:rPr>
        <w:t>.评分规则所需资料（同类业绩证明、方案等）；</w:t>
      </w:r>
    </w:p>
    <w:p>
      <w:pPr>
        <w:pStyle w:val="14"/>
        <w:spacing w:after="0" w:line="560" w:lineRule="exact"/>
        <w:ind w:left="0" w:leftChars="0" w:right="0" w:rightChars="0" w:firstLine="640"/>
        <w:jc w:val="left"/>
        <w:rPr>
          <w:rFonts w:hint="eastAsia" w:ascii="仿宋_GB2312" w:hAnsi="仿宋" w:eastAsia="仿宋_GB2312"/>
          <w:sz w:val="32"/>
        </w:rPr>
      </w:pPr>
      <w:r>
        <w:rPr>
          <w:rFonts w:hint="eastAsia" w:ascii="仿宋_GB2312" w:hAnsi="仿宋" w:eastAsia="仿宋_GB2312"/>
          <w:sz w:val="32"/>
          <w:lang w:val="en-US" w:eastAsia="zh-CN"/>
        </w:rPr>
        <w:t>6</w:t>
      </w:r>
      <w:r>
        <w:rPr>
          <w:rFonts w:hint="eastAsia" w:ascii="仿宋_GB2312" w:hAnsi="仿宋" w:eastAsia="仿宋_GB2312"/>
          <w:sz w:val="32"/>
        </w:rPr>
        <w:t>.诚信承诺书；</w:t>
      </w:r>
    </w:p>
    <w:p>
      <w:pPr>
        <w:pStyle w:val="14"/>
        <w:spacing w:after="0" w:line="560" w:lineRule="exact"/>
        <w:ind w:left="0" w:leftChars="0" w:right="0" w:rightChars="0" w:firstLine="640"/>
        <w:rPr>
          <w:rFonts w:hint="eastAsia" w:ascii="仿宋_GB2312" w:hAnsi="仿宋" w:eastAsia="仿宋_GB2312"/>
          <w:sz w:val="32"/>
        </w:rPr>
      </w:pPr>
      <w:r>
        <w:rPr>
          <w:rFonts w:hint="eastAsia" w:ascii="仿宋_GB2312" w:hAnsi="仿宋" w:eastAsia="仿宋_GB2312"/>
          <w:sz w:val="32"/>
          <w:lang w:val="en-US" w:eastAsia="zh-CN"/>
        </w:rPr>
        <w:t>7</w:t>
      </w:r>
      <w:r>
        <w:rPr>
          <w:rFonts w:hint="eastAsia" w:ascii="仿宋_GB2312" w:hAnsi="仿宋" w:eastAsia="仿宋_GB2312"/>
          <w:sz w:val="32"/>
        </w:rPr>
        <w:t>.填写《深圳市龙华区民政局供应商基本情况表》（加盖公章），鼓励提供表中投标（响应）供应商相关人员的近1个月社保缴纳情况，如未在投标（响应）供应商缴纳社保的人员，需提供加盖公章的情况说明或其他相关证明材料。</w:t>
      </w:r>
    </w:p>
    <w:p>
      <w:pPr>
        <w:pStyle w:val="14"/>
        <w:spacing w:after="0" w:line="560" w:lineRule="exact"/>
        <w:ind w:left="0" w:leftChars="0" w:right="0" w:rightChars="0" w:firstLine="640"/>
        <w:jc w:val="left"/>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九、其他注意事项</w:t>
      </w:r>
    </w:p>
    <w:p>
      <w:pPr>
        <w:widowControl/>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1.供应商需在</w:t>
      </w:r>
      <w:r>
        <w:rPr>
          <w:rFonts w:ascii="仿宋_GB2312" w:hAnsi="仿宋" w:eastAsia="仿宋_GB2312"/>
          <w:sz w:val="32"/>
        </w:rPr>
        <w:t>深圳政府采购自行采购系统</w:t>
      </w:r>
      <w:r>
        <w:rPr>
          <w:rFonts w:hint="eastAsia" w:ascii="仿宋_GB2312" w:hAnsi="仿宋" w:eastAsia="仿宋_GB2312"/>
          <w:sz w:val="32"/>
        </w:rPr>
        <w:t>完成供应商注册</w:t>
      </w:r>
      <w:r>
        <w:rPr>
          <w:rFonts w:hint="eastAsia" w:ascii="仿宋_GB2312" w:hAnsi="仿宋_GB2312" w:eastAsia="仿宋_GB2312" w:cs="仿宋_GB2312"/>
          <w:sz w:val="32"/>
          <w:szCs w:val="32"/>
        </w:rPr>
        <w:t>（网址：https://zxcg.szggzy.com/home/index.html）</w:t>
      </w:r>
      <w:r>
        <w:fldChar w:fldCharType="begin"/>
      </w:r>
      <w:r>
        <w:instrText xml:space="preserve"> HYPERLINK "https://zxcg.szggzy.com/home/index.html），请于本项目投标截止时间前完成注册，否则如中标/成交，可能影响采购结果的发布。" </w:instrText>
      </w:r>
      <w:r>
        <w:fldChar w:fldCharType="separate"/>
      </w:r>
      <w:r>
        <w:rPr>
          <w:rStyle w:val="22"/>
          <w:rFonts w:hint="eastAsia" w:ascii="仿宋_GB2312" w:hAnsi="仿宋" w:eastAsia="仿宋_GB2312"/>
          <w:color w:val="auto"/>
          <w:sz w:val="32"/>
          <w:u w:val="none"/>
        </w:rPr>
        <w:t>，</w:t>
      </w:r>
      <w:r>
        <w:rPr>
          <w:rStyle w:val="22"/>
          <w:rFonts w:hint="eastAsia" w:ascii="仿宋_GB2312" w:hAnsi="仿宋" w:eastAsia="仿宋_GB2312"/>
          <w:color w:val="auto"/>
          <w:sz w:val="32"/>
        </w:rPr>
        <w:t>请于本项目投标截止时间前完成注册，否则如中标/成交，可能影响采购结果的发布。</w:t>
      </w:r>
      <w:r>
        <w:rPr>
          <w:rStyle w:val="22"/>
          <w:rFonts w:hint="eastAsia" w:ascii="仿宋_GB2312" w:hAnsi="仿宋" w:eastAsia="仿宋_GB2312"/>
          <w:color w:val="auto"/>
          <w:sz w:val="32"/>
        </w:rPr>
        <w:fldChar w:fldCharType="end"/>
      </w:r>
    </w:p>
    <w:p>
      <w:pPr>
        <w:widowControl/>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2.采购人将通过国家企业信用信息公示系统、机关赋码和事业单位登记管理网、全国社会组织信用信息公示平台、中国政府采购网等渠道查询供应商信用记录，对列入失信被执行人名单等的供应商拒绝其参与采购活动。</w:t>
      </w:r>
    </w:p>
    <w:p>
      <w:pPr>
        <w:spacing w:line="560" w:lineRule="exact"/>
        <w:ind w:firstLine="640" w:firstLineChars="200"/>
        <w:rPr>
          <w:rFonts w:eastAsia="仿宋_GB2312"/>
          <w:sz w:val="28"/>
          <w:szCs w:val="28"/>
        </w:rPr>
      </w:pPr>
      <w:r>
        <w:rPr>
          <w:rFonts w:hint="eastAsia" w:ascii="仿宋_GB2312" w:hAnsi="仿宋_GB2312" w:eastAsia="仿宋_GB2312" w:cs="仿宋_GB2312"/>
          <w:sz w:val="32"/>
          <w:szCs w:val="32"/>
        </w:rPr>
        <w:t>3.供应商采用电子邮箱投递方式，将投标资料发送至：szlhmzj@szlhq.gov.cn，文件夹命名格式：龙华区社会组织2026年财务专项审计项目+公司全称+日期+联系人+联系方式。</w:t>
      </w:r>
    </w:p>
    <w:p/>
    <w:sectPr>
      <w:headerReference r:id="rId5" w:type="default"/>
      <w:footerReference r:id="rId6" w:type="default"/>
      <w:pgSz w:w="11906" w:h="16838"/>
      <w:pgMar w:top="2098" w:right="1474" w:bottom="198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仿宋_GB2312"/>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等线 Light">
    <w:altName w:val="华文中宋"/>
    <w:panose1 w:val="02010600030101010101"/>
    <w:charset w:val="86"/>
    <w:family w:val="auto"/>
    <w:pitch w:val="default"/>
    <w:sig w:usb0="00000000" w:usb1="00000000" w:usb2="00000016" w:usb3="00000000" w:csb0="0004000F"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等线 Light">
    <w:altName w:val="C059"/>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8Zm0MQIAAGM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ITJsyxs9c7yCB3l8XZ1DJAzqRxF6ZRAd+IBs5f61O9JHO4/zynq8b9h&#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hvGZtDECAABjBAAADgAAAAAAAAABACAAAAA1&#10;AQAAZHJzL2Uyb0RvYy54bWxQSwUGAAAAAAYABgBZAQAA2AUAAAAA&#10;">
              <v:fill on="f" focussize="0,0"/>
              <v:stroke on="f" weight="0.5pt"/>
              <v:imagedata o:title=""/>
              <o:lock v:ext="edit" aspectratio="f"/>
              <v:textbox inset="0mm,0mm,0mm,0mm" style="mso-fit-shape-to-text:t;">
                <w:txbxContent>
                  <w:p>
                    <w:pPr>
                      <w:snapToGrid w:val="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A5C7B"/>
    <w:multiLevelType w:val="singleLevel"/>
    <w:tmpl w:val="EFEA5C7B"/>
    <w:lvl w:ilvl="0" w:tentative="0">
      <w:start w:val="4"/>
      <w:numFmt w:val="chineseCounting"/>
      <w:suff w:val="nothing"/>
      <w:lvlText w:val="（%1）"/>
      <w:lvlJc w:val="left"/>
      <w:rPr>
        <w:rFonts w:hint="eastAsia"/>
      </w:rPr>
    </w:lvl>
  </w:abstractNum>
  <w:abstractNum w:abstractNumId="1">
    <w:nsid w:val="40FEB204"/>
    <w:multiLevelType w:val="singleLevel"/>
    <w:tmpl w:val="40FEB20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DEB"/>
    <w:rsid w:val="000323A4"/>
    <w:rsid w:val="0014299B"/>
    <w:rsid w:val="001A3DEB"/>
    <w:rsid w:val="00291746"/>
    <w:rsid w:val="00307BCF"/>
    <w:rsid w:val="00351392"/>
    <w:rsid w:val="00645695"/>
    <w:rsid w:val="00C148C1"/>
    <w:rsid w:val="00C23127"/>
    <w:rsid w:val="00CA2E0C"/>
    <w:rsid w:val="00CD3C9F"/>
    <w:rsid w:val="00D22681"/>
    <w:rsid w:val="00E37C99"/>
    <w:rsid w:val="00FB6A46"/>
    <w:rsid w:val="2FFF6DC3"/>
    <w:rsid w:val="45956CE5"/>
    <w:rsid w:val="49AFBE78"/>
    <w:rsid w:val="5F7D4761"/>
    <w:rsid w:val="69B6EC2F"/>
    <w:rsid w:val="DEE73894"/>
    <w:rsid w:val="DFBD04EB"/>
    <w:rsid w:val="FD7BD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Times New Roman"/>
      <w:kern w:val="2"/>
      <w:sz w:val="21"/>
      <w:szCs w:val="24"/>
      <w:lang w:val="en-US" w:eastAsia="zh-CN" w:bidi="ar-SA"/>
      <w14:ligatures w14:val="none"/>
    </w:rPr>
  </w:style>
  <w:style w:type="paragraph" w:styleId="2">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5"/>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6"/>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7"/>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8"/>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9"/>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3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4"/>
    <w:qFormat/>
    <w:uiPriority w:val="0"/>
    <w:pPr>
      <w:jc w:val="left"/>
    </w:pPr>
  </w:style>
  <w:style w:type="paragraph" w:styleId="12">
    <w:name w:val="Body Text"/>
    <w:basedOn w:val="1"/>
    <w:next w:val="13"/>
    <w:link w:val="45"/>
    <w:unhideWhenUsed/>
    <w:qFormat/>
    <w:uiPriority w:val="99"/>
    <w:pPr>
      <w:spacing w:line="600" w:lineRule="exact"/>
      <w:jc w:val="left"/>
    </w:pPr>
    <w:rPr>
      <w:rFonts w:hint="eastAsia" w:eastAsia="CESI仿宋-GB2312"/>
      <w:spacing w:val="10"/>
      <w:sz w:val="32"/>
      <w:szCs w:val="22"/>
    </w:rPr>
  </w:style>
  <w:style w:type="paragraph" w:styleId="13">
    <w:name w:val="Title"/>
    <w:basedOn w:val="1"/>
    <w:next w:val="1"/>
    <w:link w:val="33"/>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4">
    <w:name w:val="Block Text"/>
    <w:qFormat/>
    <w:uiPriority w:val="0"/>
    <w:pPr>
      <w:widowControl w:val="0"/>
      <w:tabs>
        <w:tab w:val="left" w:pos="426"/>
      </w:tabs>
      <w:spacing w:after="120" w:line="240" w:lineRule="auto"/>
      <w:ind w:left="1440" w:leftChars="700" w:right="1440" w:rightChars="700"/>
      <w:jc w:val="both"/>
    </w:pPr>
    <w:rPr>
      <w:rFonts w:ascii="Calibri" w:hAnsi="Calibri" w:eastAsia="宋体" w:cs="Times New Roman"/>
      <w:kern w:val="2"/>
      <w:sz w:val="21"/>
      <w:szCs w:val="24"/>
      <w:lang w:val="en-US" w:eastAsia="zh-CN" w:bidi="ar-SA"/>
      <w14:ligatures w14:val="none"/>
    </w:rPr>
  </w:style>
  <w:style w:type="paragraph" w:styleId="15">
    <w:name w:val="footer"/>
    <w:basedOn w:val="1"/>
    <w:link w:val="43"/>
    <w:unhideWhenUsed/>
    <w:qFormat/>
    <w:uiPriority w:val="99"/>
    <w:pPr>
      <w:tabs>
        <w:tab w:val="center" w:pos="4153"/>
        <w:tab w:val="right" w:pos="8306"/>
      </w:tabs>
      <w:snapToGrid w:val="0"/>
    </w:pPr>
    <w:rPr>
      <w:sz w:val="18"/>
      <w:szCs w:val="18"/>
    </w:rPr>
  </w:style>
  <w:style w:type="paragraph" w:styleId="16">
    <w:name w:val="header"/>
    <w:basedOn w:val="1"/>
    <w:link w:val="42"/>
    <w:unhideWhenUsed/>
    <w:qFormat/>
    <w:uiPriority w:val="99"/>
    <w:pPr>
      <w:tabs>
        <w:tab w:val="center" w:pos="4153"/>
        <w:tab w:val="right" w:pos="8306"/>
      </w:tabs>
      <w:snapToGrid w:val="0"/>
      <w:jc w:val="center"/>
    </w:pPr>
    <w:rPr>
      <w:sz w:val="18"/>
      <w:szCs w:val="18"/>
    </w:rPr>
  </w:style>
  <w:style w:type="paragraph" w:styleId="17">
    <w:name w:val="Subtitle"/>
    <w:basedOn w:val="1"/>
    <w:next w:val="1"/>
    <w:link w:val="34"/>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annotation subject"/>
    <w:basedOn w:val="11"/>
    <w:next w:val="11"/>
    <w:link w:val="47"/>
    <w:semiHidden/>
    <w:unhideWhenUsed/>
    <w:qFormat/>
    <w:uiPriority w:val="99"/>
    <w:rPr>
      <w:b/>
      <w:bCs/>
    </w:rPr>
  </w:style>
  <w:style w:type="table" w:styleId="20">
    <w:name w:val="Table Grid"/>
    <w:qFormat/>
    <w:uiPriority w:val="0"/>
    <w:pPr>
      <w:widowControl w:val="0"/>
      <w:spacing w:after="0" w:line="240" w:lineRule="auto"/>
      <w:jc w:val="both"/>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2">
    <w:name w:val="Hyperlink"/>
    <w:qFormat/>
    <w:uiPriority w:val="0"/>
    <w:rPr>
      <w:color w:val="0000FF"/>
      <w:u w:val="single"/>
    </w:rPr>
  </w:style>
  <w:style w:type="character" w:styleId="23">
    <w:name w:val="annotation reference"/>
    <w:basedOn w:val="21"/>
    <w:qFormat/>
    <w:uiPriority w:val="0"/>
    <w:rPr>
      <w:sz w:val="21"/>
      <w:szCs w:val="21"/>
    </w:rPr>
  </w:style>
  <w:style w:type="character" w:customStyle="1" w:styleId="24">
    <w:name w:val="标题 1 字符"/>
    <w:basedOn w:val="21"/>
    <w:link w:val="2"/>
    <w:qFormat/>
    <w:uiPriority w:val="9"/>
    <w:rPr>
      <w:rFonts w:asciiTheme="majorHAnsi" w:hAnsiTheme="majorHAnsi" w:eastAsiaTheme="majorEastAsia" w:cstheme="majorBidi"/>
      <w:color w:val="2F5597" w:themeColor="accent1" w:themeShade="BF"/>
      <w:sz w:val="48"/>
      <w:szCs w:val="48"/>
    </w:rPr>
  </w:style>
  <w:style w:type="character" w:customStyle="1" w:styleId="25">
    <w:name w:val="标题 2 字符"/>
    <w:basedOn w:val="21"/>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6">
    <w:name w:val="标题 3 字符"/>
    <w:basedOn w:val="21"/>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7">
    <w:name w:val="标题 4 字符"/>
    <w:basedOn w:val="21"/>
    <w:link w:val="5"/>
    <w:semiHidden/>
    <w:qFormat/>
    <w:uiPriority w:val="9"/>
    <w:rPr>
      <w:rFonts w:cstheme="majorBidi"/>
      <w:color w:val="2F5597" w:themeColor="accent1" w:themeShade="BF"/>
      <w:sz w:val="28"/>
      <w:szCs w:val="28"/>
    </w:rPr>
  </w:style>
  <w:style w:type="character" w:customStyle="1" w:styleId="28">
    <w:name w:val="标题 5 字符"/>
    <w:basedOn w:val="21"/>
    <w:link w:val="6"/>
    <w:semiHidden/>
    <w:qFormat/>
    <w:uiPriority w:val="9"/>
    <w:rPr>
      <w:rFonts w:cstheme="majorBidi"/>
      <w:color w:val="2F5597" w:themeColor="accent1" w:themeShade="BF"/>
      <w:sz w:val="24"/>
    </w:rPr>
  </w:style>
  <w:style w:type="character" w:customStyle="1" w:styleId="29">
    <w:name w:val="标题 6 字符"/>
    <w:basedOn w:val="21"/>
    <w:link w:val="7"/>
    <w:semiHidden/>
    <w:qFormat/>
    <w:uiPriority w:val="9"/>
    <w:rPr>
      <w:rFonts w:cstheme="majorBidi"/>
      <w:b/>
      <w:bCs/>
      <w:color w:val="2F5597" w:themeColor="accent1" w:themeShade="BF"/>
    </w:rPr>
  </w:style>
  <w:style w:type="character" w:customStyle="1" w:styleId="30">
    <w:name w:val="标题 7 字符"/>
    <w:basedOn w:val="21"/>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21"/>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21"/>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21"/>
    <w:link w:val="13"/>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21"/>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21"/>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ind w:left="720"/>
      <w:contextualSpacing/>
    </w:pPr>
  </w:style>
  <w:style w:type="character" w:customStyle="1" w:styleId="38">
    <w:name w:val="Intense Emphasis"/>
    <w:basedOn w:val="21"/>
    <w:qFormat/>
    <w:uiPriority w:val="21"/>
    <w:rPr>
      <w:i/>
      <w:iCs/>
      <w:color w:val="2F5597" w:themeColor="accent1" w:themeShade="BF"/>
    </w:rPr>
  </w:style>
  <w:style w:type="paragraph" w:styleId="39">
    <w:name w:val="Intense Quote"/>
    <w:basedOn w:val="1"/>
    <w:next w:val="1"/>
    <w:link w:val="40"/>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0">
    <w:name w:val="明显引用 字符"/>
    <w:basedOn w:val="21"/>
    <w:link w:val="39"/>
    <w:qFormat/>
    <w:uiPriority w:val="30"/>
    <w:rPr>
      <w:i/>
      <w:iCs/>
      <w:color w:val="2F5597" w:themeColor="accent1" w:themeShade="BF"/>
    </w:rPr>
  </w:style>
  <w:style w:type="character" w:customStyle="1" w:styleId="41">
    <w:name w:val="Intense Reference"/>
    <w:basedOn w:val="21"/>
    <w:qFormat/>
    <w:uiPriority w:val="32"/>
    <w:rPr>
      <w:b/>
      <w:bCs/>
      <w:smallCaps/>
      <w:color w:val="2F5597" w:themeColor="accent1" w:themeShade="BF"/>
      <w:spacing w:val="5"/>
    </w:rPr>
  </w:style>
  <w:style w:type="character" w:customStyle="1" w:styleId="42">
    <w:name w:val="页眉 字符"/>
    <w:basedOn w:val="21"/>
    <w:link w:val="16"/>
    <w:qFormat/>
    <w:uiPriority w:val="99"/>
    <w:rPr>
      <w:sz w:val="18"/>
      <w:szCs w:val="18"/>
    </w:rPr>
  </w:style>
  <w:style w:type="character" w:customStyle="1" w:styleId="43">
    <w:name w:val="页脚 字符"/>
    <w:basedOn w:val="21"/>
    <w:link w:val="15"/>
    <w:qFormat/>
    <w:uiPriority w:val="99"/>
    <w:rPr>
      <w:sz w:val="18"/>
      <w:szCs w:val="18"/>
    </w:rPr>
  </w:style>
  <w:style w:type="character" w:customStyle="1" w:styleId="44">
    <w:name w:val="批注文字 字符"/>
    <w:basedOn w:val="21"/>
    <w:link w:val="11"/>
    <w:qFormat/>
    <w:uiPriority w:val="0"/>
    <w:rPr>
      <w:rFonts w:ascii="Calibri" w:hAnsi="Calibri" w:eastAsia="宋体" w:cs="Times New Roman"/>
      <w:sz w:val="21"/>
      <w14:ligatures w14:val="none"/>
    </w:rPr>
  </w:style>
  <w:style w:type="character" w:customStyle="1" w:styleId="45">
    <w:name w:val="正文文本 字符"/>
    <w:basedOn w:val="21"/>
    <w:link w:val="12"/>
    <w:qFormat/>
    <w:uiPriority w:val="99"/>
    <w:rPr>
      <w:rFonts w:ascii="Calibri" w:hAnsi="Calibri" w:eastAsia="CESI仿宋-GB2312" w:cs="Times New Roman"/>
      <w:spacing w:val="10"/>
      <w:sz w:val="32"/>
      <w:szCs w:val="22"/>
      <w14:ligatures w14:val="none"/>
    </w:rPr>
  </w:style>
  <w:style w:type="paragraph" w:customStyle="1" w:styleId="46">
    <w:name w:val="USE 1"/>
    <w:qFormat/>
    <w:uiPriority w:val="0"/>
    <w:pPr>
      <w:widowControl w:val="0"/>
      <w:spacing w:after="0" w:line="200" w:lineRule="atLeast"/>
    </w:pPr>
    <w:rPr>
      <w:rFonts w:ascii="宋体" w:hAnsi="宋体" w:eastAsia="宋体" w:cs="Times New Roman"/>
      <w:b/>
      <w:kern w:val="2"/>
      <w:sz w:val="24"/>
      <w:szCs w:val="28"/>
      <w:lang w:val="en-US" w:eastAsia="zh-CN" w:bidi="ar-SA"/>
      <w14:ligatures w14:val="none"/>
    </w:rPr>
  </w:style>
  <w:style w:type="character" w:customStyle="1" w:styleId="47">
    <w:name w:val="批注主题 字符"/>
    <w:basedOn w:val="44"/>
    <w:link w:val="18"/>
    <w:semiHidden/>
    <w:qFormat/>
    <w:uiPriority w:val="99"/>
    <w:rPr>
      <w:rFonts w:ascii="Calibri" w:hAnsi="Calibri" w:eastAsia="宋体" w:cs="Times New Roman"/>
      <w:b/>
      <w:bCs/>
      <w:sz w:val="21"/>
      <w14:ligatures w14: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967</Words>
  <Characters>5515</Characters>
  <Lines>45</Lines>
  <Paragraphs>12</Paragraphs>
  <TotalTime>481</TotalTime>
  <ScaleCrop>false</ScaleCrop>
  <LinksUpToDate>false</LinksUpToDate>
  <CharactersWithSpaces>6470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2026-06-19T18:19:00Z</dcterms:created>
  <dc:creator>Administrator</dc:creator>
  <cp:lastModifiedBy>user</cp:lastModifiedBy>
  <cp:lastPrinted>2026-06-26T03:48:00Z</cp:lastPrinted>
  <dcterms:modified xsi:type="dcterms:W3CDTF">2026-07-27T11:52:21Z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5416324607E71D97A1ED396A0D10856A</vt:lpwstr>
  </property>
</Properties>
</file>