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方正小标宋简体" w:hAnsi="方正小标宋简体" w:eastAsia="方正小标宋简体" w:cs="方正小标宋简体"/>
          <w:sz w:val="44"/>
          <w:szCs w:val="44"/>
          <w:highlight w:val="none"/>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一起Play 2026年体育运动消费季暨嘉年华</w:t>
      </w:r>
    </w:p>
    <w:p>
      <w:pPr>
        <w:spacing w:line="56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项目需求书</w:t>
      </w:r>
    </w:p>
    <w:p>
      <w:pPr>
        <w:pStyle w:val="8"/>
        <w:spacing w:line="560" w:lineRule="exact"/>
        <w:jc w:val="both"/>
        <w:rPr>
          <w:rFonts w:ascii="方正小标宋简体" w:hAnsi="方正小标宋简体" w:eastAsia="方正小标宋简体" w:cs="方正小标宋简体"/>
          <w:color w:val="auto"/>
          <w:spacing w:val="17"/>
          <w:sz w:val="44"/>
          <w:szCs w:val="44"/>
          <w:highlight w:val="none"/>
        </w:rPr>
      </w:pP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一、项目目标</w:t>
      </w:r>
    </w:p>
    <w:p>
      <w:pPr>
        <w:keepNext w:val="0"/>
        <w:keepLines w:val="0"/>
        <w:widowControl/>
        <w:suppressLineNumbers w:val="0"/>
        <w:ind w:firstLine="640" w:firstLineChars="200"/>
        <w:jc w:val="both"/>
      </w:pPr>
      <w:r>
        <w:rPr>
          <w:rFonts w:hint="eastAsia" w:ascii="仿宋_GB2312" w:hAnsi="仿宋_GB2312" w:eastAsia="仿宋_GB2312" w:cs="仿宋_GB2312"/>
          <w:b w:val="0"/>
          <w:bCs w:val="0"/>
          <w:sz w:val="32"/>
          <w:szCs w:val="32"/>
          <w:lang w:val="en-US" w:eastAsia="zh-CN"/>
        </w:rPr>
        <w:t>根据《体育强国建设“</w:t>
      </w:r>
      <w:r>
        <w:rPr>
          <w:rFonts w:hint="default" w:ascii="仿宋_GB2312" w:hAnsi="仿宋_GB2312" w:eastAsia="仿宋_GB2312" w:cs="仿宋_GB2312"/>
          <w:b w:val="0"/>
          <w:bCs w:val="0"/>
          <w:sz w:val="32"/>
          <w:szCs w:val="32"/>
          <w:lang w:val="en-US" w:eastAsia="zh-CN"/>
        </w:rPr>
        <w:t>十五五”规划</w:t>
      </w:r>
      <w:r>
        <w:rPr>
          <w:rFonts w:hint="eastAsia" w:ascii="仿宋_GB2312" w:hAnsi="仿宋_GB2312" w:eastAsia="仿宋_GB2312" w:cs="仿宋_GB2312"/>
          <w:b w:val="0"/>
          <w:bCs w:val="0"/>
          <w:sz w:val="32"/>
          <w:szCs w:val="32"/>
          <w:lang w:val="en-US" w:eastAsia="zh-CN"/>
        </w:rPr>
        <w:t>》中第二条第一款中“全面提高全民健身公共服务水平。”以及《深圳市文体娱乐业三年倍增计划（2024-2026）》中第二条第三款</w:t>
      </w:r>
      <w:r>
        <w:rPr>
          <w:rFonts w:hint="eastAsia" w:ascii="仿宋_GB2312" w:hAnsi="仿宋_GB2312" w:eastAsia="仿宋_GB2312" w:cs="仿宋_GB2312"/>
          <w:sz w:val="32"/>
          <w:szCs w:val="32"/>
          <w:lang w:eastAsia="zh-CN"/>
        </w:rPr>
        <w:t>第三项中“</w:t>
      </w:r>
      <w:r>
        <w:rPr>
          <w:rFonts w:hint="eastAsia" w:ascii="仿宋_GB2312" w:hAnsi="仿宋_GB2312" w:eastAsia="仿宋_GB2312" w:cs="仿宋_GB2312"/>
          <w:b w:val="0"/>
          <w:bCs w:val="0"/>
          <w:sz w:val="32"/>
          <w:szCs w:val="32"/>
          <w:lang w:val="en-US" w:eastAsia="zh-CN"/>
        </w:rPr>
        <w:t>加强公共文体活动策划，丰富优质公共文体服务供给，通过公共文体服务供给，培养文体消费习惯。</w:t>
      </w:r>
      <w:r>
        <w:rPr>
          <w:rFonts w:hint="eastAsia" w:ascii="仿宋_GB2312" w:hAnsi="仿宋_GB2312" w:eastAsia="仿宋_GB2312" w:cs="仿宋_GB2312"/>
          <w:sz w:val="32"/>
          <w:szCs w:val="32"/>
          <w:highlight w:val="none"/>
          <w:lang w:eastAsia="zh-CN"/>
        </w:rPr>
        <w:t>”。为丰富优质公共文体服务供给，扩大全民健身公共服务覆盖面，持续培育群众体育消费习惯，进一步丰富群众体育文化生活，营造全民健身浓厚氛围，激发体育消费活力，提升我区体育品牌影响力，拟于2026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lang w:eastAsia="zh-CN"/>
        </w:rPr>
        <w:t>月在龙华文体中心举办一起</w:t>
      </w:r>
      <w:r>
        <w:rPr>
          <w:rFonts w:hint="eastAsia" w:ascii="仿宋_GB2312" w:hAnsi="仿宋_GB2312" w:eastAsia="仿宋_GB2312" w:cs="仿宋_GB2312"/>
          <w:sz w:val="32"/>
          <w:szCs w:val="32"/>
          <w:highlight w:val="none"/>
          <w:lang w:val="en-US" w:eastAsia="zh-CN"/>
        </w:rPr>
        <w:t>Play 2026年体育运动消费季暨嘉年华</w:t>
      </w:r>
      <w:r>
        <w:rPr>
          <w:rFonts w:hint="eastAsia" w:ascii="仿宋_GB2312" w:hAnsi="仿宋_GB2312" w:eastAsia="仿宋_GB2312" w:cs="仿宋_GB2312"/>
          <w:sz w:val="32"/>
          <w:szCs w:val="32"/>
          <w:highlight w:val="none"/>
          <w:lang w:eastAsia="zh-CN"/>
        </w:rPr>
        <w:t>，活动为期2天，活动规模约</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lang w:eastAsia="zh-CN"/>
        </w:rPr>
        <w:t>000人次。</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t>二、</w:t>
      </w:r>
      <w:r>
        <w:rPr>
          <w:rFonts w:hint="eastAsia" w:ascii="黑体" w:hAnsi="黑体" w:eastAsia="黑体" w:cs="黑体"/>
          <w:bCs/>
          <w:color w:val="auto"/>
          <w:sz w:val="32"/>
          <w:szCs w:val="32"/>
          <w:highlight w:val="none"/>
          <w:lang w:eastAsia="zh-CN"/>
        </w:rPr>
        <w:t>服务时间</w:t>
      </w:r>
    </w:p>
    <w:p>
      <w:pPr>
        <w:keepNext w:val="0"/>
        <w:keepLines w:val="0"/>
        <w:pageBreakBefore w:val="0"/>
        <w:widowControl/>
        <w:numPr>
          <w:ilvl w:val="0"/>
          <w:numId w:val="0"/>
        </w:numPr>
        <w:tabs>
          <w:tab w:val="left" w:pos="1820"/>
        </w:tabs>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default" w:ascii="黑体" w:hAnsi="黑体" w:eastAsia="仿宋_GB2312" w:cs="黑体"/>
          <w:bCs/>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9月（暂定）</w:t>
      </w:r>
    </w:p>
    <w:p>
      <w:pPr>
        <w:tabs>
          <w:tab w:val="left" w:pos="1820"/>
        </w:tabs>
        <w:snapToGrid w:val="0"/>
        <w:spacing w:line="560" w:lineRule="exact"/>
        <w:ind w:firstLine="640" w:firstLineChars="200"/>
        <w:jc w:val="both"/>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w:t>
      </w:r>
      <w:bookmarkStart w:id="0" w:name="OLE_LINK2"/>
      <w:r>
        <w:rPr>
          <w:rFonts w:hint="eastAsia" w:ascii="黑体" w:hAnsi="黑体" w:eastAsia="黑体" w:cs="黑体"/>
          <w:bCs/>
          <w:color w:val="auto"/>
          <w:sz w:val="32"/>
          <w:szCs w:val="32"/>
          <w:highlight w:val="none"/>
        </w:rPr>
        <w:t>项目内容及要求</w:t>
      </w:r>
      <w:bookmarkEnd w:id="0"/>
    </w:p>
    <w:p>
      <w:pPr>
        <w:spacing w:line="560" w:lineRule="exact"/>
        <w:ind w:firstLine="640" w:firstLineChars="200"/>
        <w:jc w:val="both"/>
        <w:rPr>
          <w:rFonts w:hint="eastAsia"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t>（一）</w:t>
      </w:r>
      <w:r>
        <w:rPr>
          <w:rFonts w:hint="eastAsia" w:ascii="楷体_GB2312" w:hAnsi="楷体_GB2312" w:eastAsia="楷体_GB2312" w:cs="楷体_GB2312"/>
          <w:color w:val="auto"/>
          <w:sz w:val="32"/>
          <w:szCs w:val="32"/>
          <w:highlight w:val="none"/>
        </w:rPr>
        <w:t>项目内容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pPr>
      <w:r>
        <w:rPr>
          <w:rFonts w:hint="eastAsia" w:ascii="仿宋_GB2312" w:hAnsi="仿宋_GB2312" w:eastAsia="仿宋_GB2312" w:cs="仿宋_GB2312"/>
          <w:sz w:val="32"/>
          <w:szCs w:val="32"/>
          <w:highlight w:val="none"/>
          <w:lang w:val="en-US" w:eastAsia="zh-CN"/>
        </w:rPr>
        <w:t>顺利开展一起Play 2026年体育运动消费季暨嘉年华。</w:t>
      </w:r>
    </w:p>
    <w:p>
      <w:pPr>
        <w:spacing w:line="560" w:lineRule="exact"/>
        <w:ind w:firstLine="640" w:firstLineChars="200"/>
        <w:jc w:val="both"/>
        <w:rPr>
          <w:rFonts w:hint="eastAsia"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t>（二）</w:t>
      </w:r>
      <w:r>
        <w:rPr>
          <w:rFonts w:hint="eastAsia" w:ascii="楷体_GB2312" w:hAnsi="楷体_GB2312" w:eastAsia="楷体_GB2312" w:cs="楷体_GB2312"/>
          <w:color w:val="auto"/>
          <w:sz w:val="32"/>
          <w:szCs w:val="32"/>
          <w:highlight w:val="none"/>
        </w:rPr>
        <w:t>具体要求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1.制定 一起</w:t>
      </w:r>
      <w:r>
        <w:rPr>
          <w:rFonts w:hint="eastAsia" w:ascii="仿宋_GB2312" w:hAnsi="仿宋_GB2312" w:eastAsia="仿宋_GB2312" w:cs="仿宋_GB2312"/>
          <w:sz w:val="32"/>
          <w:szCs w:val="32"/>
          <w:highlight w:val="none"/>
          <w:lang w:val="en-US" w:eastAsia="zh-CN"/>
        </w:rPr>
        <w:t>Play 2026年体育运动消费季暨嘉年华</w:t>
      </w:r>
      <w:r>
        <w:rPr>
          <w:rFonts w:hint="eastAsia" w:ascii="仿宋_GB2312" w:hAnsi="仿宋_GB2312" w:eastAsia="仿宋_GB2312" w:cs="仿宋_GB2312"/>
          <w:b w:val="0"/>
          <w:bCs w:val="0"/>
          <w:sz w:val="32"/>
          <w:szCs w:val="32"/>
          <w:lang w:val="en-US" w:eastAsia="zh-CN"/>
        </w:rPr>
        <w:t>的具体实施方案和项目报价；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2.负责场地布置及赛事相关物资，包括活动搭建、制作活动物料、设计、设备器材租赁、物料运输、准备活动礼品等；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3.负责活动组织的相关工作，包括聘请相关工作人员、活动医疗人员、购买活动保险、负责媒体推广等；</w:t>
      </w:r>
    </w:p>
    <w:p>
      <w:pPr>
        <w:pStyle w:val="15"/>
        <w:numPr>
          <w:ilvl w:val="0"/>
          <w:numId w:val="0"/>
        </w:numPr>
        <w:ind w:firstLine="640" w:firstLineChars="200"/>
        <w:rPr>
          <w:rFonts w:hint="eastAsia"/>
        </w:rPr>
      </w:pPr>
      <w:r>
        <w:rPr>
          <w:rFonts w:hint="eastAsia" w:ascii="仿宋_GB2312" w:hAnsi="仿宋_GB2312" w:eastAsia="仿宋_GB2312" w:cs="仿宋_GB2312"/>
          <w:b w:val="0"/>
          <w:bCs w:val="0"/>
          <w:sz w:val="32"/>
          <w:szCs w:val="32"/>
          <w:lang w:val="en-US" w:eastAsia="zh-CN"/>
        </w:rPr>
        <w:t>4.负责主办方交办的其他事项。</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lang w:eastAsia="zh-CN"/>
        </w:rPr>
        <w:t>四、报价限额</w:t>
      </w:r>
    </w:p>
    <w:p>
      <w:pPr>
        <w:spacing w:line="560" w:lineRule="exact"/>
        <w:ind w:firstLine="960" w:firstLineChars="300"/>
        <w:jc w:val="both"/>
        <w:rPr>
          <w:rFonts w:hint="eastAsia" w:ascii="仿宋_GB2312" w:hAnsi="仿宋_GB2312" w:eastAsia="仿宋_GB2312" w:cs="仿宋_GB2312"/>
          <w:color w:val="auto"/>
          <w:sz w:val="32"/>
          <w:szCs w:val="32"/>
          <w:highlight w:val="none"/>
          <w:lang w:eastAsia="zh-CN"/>
        </w:rPr>
      </w:pPr>
      <w:r>
        <w:rPr>
          <w:rFonts w:hint="eastAsia" w:ascii="仿宋_GB2312" w:eastAsia="仿宋_GB2312" w:cs="Times New Roman"/>
          <w:sz w:val="32"/>
          <w:szCs w:val="32"/>
          <w:lang w:val="en-US" w:eastAsia="zh-CN"/>
        </w:rPr>
        <w:t>58</w:t>
      </w:r>
      <w:r>
        <w:rPr>
          <w:rFonts w:hint="eastAsia" w:ascii="仿宋_GB2312" w:hAnsi="仿宋_GB2312" w:eastAsia="仿宋_GB2312" w:cs="仿宋_GB2312"/>
          <w:sz w:val="32"/>
          <w:szCs w:val="36"/>
          <w:highlight w:val="none"/>
          <w:lang w:eastAsia="zh-CN"/>
        </w:rPr>
        <w:t>万元</w:t>
      </w:r>
      <w:r>
        <w:rPr>
          <w:rFonts w:hint="eastAsia" w:ascii="仿宋_GB2312" w:hAnsi="仿宋_GB2312" w:eastAsia="仿宋_GB2312" w:cs="仿宋_GB2312"/>
          <w:color w:val="auto"/>
          <w:sz w:val="32"/>
          <w:szCs w:val="36"/>
          <w:highlight w:val="none"/>
          <w:lang w:eastAsia="zh-CN"/>
        </w:rPr>
        <w:t>，</w:t>
      </w:r>
      <w:r>
        <w:rPr>
          <w:rFonts w:hint="eastAsia" w:ascii="仿宋_GB2312" w:hAnsi="仿宋_GB2312" w:eastAsia="仿宋_GB2312" w:cs="仿宋_GB2312"/>
          <w:b/>
          <w:bCs/>
          <w:color w:val="auto"/>
          <w:sz w:val="32"/>
          <w:szCs w:val="32"/>
          <w:highlight w:val="none"/>
          <w:lang w:eastAsia="zh-CN"/>
        </w:rPr>
        <w:t>项目报价表</w:t>
      </w:r>
      <w:r>
        <w:rPr>
          <w:rFonts w:hint="eastAsia" w:ascii="仿宋_GB2312" w:hAnsi="仿宋_GB2312" w:eastAsia="仿宋_GB2312" w:cs="仿宋_GB2312"/>
          <w:color w:val="auto"/>
          <w:sz w:val="32"/>
          <w:szCs w:val="32"/>
          <w:highlight w:val="none"/>
        </w:rPr>
        <w:t>需</w:t>
      </w:r>
      <w:r>
        <w:rPr>
          <w:rFonts w:hint="eastAsia" w:ascii="仿宋_GB2312" w:hAnsi="仿宋_GB2312" w:eastAsia="仿宋_GB2312" w:cs="仿宋_GB2312"/>
          <w:color w:val="auto"/>
          <w:sz w:val="32"/>
          <w:szCs w:val="32"/>
          <w:highlight w:val="none"/>
          <w:lang w:eastAsia="zh-CN"/>
        </w:rPr>
        <w:t>按格式提供，与下表</w:t>
      </w:r>
      <w:r>
        <w:rPr>
          <w:rFonts w:hint="eastAsia" w:ascii="仿宋_GB2312" w:hAnsi="仿宋_GB2312" w:eastAsia="仿宋_GB2312" w:cs="仿宋_GB2312"/>
          <w:color w:val="auto"/>
          <w:sz w:val="32"/>
          <w:szCs w:val="32"/>
          <w:highlight w:val="none"/>
        </w:rPr>
        <w:t>保持一致</w:t>
      </w:r>
      <w:r>
        <w:rPr>
          <w:rFonts w:hint="eastAsia" w:ascii="仿宋_GB2312" w:hAnsi="仿宋_GB2312" w:eastAsia="仿宋_GB2312" w:cs="仿宋_GB2312"/>
          <w:color w:val="auto"/>
          <w:sz w:val="32"/>
          <w:szCs w:val="32"/>
          <w:highlight w:val="none"/>
          <w:lang w:eastAsia="zh-CN"/>
        </w:rPr>
        <w:t>：</w:t>
      </w:r>
    </w:p>
    <w:tbl>
      <w:tblPr>
        <w:tblStyle w:val="12"/>
        <w:tblW w:w="88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3"/>
        <w:gridCol w:w="639"/>
        <w:gridCol w:w="1467"/>
        <w:gridCol w:w="3153"/>
        <w:gridCol w:w="737"/>
        <w:gridCol w:w="856"/>
        <w:gridCol w:w="13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i w:val="0"/>
                <w:iCs w:val="0"/>
                <w:color w:val="000000"/>
                <w:sz w:val="20"/>
                <w:szCs w:val="20"/>
                <w:u w:val="none"/>
              </w:rPr>
            </w:pPr>
            <w:r>
              <w:rPr>
                <w:rFonts w:hint="eastAsia" w:ascii="仿宋_GB2312" w:hAnsi="仿宋_GB2312" w:eastAsia="仿宋_GB2312" w:cs="仿宋_GB2312"/>
                <w:b/>
                <w:i w:val="0"/>
                <w:iCs w:val="0"/>
                <w:color w:val="000000"/>
                <w:kern w:val="0"/>
                <w:sz w:val="20"/>
                <w:szCs w:val="20"/>
                <w:u w:val="none"/>
                <w:lang w:val="en-US" w:eastAsia="zh-CN" w:bidi="ar"/>
              </w:rPr>
              <w:t>类别</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i w:val="0"/>
                <w:iCs w:val="0"/>
                <w:color w:val="000000"/>
                <w:sz w:val="20"/>
                <w:szCs w:val="20"/>
                <w:u w:val="none"/>
              </w:rPr>
            </w:pPr>
            <w:r>
              <w:rPr>
                <w:rFonts w:hint="eastAsia" w:ascii="仿宋_GB2312" w:hAnsi="仿宋_GB2312" w:eastAsia="仿宋_GB2312" w:cs="仿宋_GB2312"/>
                <w:b/>
                <w:i w:val="0"/>
                <w:iCs w:val="0"/>
                <w:color w:val="000000"/>
                <w:kern w:val="0"/>
                <w:sz w:val="20"/>
                <w:szCs w:val="20"/>
                <w:u w:val="none"/>
                <w:lang w:val="en-US" w:eastAsia="zh-CN" w:bidi="ar"/>
              </w:rPr>
              <w:t>序号</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i w:val="0"/>
                <w:iCs w:val="0"/>
                <w:color w:val="000000"/>
                <w:sz w:val="20"/>
                <w:szCs w:val="20"/>
                <w:u w:val="none"/>
              </w:rPr>
            </w:pPr>
            <w:r>
              <w:rPr>
                <w:rFonts w:hint="eastAsia" w:ascii="仿宋_GB2312" w:hAnsi="仿宋_GB2312" w:eastAsia="仿宋_GB2312" w:cs="仿宋_GB2312"/>
                <w:b/>
                <w:i w:val="0"/>
                <w:iCs w:val="0"/>
                <w:color w:val="000000"/>
                <w:kern w:val="0"/>
                <w:sz w:val="20"/>
                <w:szCs w:val="20"/>
                <w:u w:val="none"/>
                <w:lang w:val="en-US" w:eastAsia="zh-CN" w:bidi="ar"/>
              </w:rPr>
              <w:t>项目</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i w:val="0"/>
                <w:iCs w:val="0"/>
                <w:color w:val="000000"/>
                <w:sz w:val="20"/>
                <w:szCs w:val="20"/>
                <w:u w:val="none"/>
              </w:rPr>
            </w:pPr>
            <w:r>
              <w:rPr>
                <w:rFonts w:hint="eastAsia" w:ascii="仿宋_GB2312" w:hAnsi="仿宋_GB2312" w:eastAsia="仿宋_GB2312" w:cs="仿宋_GB2312"/>
                <w:b/>
                <w:i w:val="0"/>
                <w:iCs w:val="0"/>
                <w:color w:val="000000"/>
                <w:kern w:val="0"/>
                <w:sz w:val="20"/>
                <w:szCs w:val="20"/>
                <w:u w:val="none"/>
                <w:lang w:val="en-US" w:eastAsia="zh-CN" w:bidi="ar"/>
              </w:rPr>
              <w:t>规格/型号</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i w:val="0"/>
                <w:iCs w:val="0"/>
                <w:color w:val="000000"/>
                <w:sz w:val="20"/>
                <w:szCs w:val="20"/>
                <w:u w:val="none"/>
              </w:rPr>
            </w:pPr>
            <w:r>
              <w:rPr>
                <w:rFonts w:hint="eastAsia" w:ascii="仿宋_GB2312" w:hAnsi="仿宋_GB2312" w:eastAsia="仿宋_GB2312" w:cs="仿宋_GB2312"/>
                <w:b/>
                <w:i w:val="0"/>
                <w:iCs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i w:val="0"/>
                <w:iCs w:val="0"/>
                <w:color w:val="000000"/>
                <w:sz w:val="20"/>
                <w:szCs w:val="20"/>
                <w:u w:val="none"/>
              </w:rPr>
            </w:pPr>
            <w:r>
              <w:rPr>
                <w:rFonts w:hint="eastAsia" w:ascii="仿宋_GB2312" w:hAnsi="仿宋_GB2312" w:eastAsia="仿宋_GB2312" w:cs="仿宋_GB2312"/>
                <w:b/>
                <w:i w:val="0"/>
                <w:iCs w:val="0"/>
                <w:color w:val="000000"/>
                <w:kern w:val="0"/>
                <w:sz w:val="20"/>
                <w:szCs w:val="20"/>
                <w:u w:val="none"/>
                <w:lang w:val="en-US" w:eastAsia="zh-CN" w:bidi="ar"/>
              </w:rPr>
              <w:t>单位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i w:val="0"/>
                <w:iCs w:val="0"/>
                <w:color w:val="000000"/>
                <w:sz w:val="20"/>
                <w:szCs w:val="20"/>
                <w:u w:val="none"/>
              </w:rPr>
            </w:pPr>
            <w:r>
              <w:rPr>
                <w:rFonts w:hint="eastAsia" w:ascii="仿宋_GB2312" w:hAnsi="仿宋_GB2312" w:eastAsia="仿宋_GB2312" w:cs="仿宋_GB2312"/>
                <w:b/>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场地搭建及氛围布置</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活动背板</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铝材桁架+高清黑底喷绘布：活动信息展板8*3m双面1组；区域展板6*3m单面3组；商圈宣传展板2*3m单面2组</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平方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铝材桁架+异形镂空车贴KT板：舞台展板10*4m单面1组；氛围装饰+指引2m高*双面*8组</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平方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w:t>
            </w: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铝材桁架+高清黑底喷绘布+异形镂空车贴KT板：体育运动项目4*3m单面16组</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平方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4</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结构搭建</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舞台板6*10m+地毯</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平方米</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5</w:t>
            </w: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控台：含调音台、线材、电脑等+控台包边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6</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视听技术</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4+2+2线阵音响+手持麦+耳麦</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7</w:t>
            </w: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LED面光灯、帕灯</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8</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氛围布置</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6*3m异形充气打卡装置</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组</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9</w:t>
            </w: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2*1m覆PVC彩色立体字</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组</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注水刀旗5m高*20组</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11</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保障设施</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欧式帐篷+异形车贴KT板包装+氛围串灯+水雾风扇+游戏规则牌+隔离栏</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12</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游戏道具</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绿茵神射手1套+谁是投篮王2套+跃跃羽试1套+颠球达人2套+玩个锤子1套+眼疾手快2套+快乐铅笔2套步步高升2套+不倒森林1项+疯狂指压板2套+乘风破浪2套+冰壶碰碰碰2套+俄罗斯方块2套+套个舒适圈1项+追风泡泡2套+Kin-Ball健球大挑战1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租赁，2天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定制化物料制作</w:t>
            </w:r>
          </w:p>
        </w:tc>
        <w:tc>
          <w:tcPr>
            <w:tcW w:w="639"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13</w:t>
            </w:r>
          </w:p>
        </w:tc>
        <w:tc>
          <w:tcPr>
            <w:tcW w:w="14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活动参与卡</w:t>
            </w:r>
          </w:p>
        </w:tc>
        <w:tc>
          <w:tcPr>
            <w:tcW w:w="315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铜版纸印刷</w:t>
            </w:r>
          </w:p>
        </w:tc>
        <w:tc>
          <w:tcPr>
            <w:tcW w:w="73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3000</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张</w:t>
            </w:r>
          </w:p>
        </w:tc>
        <w:tc>
          <w:tcPr>
            <w:tcW w:w="133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14</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集章扇子</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Play·夏日扇光片</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把</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1" w:hRule="atLeast"/>
          <w:jc w:val="center"/>
        </w:trPr>
        <w:tc>
          <w:tcPr>
            <w:tcW w:w="623"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15</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集章印章</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A区16项+兑奖</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16</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优惠券</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铜版纸印刷</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张</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17</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手举牌</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异形KT板</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活动礼品</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18</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活动奖品</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游戏礼品、互动礼品等</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19</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夜跑手环</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荧光手环</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拍手器</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发光拍手器</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21</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瓶装矿泉水</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350ml瓶装水</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箱</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人员劳务费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22</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主持人</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1位/天</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23</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演出乐队</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4位/1场/天</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场</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24</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教练</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1位/天</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25</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技术人员</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音响/航拍/摄影/摄像4位/天</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26</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后勤保障人员</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安保/保洁/医护20位/天</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27</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执行人员</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40位/天</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设计费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28</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设计费用</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VI视觉+平面布局图+所有物料设计+礼品定制+体育运动设计+帐篷包装设计+舞台主视觉设计+电子奖状等</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29</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小程序</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线上打卡小程序</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宣传推广费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媒体推广</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20家图文媒体（包含：国家级+主流门户+省市级+行业垂直）；自媒体短视频2条；自媒体动态海报3张；KOL/KOC矩阵15个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配套服务费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31</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活动保险</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组织者责任保险</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32</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场地接电走线</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项</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33</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工作证</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PVC卡+挂绳</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定制化制作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34</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工作人员餐饮</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70位/天</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35</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运输费用</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货物运输1次+搭建物料运输3次+设备道具1次，各2趟</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趟</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3" w:hRule="atLeast"/>
          <w:jc w:val="center"/>
        </w:trPr>
        <w:tc>
          <w:tcPr>
            <w:tcW w:w="881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1510"/>
              </w:tabs>
              <w:snapToGrid w:val="0"/>
              <w:ind w:left="0" w:leftChars="0" w:right="0" w:rightChars="0" w:firstLine="0" w:firstLineChars="0"/>
              <w:jc w:val="center"/>
              <w:rPr>
                <w:rFonts w:hint="eastAsia" w:ascii="仿宋_GB2312" w:hAnsi="仿宋_GB2312" w:eastAsia="仿宋_GB2312" w:cs="仿宋_GB2312"/>
                <w:i w:val="0"/>
                <w:iCs w:val="0"/>
                <w:color w:val="000000"/>
                <w:sz w:val="20"/>
                <w:szCs w:val="20"/>
                <w:u w:val="none"/>
                <w:lang w:eastAsia="zh-CN"/>
              </w:rPr>
            </w:pPr>
            <w:r>
              <w:rPr>
                <w:rFonts w:hint="eastAsia" w:ascii="仿宋_GB2312" w:hAnsi="仿宋_GB2312" w:eastAsia="仿宋_GB2312" w:cs="仿宋_GB2312"/>
                <w:kern w:val="2"/>
                <w:sz w:val="28"/>
                <w:szCs w:val="28"/>
                <w:highlight w:val="none"/>
                <w:vertAlign w:val="baseline"/>
                <w:lang w:val="en-US" w:eastAsia="zh-CN" w:bidi="ar-SA"/>
              </w:rPr>
              <w:t>投标价格</w:t>
            </w:r>
            <w:r>
              <w:rPr>
                <w:rFonts w:hint="eastAsia" w:ascii="仿宋_GB2312" w:hAnsi="仿宋_GB2312" w:eastAsia="仿宋_GB2312" w:cs="仿宋_GB2312"/>
                <w:sz w:val="28"/>
                <w:szCs w:val="28"/>
                <w:highlight w:val="none"/>
                <w:vertAlign w:val="baseline"/>
                <w:lang w:eastAsia="zh-CN"/>
              </w:rPr>
              <w:t>（万元）：</w:t>
            </w:r>
            <w:r>
              <w:rPr>
                <w:rFonts w:hint="eastAsia" w:ascii="仿宋_GB2312" w:hAnsi="仿宋_GB2312" w:eastAsia="仿宋_GB2312" w:cs="仿宋_GB2312"/>
                <w:sz w:val="28"/>
                <w:szCs w:val="28"/>
                <w:highlight w:val="none"/>
                <w:vertAlign w:val="baseline"/>
                <w:lang w:val="en-US" w:eastAsia="zh-CN"/>
              </w:rPr>
              <w:t>____（以万元为单位，最多保留两位小数）</w:t>
            </w:r>
          </w:p>
        </w:tc>
      </w:tr>
    </w:tbl>
    <w:p>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w:t>
      </w:r>
      <w:r>
        <w:rPr>
          <w:rFonts w:hint="eastAsia" w:ascii="黑体" w:hAnsi="黑体" w:eastAsia="黑体" w:cs="黑体"/>
          <w:color w:val="auto"/>
          <w:sz w:val="32"/>
          <w:szCs w:val="32"/>
          <w:highlight w:val="none"/>
        </w:rPr>
        <w:t>供应商的资质要求</w:t>
      </w:r>
    </w:p>
    <w:p>
      <w:pPr>
        <w:widowControl/>
        <w:spacing w:line="240" w:lineRule="auto"/>
        <w:ind w:firstLine="640" w:firstLineChars="200"/>
        <w:jc w:val="both"/>
        <w:rPr>
          <w:rFonts w:hint="eastAsia" w:ascii="仿宋_GB2312" w:hAnsi="仿宋" w:eastAsia="仿宋_GB2312" w:cs="仿宋"/>
          <w:color w:val="FF0000"/>
          <w:sz w:val="32"/>
          <w:szCs w:val="32"/>
          <w:highlight w:val="yellow"/>
        </w:rPr>
      </w:pPr>
      <w:r>
        <w:rPr>
          <w:rFonts w:hint="eastAsia" w:ascii="仿宋_GB2312" w:hAnsi="仿宋" w:eastAsia="仿宋_GB2312" w:cs="仿宋"/>
          <w:color w:val="auto"/>
          <w:sz w:val="32"/>
          <w:szCs w:val="32"/>
          <w:highlight w:val="none"/>
        </w:rPr>
        <w:t>（一）在中国境内注册的独立法人或其他组织（提供营业执照、事业法人证书、社会团体法人登记证书等扫描件）</w:t>
      </w:r>
      <w:r>
        <w:rPr>
          <w:rFonts w:hint="eastAsia" w:ascii="仿宋_GB2312" w:hAnsi="仿宋" w:cs="仿宋"/>
          <w:color w:val="auto"/>
          <w:sz w:val="32"/>
          <w:szCs w:val="32"/>
          <w:highlight w:val="none"/>
          <w:lang w:eastAsia="zh-CN"/>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w:t>
      </w:r>
      <w:r>
        <w:rPr>
          <w:rFonts w:hint="eastAsia" w:ascii="仿宋_GB2312" w:hAnsi="仿宋" w:eastAsia="仿宋_GB2312" w:cs="仿宋"/>
          <w:bCs/>
          <w:color w:val="auto"/>
          <w:sz w:val="32"/>
          <w:szCs w:val="32"/>
          <w:highlight w:val="none"/>
        </w:rPr>
        <w:t>照扫描件</w:t>
      </w:r>
      <w:r>
        <w:rPr>
          <w:rFonts w:hint="eastAsia" w:ascii="仿宋_GB2312" w:hAnsi="仿宋" w:eastAsia="仿宋_GB2312" w:cs="仿宋"/>
          <w:bCs/>
          <w:color w:val="auto"/>
          <w:kern w:val="2"/>
          <w:sz w:val="32"/>
          <w:szCs w:val="32"/>
          <w:highlight w:val="none"/>
          <w:lang w:val="en-US" w:eastAsia="zh-CN" w:bidi="ar-SA"/>
        </w:rPr>
        <w:t>；</w:t>
      </w:r>
    </w:p>
    <w:p>
      <w:pPr>
        <w:pStyle w:val="16"/>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（二）</w:t>
      </w:r>
      <w:r>
        <w:rPr>
          <w:rFonts w:hint="eastAsia" w:ascii="仿宋_GB2312" w:hAnsi="仿宋" w:cs="仿宋"/>
          <w:color w:val="auto"/>
          <w:sz w:val="32"/>
          <w:szCs w:val="32"/>
          <w:highlight w:val="none"/>
          <w:lang w:eastAsia="zh-CN"/>
        </w:rPr>
        <w:t>投标人</w:t>
      </w:r>
      <w:r>
        <w:rPr>
          <w:rFonts w:hint="eastAsia" w:ascii="仿宋_GB2312" w:hAnsi="仿宋" w:eastAsia="仿宋_GB2312" w:cs="仿宋"/>
          <w:color w:val="auto"/>
          <w:sz w:val="32"/>
          <w:szCs w:val="32"/>
          <w:highlight w:val="none"/>
        </w:rPr>
        <w:t>近三年内（成立不足三年的</w:t>
      </w:r>
      <w:r>
        <w:rPr>
          <w:rFonts w:hint="eastAsia" w:ascii="仿宋_GB2312" w:hAnsi="仿宋" w:cs="仿宋"/>
          <w:color w:val="auto"/>
          <w:sz w:val="32"/>
          <w:szCs w:val="32"/>
          <w:highlight w:val="none"/>
          <w:lang w:eastAsia="zh-CN"/>
        </w:rPr>
        <w:t>，自</w:t>
      </w:r>
      <w:r>
        <w:rPr>
          <w:rFonts w:hint="eastAsia" w:ascii="仿宋_GB2312" w:hAnsi="仿宋" w:eastAsia="仿宋_GB2312" w:cs="仿宋"/>
          <w:color w:val="auto"/>
          <w:sz w:val="32"/>
          <w:szCs w:val="32"/>
          <w:highlight w:val="none"/>
        </w:rPr>
        <w:t>成立之日起算），在经营活动中没有重大违法记录以及不存在被有关部门禁止参与政府采购活动且在有效期内的情况</w:t>
      </w:r>
      <w:r>
        <w:rPr>
          <w:rFonts w:hint="eastAsia" w:ascii="仿宋_GB2312" w:hAnsi="仿宋" w:cs="仿宋"/>
          <w:color w:val="auto"/>
          <w:sz w:val="32"/>
          <w:szCs w:val="32"/>
          <w:highlight w:val="none"/>
          <w:lang w:eastAsia="zh-CN"/>
        </w:rPr>
        <w:t>；</w:t>
      </w:r>
    </w:p>
    <w:p>
      <w:pPr>
        <w:pStyle w:val="16"/>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（三）</w:t>
      </w:r>
      <w:r>
        <w:rPr>
          <w:rFonts w:hint="eastAsia" w:ascii="仿宋_GB2312" w:hAnsi="仿宋" w:eastAsia="仿宋_GB2312" w:cs="仿宋"/>
          <w:bCs/>
          <w:color w:val="auto"/>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color w:val="auto"/>
          <w:kern w:val="2"/>
          <w:sz w:val="32"/>
          <w:szCs w:val="32"/>
          <w:highlight w:val="none"/>
          <w:lang w:val="en-US" w:eastAsia="zh-CN" w:bidi="ar-SA"/>
        </w:rPr>
        <w:t>也不得隶属</w:t>
      </w:r>
      <w:r>
        <w:rPr>
          <w:rFonts w:hint="eastAsia" w:ascii="仿宋_GB2312" w:hAnsi="仿宋" w:eastAsia="仿宋_GB2312" w:cs="仿宋"/>
          <w:bCs/>
          <w:color w:val="auto"/>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color w:val="auto"/>
          <w:sz w:val="32"/>
          <w:szCs w:val="32"/>
          <w:highlight w:val="none"/>
        </w:rPr>
        <w:t>，不得同时参加本项目的采购活动</w:t>
      </w:r>
      <w:r>
        <w:rPr>
          <w:rFonts w:hint="eastAsia" w:ascii="仿宋_GB2312" w:hAnsi="仿宋" w:cs="仿宋"/>
          <w:color w:val="auto"/>
          <w:sz w:val="32"/>
          <w:szCs w:val="32"/>
          <w:highlight w:val="none"/>
          <w:lang w:eastAsia="zh-CN"/>
        </w:rPr>
        <w:t>。</w:t>
      </w:r>
    </w:p>
    <w:p>
      <w:pPr>
        <w:spacing w:line="560" w:lineRule="exact"/>
        <w:ind w:firstLine="640" w:firstLineChars="200"/>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六、选定供应商方法</w:t>
      </w:r>
    </w:p>
    <w:p>
      <w:pPr>
        <w:spacing w:line="560" w:lineRule="exact"/>
        <w:ind w:firstLine="640" w:firstLineChars="200"/>
        <w:jc w:val="both"/>
        <w:rPr>
          <w:rFonts w:hint="eastAsia" w:ascii="仿宋_GB2312" w:hAnsi="仿宋" w:eastAsia="仿宋_GB2312"/>
          <w:color w:val="auto"/>
          <w:sz w:val="32"/>
          <w:highlight w:val="none"/>
          <w:lang w:val="en-US" w:eastAsia="zh-CN"/>
        </w:rPr>
      </w:pPr>
      <w:r>
        <w:rPr>
          <w:rFonts w:hint="eastAsia" w:ascii="仿宋_GB2312" w:hAnsi="仿宋" w:eastAsia="仿宋_GB2312"/>
          <w:color w:val="auto"/>
          <w:sz w:val="32"/>
          <w:highlight w:val="none"/>
        </w:rPr>
        <w:t>综合评分法</w:t>
      </w:r>
    </w:p>
    <w:p>
      <w:pPr>
        <w:keepNext w:val="0"/>
        <w:keepLines w:val="0"/>
        <w:pageBreakBefore w:val="0"/>
        <w:widowControl w:val="0"/>
        <w:snapToGrid/>
        <w:spacing w:line="560" w:lineRule="exact"/>
        <w:ind w:firstLine="640" w:firstLineChars="200"/>
        <w:jc w:val="both"/>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七、评分要求</w:t>
      </w:r>
      <w:r>
        <w:rPr>
          <w:rFonts w:hint="eastAsia" w:ascii="黑体" w:hAnsi="黑体" w:eastAsia="黑体" w:cs="黑体"/>
          <w:color w:val="auto"/>
          <w:sz w:val="32"/>
          <w:szCs w:val="32"/>
          <w:highlight w:val="none"/>
          <w:lang w:eastAsia="zh-CN"/>
        </w:rPr>
        <w:t>（采取综合评分法适用）</w:t>
      </w:r>
    </w:p>
    <w:p>
      <w:pPr>
        <w:pStyle w:val="18"/>
        <w:spacing w:line="560" w:lineRule="exact"/>
        <w:ind w:firstLine="640" w:firstLineChars="200"/>
        <w:jc w:val="both"/>
        <w:rPr>
          <w:rFonts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（一）评分规则</w:t>
      </w:r>
    </w:p>
    <w:p>
      <w:pPr>
        <w:spacing w:line="560" w:lineRule="exact"/>
        <w:ind w:firstLine="640" w:firstLineChars="200"/>
        <w:jc w:val="both"/>
        <w:rPr>
          <w:rFonts w:ascii="楷体_GB2312" w:hAnsi="楷体_GB2312" w:eastAsia="楷体_GB2312" w:cs="楷体_GB2312"/>
          <w:bCs/>
          <w:color w:val="auto"/>
          <w:sz w:val="32"/>
          <w:szCs w:val="32"/>
          <w:highlight w:val="none"/>
        </w:rPr>
      </w:pPr>
      <w:r>
        <w:rPr>
          <w:rFonts w:hint="eastAsia" w:ascii="仿宋_GB2312" w:eastAsia="仿宋_GB2312"/>
          <w:color w:val="auto"/>
          <w:sz w:val="32"/>
          <w:szCs w:val="32"/>
          <w:highlight w:val="none"/>
        </w:rPr>
        <w:t>采取综合评分标准，平均分最高的投标人为本项目中标人。</w:t>
      </w:r>
    </w:p>
    <w:p>
      <w:pPr>
        <w:pStyle w:val="18"/>
        <w:spacing w:line="560" w:lineRule="exact"/>
        <w:ind w:firstLine="640" w:firstLineChars="200"/>
        <w:jc w:val="both"/>
        <w:rPr>
          <w:rFonts w:hint="eastAsia" w:ascii="楷体_GB2312" w:hAnsi="楷体_GB2312" w:eastAsia="楷体_GB2312" w:cs="楷体_GB2312"/>
          <w:b w:val="0"/>
          <w:bCs/>
          <w:color w:val="auto"/>
          <w:sz w:val="32"/>
          <w:szCs w:val="32"/>
          <w:highlight w:val="none"/>
          <w:lang w:eastAsia="zh-CN"/>
        </w:rPr>
      </w:pPr>
      <w:r>
        <w:rPr>
          <w:rFonts w:hint="eastAsia" w:ascii="楷体_GB2312" w:hAnsi="楷体_GB2312" w:eastAsia="楷体_GB2312" w:cs="楷体_GB2312"/>
          <w:b w:val="0"/>
          <w:bCs/>
          <w:color w:val="auto"/>
          <w:sz w:val="32"/>
          <w:szCs w:val="32"/>
          <w:highlight w:val="none"/>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商务</w:t>
            </w:r>
            <w:r>
              <w:rPr>
                <w:rFonts w:hint="eastAsia" w:ascii="仿宋_GB2312" w:hAnsi="仿宋_GB2312" w:eastAsia="仿宋_GB2312" w:cs="仿宋_GB2312"/>
                <w:b w:val="0"/>
                <w:bCs/>
                <w:color w:val="auto"/>
                <w:szCs w:val="24"/>
                <w:highlight w:val="none"/>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技术</w:t>
            </w:r>
            <w:r>
              <w:rPr>
                <w:rFonts w:hint="eastAsia" w:ascii="仿宋_GB2312" w:hAnsi="仿宋_GB2312" w:eastAsia="仿宋_GB2312" w:cs="仿宋_GB2312"/>
                <w:b w:val="0"/>
                <w:bCs/>
                <w:color w:val="auto"/>
                <w:szCs w:val="24"/>
                <w:highlight w:val="none"/>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b w:val="0"/>
                <w:bCs/>
                <w:color w:val="auto"/>
                <w:szCs w:val="24"/>
                <w:highlight w:val="none"/>
              </w:rPr>
              <w:t>分</w:t>
            </w:r>
          </w:p>
        </w:tc>
      </w:tr>
    </w:tbl>
    <w:p>
      <w:pPr>
        <w:pStyle w:val="18"/>
        <w:spacing w:line="560" w:lineRule="exact"/>
        <w:ind w:firstLine="640" w:firstLineChars="200"/>
        <w:jc w:val="both"/>
        <w:rPr>
          <w:rFonts w:ascii="仿宋_GB2312" w:eastAsia="仿宋_GB2312"/>
          <w:color w:val="auto"/>
          <w:sz w:val="32"/>
          <w:szCs w:val="32"/>
          <w:highlight w:val="none"/>
        </w:rPr>
      </w:pPr>
      <w:r>
        <w:rPr>
          <w:rFonts w:hint="eastAsia" w:ascii="楷体_GB2312" w:hAnsi="楷体_GB2312" w:eastAsia="楷体_GB2312" w:cs="楷体_GB2312"/>
          <w:b w:val="0"/>
          <w:bCs/>
          <w:color w:val="auto"/>
          <w:sz w:val="32"/>
          <w:szCs w:val="32"/>
          <w:highlight w:val="none"/>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报价</w:t>
            </w:r>
          </w:p>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vertAlign w:val="baseline"/>
                <w:lang w:val="en-US" w:eastAsia="zh-CN"/>
              </w:rPr>
              <w:t>30分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both"/>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topLinePunct/>
              <w:snapToGrid w:val="0"/>
              <w:spacing w:line="56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价格</w:t>
            </w:r>
          </w:p>
        </w:tc>
        <w:tc>
          <w:tcPr>
            <w:tcW w:w="6143" w:type="dxa"/>
            <w:noWrap w:val="0"/>
            <w:vAlign w:val="center"/>
          </w:tcPr>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以本次报价或投标人所报的有效报价中的最低价作为基准报价。投标人报价得分=（基准价/投标人报价）*</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商务</w:t>
            </w:r>
          </w:p>
          <w:p>
            <w:pPr>
              <w:pStyle w:val="6"/>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部分</w:t>
            </w:r>
          </w:p>
          <w:p>
            <w:pPr>
              <w:pStyle w:val="6"/>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color w:val="auto"/>
                <w:sz w:val="24"/>
                <w:szCs w:val="24"/>
                <w:highlight w:val="none"/>
                <w:vertAlign w:val="baseline"/>
                <w:lang w:val="en-US" w:eastAsia="zh-CN"/>
              </w:rPr>
              <w:t>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eastAsia="zh-CN"/>
              </w:rPr>
              <w:t>同类项目经验（</w:t>
            </w:r>
            <w:r>
              <w:rPr>
                <w:rFonts w:hint="eastAsia" w:ascii="仿宋_GB2312" w:hAnsi="仿宋_GB2312" w:eastAsia="仿宋_GB2312" w:cs="仿宋_GB2312"/>
                <w:color w:val="auto"/>
                <w:sz w:val="24"/>
                <w:szCs w:val="24"/>
                <w:highlight w:val="none"/>
                <w:lang w:val="en-US" w:eastAsia="zh-CN"/>
              </w:rPr>
              <w:t>10分</w:t>
            </w:r>
            <w:r>
              <w:rPr>
                <w:rFonts w:hint="eastAsia" w:ascii="仿宋_GB2312" w:hAnsi="仿宋_GB2312" w:eastAsia="仿宋_GB2312" w:cs="仿宋_GB2312"/>
                <w:color w:val="auto"/>
                <w:sz w:val="24"/>
                <w:szCs w:val="24"/>
                <w:highlight w:val="none"/>
                <w:lang w:eastAsia="zh-CN"/>
              </w:rPr>
              <w:t>）</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投标人自2023年1月1日至本项目投标截止日（以合同签订日期为准），每提供一项相关文体组织类活动项目业绩得5分，最高得10分。</w:t>
            </w:r>
          </w:p>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每项业绩按以下要求提供完整准确的证明文件，一个合同计算一个业绩，一年一签的续签合同只计算一个业绩：</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合同关键页（关键信息包括但不仅限于合同的项目名称、服务内容、合同服务的起止时间、合同双方的盖章、签订日期等）；</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未提供证明材料或者提供的证明材料不符合要求或提供的证明材料不清晰导致采购小组无法辨认的，不得分。</w:t>
            </w:r>
          </w:p>
          <w:p>
            <w:pPr>
              <w:topLinePunct/>
              <w:snapToGrid w:val="0"/>
              <w:spacing w:line="560" w:lineRule="exact"/>
              <w:jc w:val="both"/>
              <w:rPr>
                <w:rFonts w:hint="default"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拟安排项目团队成员情况</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（10分）</w:t>
            </w:r>
          </w:p>
        </w:tc>
        <w:tc>
          <w:tcPr>
            <w:tcW w:w="6143" w:type="dxa"/>
            <w:noWrap w:val="0"/>
            <w:vAlign w:val="center"/>
          </w:tcPr>
          <w:p>
            <w:pPr>
              <w:pStyle w:val="10"/>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pStyle w:val="10"/>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拟安排的项目团队成员情况：</w:t>
            </w:r>
          </w:p>
          <w:p>
            <w:pPr>
              <w:pStyle w:val="10"/>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.每提供一位</w:t>
            </w:r>
            <w:r>
              <w:rPr>
                <w:rFonts w:hint="eastAsia" w:ascii="仿宋_GB2312" w:hAnsi="仿宋_GB2312" w:eastAsia="仿宋_GB2312" w:cs="仿宋_GB2312"/>
                <w:color w:val="auto"/>
                <w:sz w:val="24"/>
                <w:szCs w:val="24"/>
                <w:highlight w:val="none"/>
                <w:lang w:eastAsia="zh-CN"/>
              </w:rPr>
              <w:t>本科（或以上）学历的，得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分，本项最高</w:t>
            </w:r>
            <w:r>
              <w:rPr>
                <w:rFonts w:hint="eastAsia" w:ascii="仿宋_GB2312" w:hAnsi="仿宋_GB2312" w:eastAsia="仿宋_GB2312" w:cs="仿宋_GB2312"/>
                <w:color w:val="auto"/>
                <w:sz w:val="24"/>
                <w:szCs w:val="24"/>
                <w:highlight w:val="none"/>
                <w:lang w:val="en-US" w:eastAsia="zh-CN"/>
              </w:rPr>
              <w:t>4分；</w:t>
            </w:r>
          </w:p>
          <w:p>
            <w:pPr>
              <w:pStyle w:val="10"/>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2.每提供一位具有相关</w:t>
            </w:r>
            <w:r>
              <w:rPr>
                <w:rFonts w:hint="eastAsia" w:ascii="仿宋_GB2312" w:hAnsi="仿宋_GB2312" w:eastAsia="仿宋_GB2312" w:cs="仿宋_GB2312"/>
                <w:color w:val="auto"/>
                <w:sz w:val="24"/>
                <w:szCs w:val="24"/>
                <w:highlight w:val="none"/>
                <w:lang w:val="en-US" w:eastAsia="zh-CN"/>
              </w:rPr>
              <w:t>文体组织类活动</w:t>
            </w:r>
            <w:r>
              <w:rPr>
                <w:rFonts w:hint="eastAsia" w:ascii="仿宋_GB2312" w:hAnsi="仿宋_GB2312" w:eastAsia="仿宋_GB2312" w:cs="仿宋_GB2312"/>
                <w:color w:val="auto"/>
                <w:sz w:val="24"/>
                <w:szCs w:val="24"/>
                <w:highlight w:val="none"/>
                <w:lang w:eastAsia="zh-CN"/>
              </w:rPr>
              <w:t>有关工作经验，得</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分。；本项最高</w:t>
            </w:r>
            <w:r>
              <w:rPr>
                <w:rFonts w:hint="eastAsia" w:ascii="仿宋_GB2312" w:hAnsi="仿宋_GB2312" w:eastAsia="仿宋_GB2312" w:cs="仿宋_GB2312"/>
                <w:color w:val="auto"/>
                <w:sz w:val="24"/>
                <w:szCs w:val="24"/>
                <w:highlight w:val="none"/>
                <w:lang w:val="en-US" w:eastAsia="zh-CN"/>
              </w:rPr>
              <w:t>6分。</w:t>
            </w:r>
          </w:p>
          <w:p>
            <w:pPr>
              <w:pStyle w:val="10"/>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以上合计最高得</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lang w:eastAsia="zh-CN"/>
              </w:rPr>
              <w:t>分。</w:t>
            </w:r>
          </w:p>
          <w:p>
            <w:pPr>
              <w:pStyle w:val="10"/>
              <w:widowControl/>
              <w:topLinePunct w:val="0"/>
              <w:snapToGrid w:val="0"/>
              <w:spacing w:line="560" w:lineRule="exact"/>
              <w:jc w:val="both"/>
              <w:rPr>
                <w:rFonts w:hint="default" w:ascii="仿宋_GB2312" w:hAnsi="仿宋_GB2312" w:eastAsia="仿宋_GB2312" w:cs="仿宋_GB2312"/>
                <w:color w:val="auto"/>
                <w:sz w:val="24"/>
                <w:szCs w:val="24"/>
                <w:highlight w:val="none"/>
                <w:lang w:val="en-US" w:eastAsia="zh-CN"/>
              </w:rPr>
            </w:pPr>
          </w:p>
          <w:p>
            <w:pPr>
              <w:pStyle w:val="10"/>
              <w:widowControl/>
              <w:topLinePunct w:val="0"/>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pStyle w:val="10"/>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提供毕业证书扫描件、学历信息在学信网查询结果截图，原件备查。</w:t>
            </w:r>
          </w:p>
          <w:p>
            <w:pPr>
              <w:pStyle w:val="10"/>
              <w:widowControl/>
              <w:topLinePunct w:val="0"/>
              <w:snapToGrid w:val="0"/>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工作经验</w:t>
            </w:r>
            <w:r>
              <w:rPr>
                <w:rFonts w:hint="eastAsia" w:ascii="仿宋_GB2312" w:hAnsi="仿宋_GB2312" w:eastAsia="仿宋_GB2312" w:cs="仿宋_GB2312"/>
                <w:color w:val="auto"/>
                <w:sz w:val="24"/>
                <w:szCs w:val="24"/>
                <w:highlight w:val="none"/>
              </w:rPr>
              <w:t>需提供合同关键页或其他可以证明的材料</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合同关键（关键信息包括但不仅限于合同的项目名称、</w:t>
            </w:r>
            <w:r>
              <w:rPr>
                <w:rFonts w:hint="eastAsia" w:ascii="仿宋_GB2312" w:hAnsi="仿宋_GB2312" w:eastAsia="仿宋_GB2312" w:cs="仿宋_GB2312"/>
                <w:color w:val="auto"/>
                <w:sz w:val="24"/>
                <w:szCs w:val="24"/>
                <w:highlight w:val="none"/>
                <w:lang w:val="en-US" w:eastAsia="zh-CN"/>
              </w:rPr>
              <w:t>项目负责人名字、</w:t>
            </w:r>
            <w:r>
              <w:rPr>
                <w:rFonts w:hint="eastAsia" w:ascii="仿宋_GB2312" w:hAnsi="仿宋_GB2312" w:eastAsia="仿宋_GB2312" w:cs="仿宋_GB2312"/>
                <w:color w:val="auto"/>
                <w:sz w:val="24"/>
                <w:szCs w:val="24"/>
                <w:highlight w:val="none"/>
              </w:rPr>
              <w:t>服务内容、</w:t>
            </w:r>
            <w:r>
              <w:rPr>
                <w:rFonts w:hint="eastAsia" w:ascii="仿宋_GB2312" w:hAnsi="仿宋_GB2312" w:eastAsia="仿宋_GB2312" w:cs="仿宋_GB2312"/>
                <w:color w:val="auto"/>
                <w:sz w:val="24"/>
                <w:szCs w:val="24"/>
                <w:highlight w:val="none"/>
                <w:lang w:val="en-US" w:eastAsia="zh-CN"/>
              </w:rPr>
              <w:t>合同双方盖章页</w:t>
            </w:r>
            <w:r>
              <w:rPr>
                <w:rFonts w:hint="eastAsia" w:ascii="仿宋_GB2312" w:hAnsi="仿宋_GB2312" w:eastAsia="仿宋_GB2312" w:cs="仿宋_GB2312"/>
                <w:color w:val="auto"/>
                <w:sz w:val="24"/>
                <w:szCs w:val="24"/>
                <w:highlight w:val="none"/>
              </w:rPr>
              <w:t>），以及满足评分要求的服务内容。</w:t>
            </w:r>
          </w:p>
          <w:p>
            <w:pPr>
              <w:pStyle w:val="10"/>
              <w:widowControl/>
              <w:topLinePunct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3.以上人员近三个月社保缴纳记录。</w:t>
            </w:r>
          </w:p>
          <w:p>
            <w:pPr>
              <w:pStyle w:val="10"/>
              <w:widowControl/>
              <w:topLinePunct w:val="0"/>
              <w:snapToGrid/>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以上证明文件原件备查，</w:t>
            </w:r>
            <w:r>
              <w:rPr>
                <w:rFonts w:hint="eastAsia" w:ascii="仿宋_GB2312" w:hAnsi="仿宋_GB2312" w:eastAsia="仿宋_GB2312" w:cs="仿宋_GB2312"/>
                <w:color w:val="auto"/>
                <w:sz w:val="24"/>
                <w:szCs w:val="24"/>
                <w:highlight w:val="none"/>
                <w:lang w:eastAsia="zh-CN"/>
              </w:rPr>
              <w:t>未提供或未按要求提供或提供的不清晰导致采购小组无法判断的，不得分。</w:t>
            </w:r>
          </w:p>
          <w:p>
            <w:pPr>
              <w:pStyle w:val="10"/>
              <w:widowControl/>
              <w:topLinePunct w:val="0"/>
              <w:snapToGrid/>
              <w:spacing w:line="360" w:lineRule="exact"/>
              <w:jc w:val="both"/>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项目完成（服务期满）</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lang w:val="en-US" w:eastAsia="zh-CN"/>
              </w:rPr>
              <w:t>后的服务承诺（5分）</w:t>
            </w:r>
          </w:p>
        </w:tc>
        <w:tc>
          <w:tcPr>
            <w:tcW w:w="6143" w:type="dxa"/>
            <w:noWrap w:val="0"/>
            <w:vAlign w:val="center"/>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adjustRightInd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adjustRightInd w:val="0"/>
              <w:snapToGrid w:val="0"/>
              <w:spacing w:line="560" w:lineRule="exact"/>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topLinePunct/>
              <w:snapToGrid w:val="0"/>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提供</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承诺函（格式自拟）并加盖投标人公章，未提供承诺或承诺内容不满足要求不得分。</w:t>
            </w:r>
          </w:p>
          <w:p>
            <w:pPr>
              <w:pStyle w:val="6"/>
              <w:spacing w:line="560" w:lineRule="exact"/>
              <w:jc w:val="both"/>
              <w:rPr>
                <w:rFonts w:hint="eastAsia" w:ascii="仿宋_GB2312" w:hAnsi="仿宋_GB2312" w:eastAsia="仿宋_GB2312" w:cs="仿宋_GB2312"/>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restart"/>
            <w:noWrap w:val="0"/>
            <w:vAlign w:val="center"/>
          </w:tcPr>
          <w:p>
            <w:pPr>
              <w:spacing w:line="560" w:lineRule="exact"/>
              <w:jc w:val="center"/>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color w:val="auto"/>
                <w:sz w:val="24"/>
                <w:szCs w:val="24"/>
                <w:highlight w:val="none"/>
                <w:vertAlign w:val="baseline"/>
                <w:lang w:val="en-US" w:eastAsia="zh-CN"/>
              </w:rPr>
              <w:t>分）</w:t>
            </w: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实</w:t>
            </w:r>
            <w:r>
              <w:rPr>
                <w:rFonts w:hint="eastAsia" w:ascii="仿宋_GB2312" w:hAnsi="仿宋_GB2312" w:eastAsia="仿宋_GB2312" w:cs="仿宋_GB2312"/>
                <w:color w:val="auto"/>
                <w:sz w:val="24"/>
                <w:szCs w:val="24"/>
                <w:highlight w:val="none"/>
                <w:lang w:val="en-US" w:eastAsia="zh-CN"/>
              </w:rPr>
              <w:t>施</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方案</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lang w:val="en-US" w:eastAsia="zh-CN"/>
              </w:rPr>
              <w:t>（25分）</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1.组织架构和人员管理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2.项目流程</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3.活动规则</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4.宣传推广</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满足以上任意一项要求得4分，最高得16分，在此基础上，根据供应商的具体响应内容按照量化的评审因素指标进一步评审，设定优、良、中、差四个评分标准：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2.良：项目实施方案内容较丰富、较具体、针对性较强、较科学合理、可操作性较强得6分；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3.中：项目实施方案内容、针对性、可操作性一般得3分；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质量保障措施及方案</w:t>
            </w:r>
          </w:p>
          <w:p>
            <w:pPr>
              <w:pStyle w:val="6"/>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vertAlign w:val="baseline"/>
                <w:lang w:val="en-US" w:eastAsia="zh-CN"/>
              </w:rPr>
              <w:t>20分</w:t>
            </w:r>
            <w:r>
              <w:rPr>
                <w:rFonts w:hint="eastAsia" w:ascii="仿宋_GB2312" w:hAnsi="仿宋_GB2312" w:eastAsia="仿宋_GB2312" w:cs="仿宋_GB2312"/>
                <w:color w:val="auto"/>
                <w:sz w:val="24"/>
                <w:szCs w:val="24"/>
                <w:highlight w:val="none"/>
                <w:vertAlign w:val="baseline"/>
                <w:lang w:eastAsia="zh-CN"/>
              </w:rPr>
              <w:t>）</w:t>
            </w:r>
          </w:p>
        </w:tc>
        <w:tc>
          <w:tcPr>
            <w:tcW w:w="6143" w:type="dxa"/>
            <w:noWrap w:val="0"/>
            <w:vAlign w:val="top"/>
          </w:tcPr>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根据对项目的理解及自身管理经验，针对本项目提出质量保障措施及方案。包括但不限于以下内容：</w:t>
            </w:r>
          </w:p>
          <w:p>
            <w:pPr>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1.安保方案</w:t>
            </w:r>
          </w:p>
          <w:p>
            <w:pPr>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2.应急处置预案</w:t>
            </w:r>
          </w:p>
          <w:p>
            <w:pPr>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3.质量保障方案</w:t>
            </w:r>
          </w:p>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二、评分标准：</w:t>
            </w:r>
          </w:p>
          <w:p>
            <w:pPr>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color w:val="auto"/>
                <w:sz w:val="24"/>
                <w:szCs w:val="24"/>
                <w:highlight w:val="none"/>
                <w:lang w:eastAsia="zh-CN"/>
              </w:rPr>
              <w:t>根据供应商的具体响应内容按照量化的评审因素指标进一步评审，设定优、良、中、差四个评分标准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spacing w:line="560" w:lineRule="exact"/>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1.优：以上项目质量保障措施及方案三点内容全面具体、针对性强、可操作性强，加8分；</w:t>
            </w:r>
          </w:p>
          <w:p>
            <w:pPr>
              <w:spacing w:line="560" w:lineRule="exact"/>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2.良：以上项目质量保障措施及方案的三点内容较丰富、针对性较强、可操作性较强，加6分；</w:t>
            </w:r>
          </w:p>
          <w:p>
            <w:pPr>
              <w:spacing w:line="560" w:lineRule="exact"/>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3.中：以上项目质量保障措施及方案三点内容完整性、针对性、可操作性均一般，加2分；</w:t>
            </w:r>
          </w:p>
          <w:p>
            <w:pPr>
              <w:spacing w:line="560" w:lineRule="exact"/>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4.差：其它情况不得分。</w:t>
            </w:r>
          </w:p>
        </w:tc>
      </w:tr>
    </w:tbl>
    <w:p>
      <w:pPr>
        <w:pStyle w:val="18"/>
        <w:spacing w:line="560" w:lineRule="exact"/>
        <w:ind w:firstLine="640" w:firstLineChars="200"/>
        <w:jc w:val="both"/>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八、</w:t>
      </w:r>
      <w:r>
        <w:rPr>
          <w:rFonts w:hint="eastAsia" w:ascii="方正黑体_GBK" w:hAnsi="方正黑体_GBK" w:eastAsia="方正黑体_GBK" w:cs="方正黑体_GBK"/>
          <w:b w:val="0"/>
          <w:bCs/>
          <w:color w:val="auto"/>
          <w:sz w:val="32"/>
          <w:szCs w:val="32"/>
          <w:highlight w:val="none"/>
        </w:rPr>
        <w:t>供应商提供资料清单</w:t>
      </w:r>
    </w:p>
    <w:p>
      <w:pPr>
        <w:spacing w:line="560" w:lineRule="exact"/>
        <w:ind w:firstLine="642" w:firstLineChars="20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spacing w:line="560" w:lineRule="exact"/>
        <w:ind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1.营业执照、事业法人证书、社会团体法人登记证书</w:t>
      </w:r>
      <w:r>
        <w:rPr>
          <w:rFonts w:hint="eastAsia" w:ascii="仿宋_GB2312" w:hAnsi="仿宋" w:eastAsia="仿宋_GB2312" w:cs="Times New Roman"/>
          <w:color w:val="auto"/>
          <w:sz w:val="32"/>
          <w:highlight w:val="none"/>
          <w:lang w:eastAsia="zh-CN"/>
        </w:rPr>
        <w:t>、相关许可证书</w:t>
      </w:r>
      <w:r>
        <w:rPr>
          <w:rFonts w:hint="eastAsia" w:ascii="仿宋_GB2312" w:hAnsi="仿宋" w:eastAsia="仿宋_GB2312" w:cs="Times New Roman"/>
          <w:color w:val="auto"/>
          <w:sz w:val="32"/>
          <w:highlight w:val="none"/>
        </w:rPr>
        <w:t>；</w:t>
      </w:r>
    </w:p>
    <w:p>
      <w:pPr>
        <w:spacing w:line="560" w:lineRule="exact"/>
        <w:ind w:firstLine="640" w:firstLineChars="200"/>
        <w:jc w:val="both"/>
        <w:rPr>
          <w:color w:val="auto"/>
          <w:sz w:val="32"/>
          <w:szCs w:val="32"/>
          <w:highlight w:val="none"/>
        </w:rPr>
      </w:pPr>
      <w:r>
        <w:rPr>
          <w:rFonts w:hint="eastAsia" w:ascii="仿宋_GB2312" w:hAnsi="仿宋" w:eastAsia="仿宋_GB2312" w:cs="Times New Roman"/>
          <w:color w:val="auto"/>
          <w:sz w:val="32"/>
          <w:szCs w:val="32"/>
          <w:highlight w:val="none"/>
        </w:rPr>
        <w:t>2.法定代表人身份证复印件；</w:t>
      </w:r>
    </w:p>
    <w:p>
      <w:pPr>
        <w:pStyle w:val="7"/>
        <w:spacing w:after="0" w:line="560" w:lineRule="exact"/>
        <w:ind w:left="0" w:leftChars="0" w:right="0" w:rightChars="0" w:firstLine="64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3.项目报价</w:t>
      </w:r>
      <w:r>
        <w:rPr>
          <w:rFonts w:hint="eastAsia" w:ascii="仿宋_GB2312" w:hAnsi="仿宋" w:eastAsia="仿宋_GB2312" w:cs="Times New Roman"/>
          <w:color w:val="auto"/>
          <w:sz w:val="32"/>
          <w:highlight w:val="none"/>
          <w:lang w:eastAsia="zh-CN"/>
        </w:rPr>
        <w:t>表</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b/>
          <w:bCs/>
          <w:color w:val="FF0000"/>
          <w:sz w:val="32"/>
          <w:highlight w:val="none"/>
          <w:lang w:eastAsia="zh-CN"/>
        </w:rPr>
        <w:t>需按格式提供</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color w:val="auto"/>
          <w:sz w:val="32"/>
          <w:highlight w:val="none"/>
        </w:rPr>
        <w:t>；</w:t>
      </w:r>
    </w:p>
    <w:p>
      <w:pPr>
        <w:pStyle w:val="7"/>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4.诚信承诺书（详见附件1）；</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kern w:val="2"/>
          <w:sz w:val="32"/>
          <w:szCs w:val="24"/>
          <w:highlight w:val="none"/>
          <w:lang w:val="en-US" w:eastAsia="zh-CN" w:bidi="ar-SA"/>
        </w:rPr>
        <w:t>5.填写《供应商基本情况表》（加盖单位公章，详见附件2），</w:t>
      </w:r>
      <w:r>
        <w:rPr>
          <w:rFonts w:hint="eastAsia" w:ascii="仿宋_GB2312" w:hAnsi="仿宋" w:eastAsia="仿宋_GB2312" w:cs="Times New Roman"/>
          <w:b/>
          <w:bCs/>
          <w:color w:val="auto"/>
          <w:kern w:val="2"/>
          <w:sz w:val="32"/>
          <w:szCs w:val="24"/>
          <w:highlight w:val="none"/>
          <w:lang w:val="en-US" w:eastAsia="zh-CN" w:bidi="ar-SA"/>
        </w:rPr>
        <w:t>并完整提交表格列明的供应商相关人员近</w:t>
      </w:r>
      <w:r>
        <w:rPr>
          <w:rFonts w:hint="eastAsia" w:ascii="仿宋_GB2312" w:hAnsi="仿宋" w:eastAsia="仿宋_GB2312" w:cs="Times New Roman"/>
          <w:b/>
          <w:bCs/>
          <w:color w:val="FF0000"/>
          <w:kern w:val="2"/>
          <w:sz w:val="32"/>
          <w:szCs w:val="24"/>
          <w:highlight w:val="none"/>
          <w:lang w:val="en-US" w:eastAsia="zh-CN" w:bidi="ar-SA"/>
        </w:rPr>
        <w:t>三</w:t>
      </w:r>
      <w:r>
        <w:rPr>
          <w:rFonts w:hint="eastAsia" w:ascii="仿宋_GB2312" w:hAnsi="仿宋" w:eastAsia="仿宋_GB2312" w:cs="Times New Roman"/>
          <w:b/>
          <w:bCs/>
          <w:color w:val="auto"/>
          <w:kern w:val="2"/>
          <w:sz w:val="32"/>
          <w:szCs w:val="24"/>
          <w:highlight w:val="none"/>
          <w:lang w:val="en-US" w:eastAsia="zh-CN" w:bidi="ar-SA"/>
        </w:rPr>
        <w:t>个月社保缴纳证明</w:t>
      </w:r>
      <w:r>
        <w:rPr>
          <w:rFonts w:hint="eastAsia" w:ascii="仿宋_GB2312" w:hAnsi="仿宋" w:eastAsia="仿宋_GB2312" w:cs="Times New Roman"/>
          <w:color w:val="auto"/>
          <w:kern w:val="2"/>
          <w:sz w:val="32"/>
          <w:szCs w:val="24"/>
          <w:highlight w:val="none"/>
          <w:lang w:val="en-US" w:eastAsia="zh-CN" w:bidi="ar-SA"/>
        </w:rPr>
        <w:t>；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kern w:val="2"/>
          <w:sz w:val="32"/>
          <w:szCs w:val="24"/>
          <w:highlight w:val="none"/>
          <w:lang w:val="en-US" w:eastAsia="zh-CN" w:bidi="ar-SA"/>
        </w:rPr>
        <w:t>投标人未完整按要求提供对应人员社保材料的，将作投标无效处理。</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6</w:t>
      </w:r>
      <w:r>
        <w:rPr>
          <w:rFonts w:hint="eastAsia" w:ascii="仿宋_GB2312" w:hAnsi="仿宋" w:eastAsia="仿宋_GB2312" w:cs="Times New Roman"/>
          <w:color w:val="auto"/>
          <w:sz w:val="32"/>
          <w:highlight w:val="none"/>
        </w:rPr>
        <w:t>.评分规则所需资料（同类业绩证明、方案等）；</w:t>
      </w:r>
    </w:p>
    <w:p>
      <w:pPr>
        <w:pStyle w:val="7"/>
        <w:spacing w:after="0" w:line="560" w:lineRule="exact"/>
        <w:ind w:left="0" w:leftChars="0" w:right="0" w:rightChars="0" w:firstLine="640"/>
        <w:jc w:val="both"/>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sz w:val="32"/>
          <w:highlight w:val="none"/>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color w:val="auto"/>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1.供应商须在</w:t>
      </w:r>
      <w:r>
        <w:rPr>
          <w:rFonts w:hint="default" w:ascii="仿宋_GB2312" w:hAnsi="仿宋" w:eastAsia="仿宋_GB2312" w:cs="Times New Roman"/>
          <w:color w:val="auto"/>
          <w:sz w:val="32"/>
          <w:highlight w:val="none"/>
          <w:lang w:val="en-US" w:eastAsia="zh-CN"/>
        </w:rPr>
        <w:t>深圳政府采购自行采购系统</w:t>
      </w:r>
      <w:r>
        <w:rPr>
          <w:rFonts w:hint="eastAsia" w:ascii="仿宋_GB2312" w:hAnsi="仿宋" w:eastAsia="仿宋_GB2312" w:cs="Times New Roman"/>
          <w:color w:val="auto"/>
          <w:kern w:val="2"/>
          <w:sz w:val="32"/>
          <w:szCs w:val="24"/>
          <w:highlight w:val="none"/>
          <w:lang w:val="en-US" w:eastAsia="zh-CN" w:bidi="ar-SA"/>
        </w:rPr>
        <w:t>完成注册（网址：https://zxcg.szggzy.com/home/index.html），请于本项目投标截止时间前完成注册，否则如中标/成交，可能影响采购结果的发布。</w:t>
      </w:r>
    </w:p>
    <w:p>
      <w:pPr>
        <w:pStyle w:val="7"/>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2.</w:t>
      </w:r>
      <w:r>
        <w:rPr>
          <w:rFonts w:hint="eastAsia" w:ascii="仿宋_GB2312" w:hAnsi="仿宋" w:eastAsia="仿宋_GB2312" w:cs="Times New Roman"/>
          <w:color w:val="auto"/>
          <w:sz w:val="32"/>
          <w:highlight w:val="none"/>
        </w:rPr>
        <w:t>供应商需</w:t>
      </w:r>
      <w:r>
        <w:rPr>
          <w:rFonts w:hint="eastAsia" w:ascii="仿宋_GB2312" w:hAnsi="仿宋" w:eastAsia="仿宋_GB2312" w:cs="Times New Roman"/>
          <w:color w:val="auto"/>
          <w:sz w:val="32"/>
          <w:highlight w:val="none"/>
          <w:lang w:val="en-US" w:eastAsia="zh-CN"/>
        </w:rPr>
        <w:t>以</w:t>
      </w:r>
      <w:r>
        <w:rPr>
          <w:rFonts w:hint="eastAsia" w:ascii="仿宋_GB2312" w:hAnsi="仿宋" w:eastAsia="仿宋_GB2312" w:cs="Times New Roman"/>
          <w:color w:val="auto"/>
          <w:sz w:val="32"/>
          <w:highlight w:val="none"/>
        </w:rPr>
        <w:t>邮寄</w:t>
      </w:r>
      <w:r>
        <w:rPr>
          <w:rFonts w:hint="eastAsia" w:ascii="仿宋_GB2312" w:hAnsi="仿宋" w:eastAsia="仿宋_GB2312" w:cs="Times New Roman"/>
          <w:color w:val="auto"/>
          <w:sz w:val="32"/>
          <w:highlight w:val="none"/>
          <w:lang w:val="en-US" w:eastAsia="zh-CN"/>
        </w:rPr>
        <w:t>方式提供</w:t>
      </w:r>
      <w:r>
        <w:rPr>
          <w:rFonts w:hint="eastAsia" w:ascii="仿宋_GB2312" w:hAnsi="仿宋" w:eastAsia="仿宋_GB2312" w:cs="Times New Roman"/>
          <w:color w:val="auto"/>
          <w:sz w:val="32"/>
          <w:highlight w:val="none"/>
        </w:rPr>
        <w:t>7份密封纸质版投标资料至本单位</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highlight w:val="none"/>
          <w:lang w:val="en-US" w:eastAsia="zh-CN"/>
        </w:rPr>
        <w:t>并在封面备注“一起</w:t>
      </w:r>
      <w:r>
        <w:rPr>
          <w:rFonts w:hint="eastAsia" w:ascii="仿宋_GB2312" w:hAnsi="仿宋_GB2312" w:eastAsia="仿宋_GB2312" w:cs="仿宋_GB2312"/>
          <w:color w:val="000000"/>
          <w:kern w:val="0"/>
          <w:sz w:val="32"/>
          <w:szCs w:val="32"/>
          <w:lang w:val="en-US" w:eastAsia="zh-CN"/>
        </w:rPr>
        <w:t>Play 2026年体育运动消费季暨嘉年华</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项目+公司全称+日期+联系人+联系方式”。</w:t>
      </w:r>
    </w:p>
    <w:p>
      <w:pPr>
        <w:pStyle w:val="7"/>
        <w:spacing w:after="0" w:line="560" w:lineRule="exact"/>
        <w:ind w:left="0" w:leftChars="0" w:right="0" w:rightChars="0"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地址：</w:t>
      </w:r>
      <w:bookmarkStart w:id="1" w:name="OLE_LINK5"/>
      <w:r>
        <w:rPr>
          <w:rFonts w:hint="eastAsia" w:ascii="仿宋_GB2312" w:hAnsi="仿宋" w:eastAsia="仿宋_GB2312" w:cs="Times New Roman"/>
          <w:color w:val="auto"/>
          <w:sz w:val="32"/>
          <w:highlight w:val="none"/>
        </w:rPr>
        <w:t>深圳市龙华区</w:t>
      </w:r>
      <w:r>
        <w:rPr>
          <w:rFonts w:hint="eastAsia" w:ascii="仿宋_GB2312" w:hAnsi="仿宋" w:eastAsia="仿宋_GB2312" w:cs="Times New Roman"/>
          <w:color w:val="auto"/>
          <w:sz w:val="32"/>
          <w:highlight w:val="none"/>
          <w:lang w:val="en-US" w:eastAsia="zh-CN"/>
        </w:rPr>
        <w:t>龙华街道</w:t>
      </w:r>
      <w:r>
        <w:rPr>
          <w:rFonts w:hint="eastAsia" w:ascii="仿宋_GB2312" w:hAnsi="仿宋" w:eastAsia="仿宋_GB2312" w:cs="Times New Roman"/>
          <w:color w:val="auto"/>
          <w:sz w:val="32"/>
          <w:highlight w:val="none"/>
        </w:rPr>
        <w:t>富康行政</w:t>
      </w:r>
      <w:r>
        <w:rPr>
          <w:rFonts w:hint="eastAsia" w:ascii="仿宋_GB2312" w:hAnsi="仿宋" w:eastAsia="仿宋_GB2312" w:cs="Times New Roman"/>
          <w:color w:val="auto"/>
          <w:sz w:val="32"/>
          <w:highlight w:val="none"/>
          <w:lang w:val="en-US" w:eastAsia="zh-CN"/>
        </w:rPr>
        <w:t>服务</w:t>
      </w:r>
      <w:r>
        <w:rPr>
          <w:rFonts w:hint="eastAsia" w:ascii="仿宋_GB2312" w:hAnsi="仿宋" w:eastAsia="仿宋_GB2312" w:cs="Times New Roman"/>
          <w:color w:val="auto"/>
          <w:sz w:val="32"/>
          <w:highlight w:val="none"/>
        </w:rPr>
        <w:t>办公区</w:t>
      </w:r>
      <w:bookmarkEnd w:id="1"/>
    </w:p>
    <w:p>
      <w:pPr>
        <w:pStyle w:val="19"/>
        <w:spacing w:line="560" w:lineRule="exact"/>
        <w:jc w:val="both"/>
        <w:rPr>
          <w:rFonts w:hint="eastAsia"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rPr>
        <w:t>收件人：吴先生</w:t>
      </w:r>
      <w:bookmarkStart w:id="2" w:name="_GoBack"/>
      <w:bookmarkEnd w:id="2"/>
    </w:p>
    <w:p>
      <w:pPr>
        <w:spacing w:line="560" w:lineRule="exact"/>
        <w:ind w:firstLine="640" w:firstLineChars="200"/>
        <w:jc w:val="both"/>
        <w:rPr>
          <w:rFonts w:hint="default" w:ascii="仿宋_GB2312" w:hAnsi="仿宋" w:eastAsia="仿宋_GB2312" w:cs="Times New Roman"/>
          <w:color w:val="auto"/>
          <w:sz w:val="32"/>
          <w:szCs w:val="22"/>
          <w:highlight w:val="none"/>
          <w:lang w:val="en-US"/>
        </w:rPr>
      </w:pPr>
      <w:r>
        <w:rPr>
          <w:rFonts w:hint="eastAsia" w:ascii="仿宋_GB2312" w:hAnsi="仿宋" w:eastAsia="仿宋_GB2312" w:cs="Times New Roman"/>
          <w:color w:val="auto"/>
          <w:sz w:val="32"/>
          <w:highlight w:val="none"/>
        </w:rPr>
        <w:t>联系方式</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szCs w:val="22"/>
          <w:highlight w:val="none"/>
        </w:rPr>
        <w:t>0755-23338</w:t>
      </w:r>
      <w:r>
        <w:rPr>
          <w:rFonts w:hint="default" w:ascii="仿宋_GB2312" w:hAnsi="仿宋" w:eastAsia="仿宋_GB2312" w:cs="Times New Roman"/>
          <w:color w:val="auto"/>
          <w:sz w:val="32"/>
          <w:szCs w:val="22"/>
          <w:highlight w:val="none"/>
          <w:lang w:val="en-US"/>
        </w:rPr>
        <w:t>032</w:t>
      </w:r>
    </w:p>
    <w:p>
      <w:pPr>
        <w:pStyle w:val="7"/>
        <w:spacing w:after="0" w:line="560" w:lineRule="exact"/>
        <w:ind w:left="0" w:leftChars="0" w:right="0" w:rightChars="0" w:firstLine="640"/>
        <w:rPr>
          <w:rFonts w:hint="default" w:ascii="仿宋_GB2312" w:hAnsi="仿宋" w:eastAsia="仿宋_GB2312" w:cs="Times New Roman"/>
          <w:b/>
          <w:bCs/>
          <w:color w:val="auto"/>
          <w:sz w:val="30"/>
          <w:szCs w:val="30"/>
          <w:highlight w:val="yellow"/>
          <w:lang w:val="en-US"/>
        </w:rPr>
      </w:pPr>
    </w:p>
    <w:p>
      <w:pPr>
        <w:pStyle w:val="19"/>
        <w:spacing w:line="560" w:lineRule="exact"/>
        <w:ind w:firstLine="0" w:firstLineChars="0"/>
        <w:jc w:val="both"/>
        <w:rPr>
          <w:rFonts w:hint="default" w:ascii="黑体" w:hAnsi="黑体" w:eastAsia="黑体" w:cs="黑体"/>
          <w:color w:val="auto"/>
          <w:sz w:val="32"/>
          <w:szCs w:val="32"/>
          <w:highlight w:val="none"/>
          <w:lang w:val="en-US" w:eastAsia="zh-CN"/>
        </w:rPr>
      </w:pPr>
      <w:r>
        <w:rPr>
          <w:rFonts w:ascii="仿宋_GB2312" w:hAnsi="仿宋" w:eastAsia="仿宋_GB2312" w:cs="Times New Roman"/>
          <w:color w:val="auto"/>
          <w:sz w:val="32"/>
          <w:highlight w:val="none"/>
        </w:rPr>
        <w:br w:type="page"/>
      </w: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pPr>
        <w:pStyle w:val="3"/>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color w:val="auto"/>
          <w:highlight w:val="none"/>
          <w:lang w:val="en-US" w:eastAsia="zh-CN"/>
        </w:rPr>
      </w:pPr>
    </w:p>
    <w:p>
      <w:pPr>
        <w:pStyle w:val="6"/>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pStyle w:val="19"/>
        <w:spacing w:line="560" w:lineRule="exact"/>
        <w:ind w:firstLine="0" w:firstLineChars="0"/>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pPr>
        <w:pStyle w:val="11"/>
        <w:snapToGrid w:val="0"/>
        <w:spacing w:before="0" w:after="0" w:line="560" w:lineRule="exact"/>
        <w:jc w:val="center"/>
        <w:rPr>
          <w:rFonts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供应商基本情况表</w:t>
      </w:r>
    </w:p>
    <w:p>
      <w:pPr>
        <w:spacing w:line="560" w:lineRule="exact"/>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填表单位：（加盖单位公章）</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trPr>
        <w:tc>
          <w:tcPr>
            <w:tcW w:w="2356"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采购人</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项目名称</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投标（响应）供应商</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供应商统一社会信用代码</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职务</w:t>
            </w:r>
          </w:p>
        </w:tc>
        <w:tc>
          <w:tcPr>
            <w:tcW w:w="1270"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姓名</w:t>
            </w:r>
          </w:p>
        </w:tc>
        <w:tc>
          <w:tcPr>
            <w:tcW w:w="199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身份证号码</w:t>
            </w:r>
          </w:p>
        </w:tc>
        <w:tc>
          <w:tcPr>
            <w:tcW w:w="1500"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劳动合同</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关系单位</w:t>
            </w:r>
          </w:p>
        </w:tc>
        <w:tc>
          <w:tcPr>
            <w:tcW w:w="2145"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缴纳社会</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3</w:t>
            </w:r>
          </w:p>
        </w:tc>
        <w:tc>
          <w:tcPr>
            <w:tcW w:w="2345"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项目负责人</w:t>
            </w:r>
          </w:p>
        </w:tc>
        <w:tc>
          <w:tcPr>
            <w:tcW w:w="127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4</w:t>
            </w:r>
          </w:p>
        </w:tc>
        <w:tc>
          <w:tcPr>
            <w:tcW w:w="2345"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主要技术人员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w:t>
            </w:r>
          </w:p>
        </w:tc>
        <w:tc>
          <w:tcPr>
            <w:tcW w:w="2345" w:type="dxa"/>
            <w:gridSpan w:val="2"/>
            <w:noWrap w:val="0"/>
            <w:vAlign w:val="center"/>
          </w:tcPr>
          <w:p>
            <w:pPr>
              <w:pStyle w:val="4"/>
              <w:snapToGrid w:val="0"/>
              <w:spacing w:line="240" w:lineRule="auto"/>
              <w:ind w:firstLine="0" w:firstLineChars="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投标文件编制人员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1" w:hRule="atLeast"/>
        </w:trPr>
        <w:tc>
          <w:tcPr>
            <w:tcW w:w="10545" w:type="dxa"/>
            <w:gridSpan w:val="8"/>
            <w:noWrap w:val="0"/>
            <w:vAlign w:val="center"/>
          </w:tcPr>
          <w:p>
            <w:pPr>
              <w:jc w:val="both"/>
              <w:rPr>
                <w:rFonts w:ascii="方正仿宋_GBK" w:hAnsi="方正仿宋_GBK" w:eastAsia="方正仿宋_GBK" w:cs="方正仿宋_GBK"/>
                <w:b/>
                <w:bCs/>
                <w:color w:val="auto"/>
                <w:sz w:val="24"/>
                <w:highlight w:val="none"/>
              </w:rPr>
            </w:pPr>
            <w:r>
              <w:rPr>
                <w:rFonts w:hint="eastAsia" w:ascii="方正仿宋_GBK" w:hAnsi="方正仿宋_GBK" w:eastAsia="方正仿宋_GBK" w:cs="方正仿宋_GBK"/>
                <w:b/>
                <w:bCs/>
                <w:color w:val="auto"/>
                <w:sz w:val="24"/>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关联关系类型</w:t>
            </w:r>
          </w:p>
        </w:tc>
        <w:tc>
          <w:tcPr>
            <w:tcW w:w="206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关联主体名称</w:t>
            </w:r>
          </w:p>
        </w:tc>
        <w:tc>
          <w:tcPr>
            <w:tcW w:w="4845" w:type="dxa"/>
            <w:gridSpan w:val="3"/>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18"/>
                <w:szCs w:val="18"/>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说明：同一关联关系类型有多个主体的，应分行填写。</w:t>
            </w:r>
          </w:p>
        </w:tc>
      </w:tr>
    </w:tbl>
    <w:p>
      <w:pPr>
        <w:rPr>
          <w:rFonts w:hint="default"/>
          <w:color w:val="auto"/>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仿宋_GB2312"/>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C871352"/>
    <w:rsid w:val="16EB8C75"/>
    <w:rsid w:val="1BFABADF"/>
    <w:rsid w:val="1D6FD25E"/>
    <w:rsid w:val="37CB1FD1"/>
    <w:rsid w:val="3BDFFA67"/>
    <w:rsid w:val="3D5FDCFC"/>
    <w:rsid w:val="3F1F3B18"/>
    <w:rsid w:val="3F7D16C5"/>
    <w:rsid w:val="4B002686"/>
    <w:rsid w:val="4EF25A65"/>
    <w:rsid w:val="57F689EF"/>
    <w:rsid w:val="5B9F6139"/>
    <w:rsid w:val="5DD84F45"/>
    <w:rsid w:val="5F2BE56A"/>
    <w:rsid w:val="5FFFFD83"/>
    <w:rsid w:val="6CFFD566"/>
    <w:rsid w:val="6D777C52"/>
    <w:rsid w:val="6FC72380"/>
    <w:rsid w:val="6FFBCE6F"/>
    <w:rsid w:val="73FB884D"/>
    <w:rsid w:val="75ADC840"/>
    <w:rsid w:val="773E6F28"/>
    <w:rsid w:val="77FABDDE"/>
    <w:rsid w:val="7BD3E33C"/>
    <w:rsid w:val="7BED2941"/>
    <w:rsid w:val="7BF7E217"/>
    <w:rsid w:val="7CF931CB"/>
    <w:rsid w:val="7D9F3A20"/>
    <w:rsid w:val="7DCAB5DF"/>
    <w:rsid w:val="7DD39989"/>
    <w:rsid w:val="7E9F479A"/>
    <w:rsid w:val="7FBBE55B"/>
    <w:rsid w:val="7FED79C5"/>
    <w:rsid w:val="9C7BCCEF"/>
    <w:rsid w:val="9EFFBBA7"/>
    <w:rsid w:val="9FF753B3"/>
    <w:rsid w:val="9FF76098"/>
    <w:rsid w:val="B6CFF39D"/>
    <w:rsid w:val="BA73DD41"/>
    <w:rsid w:val="BB7BD15D"/>
    <w:rsid w:val="BBFF548B"/>
    <w:rsid w:val="CB3749E5"/>
    <w:rsid w:val="CEAEA899"/>
    <w:rsid w:val="CF5F878D"/>
    <w:rsid w:val="CFBF5C16"/>
    <w:rsid w:val="D47E0436"/>
    <w:rsid w:val="DEB7FE68"/>
    <w:rsid w:val="DF5C44CD"/>
    <w:rsid w:val="DFBE33D5"/>
    <w:rsid w:val="DFFF01B5"/>
    <w:rsid w:val="DFFF69F1"/>
    <w:rsid w:val="E376E1AF"/>
    <w:rsid w:val="E77E6E49"/>
    <w:rsid w:val="EEE7D765"/>
    <w:rsid w:val="EFDFFD73"/>
    <w:rsid w:val="EFEEAA5D"/>
    <w:rsid w:val="EFF64497"/>
    <w:rsid w:val="EFFBB246"/>
    <w:rsid w:val="F789FC22"/>
    <w:rsid w:val="FBE8A678"/>
    <w:rsid w:val="FDEE9C45"/>
    <w:rsid w:val="FDFFDEC4"/>
    <w:rsid w:val="FEBF7D5D"/>
    <w:rsid w:val="FF5D0031"/>
    <w:rsid w:val="FF5F1B0D"/>
    <w:rsid w:val="FF678BA9"/>
    <w:rsid w:val="FFBFB86A"/>
    <w:rsid w:val="FFEF2FC6"/>
    <w:rsid w:val="FFFB3524"/>
    <w:rsid w:val="FFFF2E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3"/>
    <w:next w:val="1"/>
    <w:qFormat/>
    <w:uiPriority w:val="9"/>
    <w:pPr>
      <w:spacing w:before="260" w:after="260" w:line="240" w:lineRule="auto"/>
      <w:outlineLvl w:val="2"/>
    </w:pPr>
    <w:rPr>
      <w:rFonts w:ascii="宋体" w:hAnsi="宋体" w:eastAsia="宋体"/>
      <w:szCs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Body Text 2"/>
    <w:basedOn w:val="1"/>
    <w:qFormat/>
    <w:uiPriority w:val="0"/>
    <w:pPr>
      <w:spacing w:line="360" w:lineRule="auto"/>
    </w:pPr>
    <w:rPr>
      <w:sz w:val="24"/>
    </w:rPr>
  </w:style>
  <w:style w:type="paragraph" w:styleId="10">
    <w:name w:val="Normal (Web)"/>
    <w:basedOn w:val="1"/>
    <w:qFormat/>
    <w:uiPriority w:val="99"/>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_Style 3"/>
    <w:basedOn w:val="1"/>
    <w:next w:val="1"/>
    <w:qFormat/>
    <w:uiPriority w:val="99"/>
    <w:pPr>
      <w:spacing w:line="360" w:lineRule="auto"/>
      <w:ind w:firstLine="420" w:firstLineChars="200"/>
    </w:pPr>
  </w:style>
  <w:style w:type="paragraph" w:styleId="16">
    <w:name w:val="List Paragraph"/>
    <w:basedOn w:val="17"/>
    <w:qFormat/>
    <w:uiPriority w:val="34"/>
    <w:pPr>
      <w:ind w:firstLine="420" w:firstLineChars="200"/>
    </w:pPr>
  </w:style>
  <w:style w:type="paragraph" w:customStyle="1" w:styleId="17">
    <w:name w:val="星耀正文"/>
    <w:basedOn w:val="1"/>
    <w:qFormat/>
    <w:uiPriority w:val="3"/>
    <w:pPr>
      <w:ind w:firstLine="422" w:firstLineChars="200"/>
    </w:pPr>
    <w:rPr>
      <w:rFonts w:ascii="宋体" w:hAnsi="宋体" w:eastAsia="仿宋_GB2312"/>
      <w:bCs/>
    </w:rPr>
  </w:style>
  <w:style w:type="paragraph" w:customStyle="1" w:styleId="18">
    <w:name w:val="USE 1"/>
    <w:basedOn w:val="1"/>
    <w:qFormat/>
    <w:uiPriority w:val="0"/>
    <w:pPr>
      <w:spacing w:line="200" w:lineRule="atLeast"/>
      <w:jc w:val="left"/>
    </w:pPr>
    <w:rPr>
      <w:rFonts w:ascii="宋体" w:hAnsi="宋体"/>
      <w:b/>
      <w:sz w:val="24"/>
      <w:szCs w:val="28"/>
    </w:rPr>
  </w:style>
  <w:style w:type="paragraph" w:customStyle="1" w:styleId="19">
    <w:name w:val="l正文"/>
    <w:basedOn w:val="1"/>
    <w:qFormat/>
    <w:uiPriority w:val="0"/>
    <w:pPr>
      <w:spacing w:line="300" w:lineRule="auto"/>
      <w:ind w:firstLine="200" w:firstLineChars="200"/>
      <w:jc w:val="left"/>
    </w:pPr>
    <w:rPr>
      <w:rFonts w:ascii="楷体_GB2312" w:hAnsi="Times" w:eastAsia="楷体_GB2312" w:cs="等线"/>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4981</Words>
  <Characters>5287</Characters>
  <Lines>0</Lines>
  <Paragraphs>0</Paragraphs>
  <TotalTime>6</TotalTime>
  <ScaleCrop>false</ScaleCrop>
  <LinksUpToDate>false</LinksUpToDate>
  <CharactersWithSpaces>5417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2025-04-28T17:16:00Z</dcterms:created>
  <dc:creator>yang</dc:creator>
  <cp:lastModifiedBy>lxy</cp:lastModifiedBy>
  <cp:lastPrinted>2026-08-12T01:02:00Z</cp:lastPrinted>
  <dcterms:modified xsi:type="dcterms:W3CDTF">2026-08-13T17:29:53Z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94503D16F25F368974F46A6A54440B75</vt:lpwstr>
  </property>
</Properties>
</file>