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方正小标宋简体" w:hAnsi="方正小标宋简体" w:eastAsia="方正小标宋简体" w:cs="方正小标宋简体"/>
          <w:b w:val="0"/>
          <w:bCs w:val="0"/>
          <w:color w:val="auto"/>
          <w:kern w:val="0"/>
          <w:sz w:val="44"/>
          <w:szCs w:val="44"/>
          <w:highlight w:val="none"/>
          <w:lang w:val="en-US" w:eastAsia="zh-CN" w:bidi="ar-SA"/>
        </w:rPr>
      </w:pPr>
      <w:r>
        <w:rPr>
          <w:rFonts w:hint="eastAsia" w:ascii="方正小标宋简体" w:hAnsi="方正小标宋简体" w:eastAsia="方正小标宋简体" w:cs="方正小标宋简体"/>
          <w:b w:val="0"/>
          <w:bCs w:val="0"/>
          <w:color w:val="auto"/>
          <w:kern w:val="0"/>
          <w:sz w:val="44"/>
          <w:szCs w:val="44"/>
          <w:highlight w:val="none"/>
          <w:lang w:val="en-US" w:eastAsia="zh-CN" w:bidi="ar-SA"/>
        </w:rPr>
        <w:t>龙华区民政局社会救助领域购买社会工作</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b w:val="0"/>
          <w:bCs w:val="0"/>
          <w:color w:val="auto"/>
          <w:kern w:val="0"/>
          <w:sz w:val="44"/>
          <w:szCs w:val="44"/>
          <w:highlight w:val="none"/>
          <w:lang w:val="en-US" w:eastAsia="zh-CN" w:bidi="ar-SA"/>
        </w:rPr>
        <w:t>服务项目</w:t>
      </w:r>
      <w:r>
        <w:rPr>
          <w:rFonts w:hint="eastAsia" w:ascii="方正小标宋简体" w:hAnsi="方正小标宋简体" w:eastAsia="方正小标宋简体" w:cs="方正小标宋简体"/>
          <w:sz w:val="44"/>
          <w:szCs w:val="44"/>
        </w:rPr>
        <w:t>需求书</w:t>
      </w:r>
    </w:p>
    <w:p>
      <w:pPr>
        <w:bidi w:val="0"/>
      </w:pPr>
    </w:p>
    <w:p>
      <w:pPr>
        <w:keepNext w:val="0"/>
        <w:keepLines w:val="0"/>
        <w:pageBreakBefore w:val="0"/>
        <w:numPr>
          <w:ilvl w:val="0"/>
          <w:numId w:val="0"/>
        </w:numPr>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黑体" w:hAnsi="黑体" w:eastAsia="黑体" w:cs="黑体"/>
          <w:bCs/>
          <w:sz w:val="32"/>
          <w:szCs w:val="32"/>
        </w:rPr>
      </w:pPr>
      <w:r>
        <w:rPr>
          <w:rFonts w:hint="eastAsia" w:ascii="黑体" w:hAnsi="黑体" w:eastAsia="黑体" w:cs="黑体"/>
          <w:bCs/>
          <w:sz w:val="32"/>
          <w:szCs w:val="32"/>
          <w:lang w:eastAsia="zh-CN"/>
        </w:rPr>
        <w:t>一、</w:t>
      </w:r>
      <w:r>
        <w:rPr>
          <w:rFonts w:hint="eastAsia" w:ascii="黑体" w:hAnsi="黑体" w:eastAsia="黑体" w:cs="黑体"/>
          <w:bCs/>
          <w:sz w:val="32"/>
          <w:szCs w:val="32"/>
        </w:rPr>
        <w:t>项目目标</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为深入贯彻中央、省、市关于基本民生保障的重要指示批示精神，全面落实区委、区政府关于扎实稳住经济、保障困难群众基本生活的工作部署，通过社工机构及社会工作者介入弱势群体救助工作，达到有效救助、精准救助的目的和成效，进一步加强辖区生活无着流浪乞讨人员等救助管理工作。</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rPr>
        <w:t>二、</w:t>
      </w:r>
      <w:r>
        <w:rPr>
          <w:rFonts w:hint="eastAsia" w:ascii="黑体" w:hAnsi="黑体" w:eastAsia="黑体" w:cs="黑体"/>
          <w:bCs/>
          <w:sz w:val="32"/>
          <w:szCs w:val="32"/>
          <w:lang w:eastAsia="zh-CN"/>
        </w:rPr>
        <w:t>服务时间</w:t>
      </w:r>
    </w:p>
    <w:p>
      <w:pPr>
        <w:pStyle w:val="9"/>
        <w:keepNext w:val="0"/>
        <w:keepLines w:val="0"/>
        <w:pageBreakBefore w:val="0"/>
        <w:kinsoku/>
        <w:wordWrap/>
        <w:overflowPunct/>
        <w:topLinePunct w:val="0"/>
        <w:autoSpaceDE/>
        <w:autoSpaceDN/>
        <w:bidi w:val="0"/>
        <w:spacing w:after="0" w:line="560" w:lineRule="exact"/>
        <w:ind w:left="0" w:leftChars="0" w:right="0" w:rightChars="0" w:firstLine="640" w:firstLineChars="200"/>
        <w:jc w:val="left"/>
        <w:textAlignment w:val="auto"/>
        <w:rPr>
          <w:rFonts w:hint="default" w:ascii="仿宋_GB2312" w:hAnsi="仿宋_GB2312" w:eastAsia="仿宋_GB2312" w:cs="仿宋_GB2312"/>
          <w:sz w:val="32"/>
          <w:szCs w:val="36"/>
          <w:lang w:val="en-US" w:eastAsia="zh-CN"/>
        </w:rPr>
      </w:pPr>
      <w:r>
        <w:rPr>
          <w:rFonts w:hint="eastAsia" w:ascii="仿宋_GB2312" w:hAnsi="仿宋_GB2312" w:eastAsia="仿宋_GB2312" w:cs="仿宋_GB2312"/>
          <w:sz w:val="32"/>
          <w:szCs w:val="36"/>
          <w:lang w:val="en-US" w:eastAsia="zh-CN"/>
        </w:rPr>
        <w:t>2026</w:t>
      </w:r>
      <w:r>
        <w:rPr>
          <w:rFonts w:hint="eastAsia" w:ascii="仿宋_GB2312" w:hAnsi="仿宋_GB2312" w:eastAsia="仿宋_GB2312" w:cs="仿宋_GB2312"/>
          <w:sz w:val="32"/>
          <w:szCs w:val="36"/>
        </w:rPr>
        <w:t>年</w:t>
      </w:r>
      <w:r>
        <w:rPr>
          <w:rFonts w:hint="eastAsia" w:ascii="仿宋_GB2312" w:hAnsi="仿宋_GB2312" w:eastAsia="仿宋_GB2312" w:cs="仿宋_GB2312"/>
          <w:sz w:val="32"/>
          <w:szCs w:val="36"/>
          <w:lang w:val="en-US" w:eastAsia="zh-CN"/>
        </w:rPr>
        <w:t>9</w:t>
      </w:r>
      <w:r>
        <w:rPr>
          <w:rFonts w:hint="eastAsia" w:ascii="仿宋_GB2312" w:hAnsi="仿宋_GB2312" w:eastAsia="仿宋_GB2312" w:cs="仿宋_GB2312"/>
          <w:sz w:val="32"/>
          <w:szCs w:val="36"/>
        </w:rPr>
        <w:t>月</w:t>
      </w:r>
      <w:r>
        <w:rPr>
          <w:rFonts w:hint="eastAsia" w:ascii="仿宋_GB2312" w:hAnsi="仿宋_GB2312" w:eastAsia="仿宋_GB2312" w:cs="仿宋_GB2312"/>
          <w:sz w:val="32"/>
          <w:szCs w:val="36"/>
          <w:lang w:val="en-US" w:eastAsia="zh-CN"/>
        </w:rPr>
        <w:t>19日</w:t>
      </w:r>
      <w:r>
        <w:rPr>
          <w:rFonts w:hint="eastAsia" w:ascii="仿宋_GB2312" w:hAnsi="仿宋_GB2312" w:eastAsia="仿宋_GB2312" w:cs="仿宋_GB2312"/>
          <w:sz w:val="32"/>
          <w:szCs w:val="36"/>
        </w:rPr>
        <w:t>-</w:t>
      </w:r>
      <w:r>
        <w:rPr>
          <w:rFonts w:hint="eastAsia" w:ascii="仿宋_GB2312" w:hAnsi="仿宋_GB2312" w:eastAsia="仿宋_GB2312" w:cs="仿宋_GB2312"/>
          <w:sz w:val="32"/>
          <w:szCs w:val="36"/>
          <w:lang w:val="en-US" w:eastAsia="zh-CN"/>
        </w:rPr>
        <w:t>2027年9</w:t>
      </w:r>
      <w:r>
        <w:rPr>
          <w:rFonts w:hint="eastAsia" w:ascii="仿宋_GB2312" w:hAnsi="仿宋_GB2312" w:eastAsia="仿宋_GB2312" w:cs="仿宋_GB2312"/>
          <w:sz w:val="32"/>
          <w:szCs w:val="36"/>
        </w:rPr>
        <w:t>月</w:t>
      </w:r>
      <w:r>
        <w:rPr>
          <w:rFonts w:hint="eastAsia" w:ascii="仿宋_GB2312" w:hAnsi="仿宋_GB2312" w:eastAsia="仿宋_GB2312" w:cs="仿宋_GB2312"/>
          <w:sz w:val="32"/>
          <w:szCs w:val="36"/>
          <w:lang w:val="en-US" w:eastAsia="zh-CN"/>
        </w:rPr>
        <w:t>18日，合同执行完成须由采购方对项目执行情况进行验收，中标人须提交项目总结报告等技术文档及服务过程资料。如政策调整或变动，可依据政策进行调整。</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rPr>
        <w:t>三、</w:t>
      </w:r>
      <w:bookmarkStart w:id="0" w:name="OLE_LINK2"/>
      <w:r>
        <w:rPr>
          <w:rFonts w:hint="eastAsia" w:ascii="黑体" w:hAnsi="黑体" w:eastAsia="黑体" w:cs="黑体"/>
          <w:bCs/>
          <w:sz w:val="32"/>
          <w:szCs w:val="32"/>
          <w:lang w:eastAsia="zh-CN"/>
        </w:rPr>
        <w:t>人员配备</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（一）取得助理社工师/社工师资格证书，大专以上学历。由中标服务供应商为服务购买单位派遣3名社工(专职人员）从事社会救助服务工作；</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（二）尊重服务对象的自决权、隐私权、知情权，保护其利益，接纳服务对象；</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（三）能运用专业方法和技巧，为服务对象解决实际问题，为相关工作出谋划策；</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（四）具有良好的人际沟通能力、语言表达能力及公文写作能力；</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（五）热爱社会工作，具有社会责任感和敬业精神，遵守职业操守及管理制度。</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楷体_GB2312" w:hAnsi="楷体_GB2312" w:eastAsia="楷体_GB2312" w:cs="楷体_GB2312"/>
          <w:color w:val="auto"/>
          <w:sz w:val="32"/>
          <w:szCs w:val="40"/>
          <w:highlight w:val="none"/>
          <w:lang w:eastAsia="zh-CN"/>
        </w:rPr>
      </w:pPr>
      <w:r>
        <w:rPr>
          <w:rFonts w:hint="eastAsia" w:ascii="黑体" w:hAnsi="黑体" w:eastAsia="黑体" w:cs="黑体"/>
          <w:bCs/>
          <w:sz w:val="32"/>
          <w:szCs w:val="32"/>
          <w:lang w:eastAsia="zh-CN"/>
        </w:rPr>
        <w:t>四、</w:t>
      </w:r>
      <w:r>
        <w:rPr>
          <w:rFonts w:hint="eastAsia" w:ascii="黑体" w:hAnsi="黑体" w:eastAsia="黑体" w:cs="黑体"/>
          <w:bCs/>
          <w:sz w:val="32"/>
          <w:szCs w:val="32"/>
        </w:rPr>
        <w:t>项目内容</w:t>
      </w:r>
      <w:bookmarkEnd w:id="0"/>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（一）从事龙华区流浪乞讨人员巡查、救助、关爱帮扶工作，为服务对象提供个案服务、资源链接、心理辅导等专业社工服务。</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（二）宣传、贯彻、执行关于流浪乞讨人员救助工作的各项法律、规章、制度和文件精神，主动接受社会监督。</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（三）协助辖区内各项流浪乞讨人员救助工作的调查、处置工作。</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（四）按要求负责收集流浪乞讨人员救助工作各种文件、报表和相关材料，整理归档。</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（五）协助购买服务单位交待的其他事项。</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黑体" w:hAnsi="黑体" w:eastAsia="黑体" w:cs="黑体"/>
          <w:bCs/>
          <w:sz w:val="32"/>
          <w:szCs w:val="32"/>
          <w:lang w:eastAsia="zh-CN"/>
        </w:rPr>
      </w:pPr>
      <w:r>
        <w:rPr>
          <w:rFonts w:hint="eastAsia" w:ascii="黑体" w:hAnsi="黑体" w:eastAsia="黑体" w:cs="黑体"/>
          <w:bCs/>
          <w:sz w:val="32"/>
          <w:szCs w:val="32"/>
          <w:lang w:eastAsia="zh-CN"/>
        </w:rPr>
        <w:t>五、项目考核标准</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（一）购买主体角度考核：及时提供社工服务；提供服务的时间符合要求；配备的成员符合要求等合同约定事项的执行情况。</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（二）直接服务对象角度考核：服务对象满意度等。</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仿宋_GB2312" w:hAnsi="仿宋_GB2312" w:eastAsia="仿宋_GB2312" w:cs="仿宋_GB2312"/>
          <w:kern w:val="2"/>
          <w:sz w:val="32"/>
          <w:szCs w:val="36"/>
          <w:lang w:val="en-US" w:eastAsia="zh-CN" w:bidi="ar-SA"/>
        </w:rPr>
      </w:pPr>
      <w:r>
        <w:rPr>
          <w:rFonts w:hint="eastAsia" w:ascii="仿宋_GB2312" w:hAnsi="仿宋_GB2312" w:eastAsia="仿宋_GB2312" w:cs="仿宋_GB2312"/>
          <w:kern w:val="2"/>
          <w:sz w:val="32"/>
          <w:szCs w:val="36"/>
          <w:lang w:val="en-US" w:eastAsia="zh-CN" w:bidi="ar-SA"/>
        </w:rPr>
        <w:t>（三）其他：包括项目服务合同确定的项目服务指标量。</w:t>
      </w:r>
    </w:p>
    <w:p>
      <w:pPr>
        <w:keepNext w:val="0"/>
        <w:keepLines w:val="0"/>
        <w:pageBreakBefore w:val="0"/>
        <w:tabs>
          <w:tab w:val="left" w:pos="1820"/>
        </w:tabs>
        <w:kinsoku/>
        <w:wordWrap/>
        <w:overflowPunct/>
        <w:topLinePunct w:val="0"/>
        <w:autoSpaceDE/>
        <w:autoSpaceDN/>
        <w:bidi w:val="0"/>
        <w:snapToGrid w:val="0"/>
        <w:spacing w:line="560" w:lineRule="exact"/>
        <w:ind w:firstLine="640" w:firstLineChars="200"/>
        <w:jc w:val="left"/>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六、采购金额</w:t>
      </w:r>
    </w:p>
    <w:p>
      <w:pPr>
        <w:spacing w:line="560" w:lineRule="exact"/>
        <w:ind w:firstLine="640" w:firstLineChars="200"/>
        <w:jc w:val="left"/>
      </w:pPr>
      <w:r>
        <w:rPr>
          <w:rFonts w:hint="eastAsia" w:ascii="仿宋_GB2312" w:hAnsi="仿宋_GB2312" w:eastAsia="仿宋_GB2312" w:cs="仿宋_GB2312"/>
          <w:b w:val="0"/>
          <w:bCs w:val="0"/>
          <w:color w:val="auto"/>
          <w:sz w:val="32"/>
          <w:szCs w:val="32"/>
          <w:highlight w:val="none"/>
          <w:lang w:val="en-US" w:eastAsia="zh-CN"/>
        </w:rPr>
        <w:t>本项目采用固定总价人民币46.455万元（大写肆拾陆万肆仟伍佰伍拾元整）采购，其中项目人力成本不少于项目经费的85%。项目其他经费不高于项目经费的15%，包括督导经费、服务险、人员培训费、管理费、税费等，</w:t>
      </w:r>
      <w:r>
        <w:rPr>
          <w:rFonts w:hint="eastAsia" w:ascii="仿宋_GB2312" w:hAnsi="仿宋_GB2312" w:eastAsia="仿宋_GB2312" w:cs="仿宋_GB2312"/>
          <w:b/>
          <w:bCs/>
          <w:sz w:val="32"/>
          <w:szCs w:val="32"/>
        </w:rPr>
        <w:t>项目报价表</w:t>
      </w:r>
      <w:r>
        <w:rPr>
          <w:rFonts w:hint="eastAsia" w:ascii="仿宋_GB2312" w:hAnsi="仿宋_GB2312" w:eastAsia="仿宋_GB2312" w:cs="仿宋_GB2312"/>
          <w:sz w:val="32"/>
          <w:szCs w:val="32"/>
        </w:rPr>
        <w:t>需与下表保持一致：</w:t>
      </w:r>
    </w:p>
    <w:tbl>
      <w:tblPr>
        <w:tblStyle w:val="16"/>
        <w:tblW w:w="555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vAlign w:val="center"/>
          </w:tcPr>
          <w:p>
            <w:pPr>
              <w:pStyle w:val="9"/>
              <w:keepNext w:val="0"/>
              <w:keepLines w:val="0"/>
              <w:suppressLineNumbers w:val="0"/>
              <w:spacing w:before="0" w:beforeAutospacing="0" w:after="0" w:afterAutospacing="0" w:line="560" w:lineRule="exact"/>
              <w:ind w:left="0" w:leftChars="0" w:right="0" w:rightChars="0"/>
              <w:jc w:val="center"/>
              <w:rPr>
                <w:rFonts w:hint="eastAsia" w:ascii="仿宋_GB2312" w:hAnsi="仿宋_GB2312" w:eastAsia="仿宋_GB2312" w:cs="仿宋_GB2312"/>
                <w:sz w:val="32"/>
                <w:szCs w:val="32"/>
              </w:rPr>
            </w:pPr>
            <w:r>
              <w:rPr>
                <w:rFonts w:hint="eastAsia" w:ascii="仿宋_GB2312" w:hAnsi="仿宋_GB2312" w:eastAsia="仿宋_GB2312" w:cs="仿宋_GB2312"/>
                <w:sz w:val="40"/>
                <w:szCs w:val="40"/>
              </w:rPr>
              <w:t>龙华区民政局社会救助领域购买社会工作服务项目</w:t>
            </w:r>
          </w:p>
        </w:tc>
      </w:tr>
    </w:tbl>
    <w:tbl>
      <w:tblPr>
        <w:tblStyle w:val="15"/>
        <w:tblW w:w="5555" w:type="pct"/>
        <w:jc w:val="center"/>
        <w:tblLayout w:type="fixed"/>
        <w:tblCellMar>
          <w:top w:w="0" w:type="dxa"/>
          <w:left w:w="108" w:type="dxa"/>
          <w:bottom w:w="0" w:type="dxa"/>
          <w:right w:w="108" w:type="dxa"/>
        </w:tblCellMar>
      </w:tblPr>
      <w:tblGrid>
        <w:gridCol w:w="581"/>
        <w:gridCol w:w="5109"/>
        <w:gridCol w:w="1399"/>
        <w:gridCol w:w="2978"/>
      </w:tblGrid>
      <w:tr>
        <w:tblPrEx>
          <w:tblCellMar>
            <w:top w:w="0" w:type="dxa"/>
            <w:left w:w="108" w:type="dxa"/>
            <w:bottom w:w="0" w:type="dxa"/>
            <w:right w:w="108" w:type="dxa"/>
          </w:tblCellMar>
        </w:tblPrEx>
        <w:trPr>
          <w:trHeight w:val="1203" w:hRule="atLeast"/>
          <w:jc w:val="center"/>
        </w:trPr>
        <w:tc>
          <w:tcPr>
            <w:tcW w:w="28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sz w:val="28"/>
                <w:szCs w:val="28"/>
              </w:rPr>
            </w:pPr>
            <w:r>
              <w:rPr>
                <w:rFonts w:hint="default" w:ascii="宋体" w:hAnsi="宋体" w:cs="宋体"/>
                <w:b/>
                <w:bCs/>
                <w:snapToGrid w:val="0"/>
                <w:color w:val="000000"/>
                <w:kern w:val="0"/>
                <w:sz w:val="28"/>
                <w:szCs w:val="28"/>
                <w:lang w:bidi="ar"/>
              </w:rPr>
              <w:t>序号</w:t>
            </w:r>
          </w:p>
        </w:tc>
        <w:tc>
          <w:tcPr>
            <w:tcW w:w="2537"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sz w:val="28"/>
                <w:szCs w:val="28"/>
              </w:rPr>
            </w:pPr>
            <w:r>
              <w:rPr>
                <w:rFonts w:hint="default" w:ascii="宋体" w:hAnsi="宋体" w:cs="宋体"/>
                <w:b/>
                <w:bCs/>
                <w:snapToGrid w:val="0"/>
                <w:color w:val="000000"/>
                <w:kern w:val="0"/>
                <w:sz w:val="28"/>
                <w:szCs w:val="28"/>
                <w:lang w:bidi="ar"/>
              </w:rPr>
              <w:t>项目内容</w:t>
            </w:r>
          </w:p>
        </w:tc>
        <w:tc>
          <w:tcPr>
            <w:tcW w:w="694"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snapToGrid w:val="0"/>
                <w:color w:val="000000"/>
                <w:kern w:val="0"/>
                <w:sz w:val="28"/>
                <w:szCs w:val="28"/>
                <w:lang w:bidi="ar"/>
              </w:rPr>
            </w:pPr>
            <w:r>
              <w:rPr>
                <w:rFonts w:hint="default" w:ascii="宋体" w:hAnsi="宋体" w:cs="宋体"/>
                <w:b/>
                <w:bCs/>
                <w:snapToGrid w:val="0"/>
                <w:color w:val="000000"/>
                <w:kern w:val="0"/>
                <w:sz w:val="28"/>
                <w:szCs w:val="28"/>
                <w:lang w:bidi="ar"/>
              </w:rPr>
              <w:t>总价</w:t>
            </w:r>
          </w:p>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sz w:val="28"/>
                <w:szCs w:val="28"/>
              </w:rPr>
            </w:pPr>
            <w:r>
              <w:rPr>
                <w:rFonts w:hint="default" w:ascii="宋体" w:hAnsi="宋体" w:cs="宋体"/>
                <w:b/>
                <w:bCs/>
                <w:snapToGrid w:val="0"/>
                <w:color w:val="000000"/>
                <w:kern w:val="0"/>
                <w:sz w:val="28"/>
                <w:szCs w:val="28"/>
                <w:lang w:bidi="ar"/>
              </w:rPr>
              <w:t>(元)</w:t>
            </w:r>
          </w:p>
        </w:tc>
        <w:tc>
          <w:tcPr>
            <w:tcW w:w="1479"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sz w:val="28"/>
                <w:szCs w:val="28"/>
              </w:rPr>
            </w:pPr>
            <w:r>
              <w:rPr>
                <w:rFonts w:hint="default" w:ascii="宋体" w:hAnsi="宋体" w:cs="宋体"/>
                <w:b/>
                <w:bCs/>
                <w:snapToGrid w:val="0"/>
                <w:color w:val="000000"/>
                <w:kern w:val="0"/>
                <w:sz w:val="28"/>
                <w:szCs w:val="28"/>
                <w:lang w:bidi="ar"/>
              </w:rPr>
              <w:t>备注</w:t>
            </w:r>
          </w:p>
        </w:tc>
      </w:tr>
      <w:tr>
        <w:tblPrEx>
          <w:tblCellMar>
            <w:top w:w="0" w:type="dxa"/>
            <w:left w:w="108" w:type="dxa"/>
            <w:bottom w:w="0" w:type="dxa"/>
            <w:right w:w="108" w:type="dxa"/>
          </w:tblCellMar>
        </w:tblPrEx>
        <w:trPr>
          <w:trHeight w:val="607" w:hRule="atLeast"/>
          <w:jc w:val="center"/>
        </w:trPr>
        <w:tc>
          <w:tcPr>
            <w:tcW w:w="28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400" w:lineRule="exact"/>
              <w:ind w:left="0" w:right="0"/>
              <w:jc w:val="center"/>
              <w:textAlignment w:val="center"/>
              <w:rPr>
                <w:rFonts w:hint="default" w:ascii="宋体" w:hAnsi="宋体" w:eastAsia="宋体" w:cs="宋体"/>
                <w:b/>
                <w:bCs/>
                <w:color w:val="000000"/>
                <w:sz w:val="28"/>
                <w:szCs w:val="28"/>
                <w:lang w:val="en-US" w:eastAsia="zh-CN"/>
              </w:rPr>
            </w:pPr>
            <w:r>
              <w:rPr>
                <w:rFonts w:hint="eastAsia" w:ascii="宋体" w:hAnsi="宋体" w:cs="宋体"/>
                <w:b/>
                <w:bCs/>
                <w:color w:val="000000"/>
                <w:sz w:val="28"/>
                <w:szCs w:val="28"/>
                <w:lang w:val="en-US" w:eastAsia="zh-CN"/>
              </w:rPr>
              <w:t>1</w:t>
            </w:r>
          </w:p>
        </w:tc>
        <w:tc>
          <w:tcPr>
            <w:tcW w:w="2537"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line="400" w:lineRule="exact"/>
              <w:ind w:left="0" w:right="0"/>
              <w:jc w:val="center"/>
              <w:textAlignment w:val="center"/>
              <w:rPr>
                <w:rFonts w:hint="eastAsia" w:ascii="宋体" w:hAnsi="宋体" w:cs="宋体"/>
                <w:b/>
                <w:bCs/>
                <w:snapToGrid w:val="0"/>
                <w:color w:val="000000"/>
                <w:kern w:val="0"/>
                <w:sz w:val="28"/>
                <w:szCs w:val="28"/>
                <w:lang w:eastAsia="zh-CN" w:bidi="ar"/>
              </w:rPr>
            </w:pPr>
            <w:r>
              <w:rPr>
                <w:rFonts w:hint="eastAsia" w:ascii="宋体" w:hAnsi="宋体" w:cs="宋体"/>
                <w:b/>
                <w:bCs/>
                <w:snapToGrid w:val="0"/>
                <w:color w:val="000000"/>
                <w:kern w:val="0"/>
                <w:sz w:val="28"/>
                <w:szCs w:val="28"/>
                <w:lang w:eastAsia="zh-CN" w:bidi="ar"/>
              </w:rPr>
              <w:t>人力成本</w:t>
            </w:r>
          </w:p>
        </w:tc>
        <w:tc>
          <w:tcPr>
            <w:tcW w:w="694"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p>
        </w:tc>
        <w:tc>
          <w:tcPr>
            <w:tcW w:w="1479" w:type="pct"/>
            <w:vMerge w:val="restart"/>
            <w:tcBorders>
              <w:top w:val="single" w:color="000000" w:sz="4" w:space="0"/>
              <w:left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8"/>
                <w:szCs w:val="28"/>
              </w:rPr>
            </w:pPr>
          </w:p>
        </w:tc>
      </w:tr>
      <w:tr>
        <w:tblPrEx>
          <w:tblCellMar>
            <w:top w:w="0" w:type="dxa"/>
            <w:left w:w="108" w:type="dxa"/>
            <w:bottom w:w="0" w:type="dxa"/>
            <w:right w:w="108" w:type="dxa"/>
          </w:tblCellMar>
        </w:tblPrEx>
        <w:trPr>
          <w:trHeight w:val="607" w:hRule="atLeast"/>
          <w:jc w:val="center"/>
        </w:trPr>
        <w:tc>
          <w:tcPr>
            <w:tcW w:w="288"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eastAsia="宋体" w:cs="宋体"/>
                <w:b/>
                <w:bCs/>
                <w:color w:val="000000"/>
                <w:sz w:val="28"/>
                <w:szCs w:val="28"/>
                <w:lang w:val="en-US" w:eastAsia="zh-CN"/>
              </w:rPr>
            </w:pPr>
            <w:r>
              <w:rPr>
                <w:rFonts w:hint="eastAsia" w:ascii="宋体" w:hAnsi="宋体" w:cs="宋体"/>
                <w:b/>
                <w:bCs/>
                <w:color w:val="000000"/>
                <w:sz w:val="28"/>
                <w:szCs w:val="28"/>
                <w:lang w:val="en-US" w:eastAsia="zh-CN"/>
              </w:rPr>
              <w:t>2</w:t>
            </w:r>
          </w:p>
        </w:tc>
        <w:tc>
          <w:tcPr>
            <w:tcW w:w="2537"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default" w:ascii="宋体" w:hAnsi="宋体" w:cs="宋体"/>
                <w:b/>
                <w:bCs/>
                <w:snapToGrid w:val="0"/>
                <w:color w:val="000000"/>
                <w:kern w:val="0"/>
                <w:sz w:val="28"/>
                <w:szCs w:val="28"/>
                <w:lang w:bidi="ar"/>
              </w:rPr>
            </w:pPr>
            <w:r>
              <w:rPr>
                <w:rFonts w:hint="default" w:ascii="宋体" w:hAnsi="宋体" w:cs="宋体"/>
                <w:b/>
                <w:bCs/>
                <w:snapToGrid w:val="0"/>
                <w:color w:val="000000"/>
                <w:kern w:val="0"/>
                <w:sz w:val="28"/>
                <w:szCs w:val="28"/>
                <w:lang w:bidi="ar"/>
              </w:rPr>
              <w:t>其他费用</w:t>
            </w:r>
          </w:p>
        </w:tc>
        <w:tc>
          <w:tcPr>
            <w:tcW w:w="694" w:type="pct"/>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color w:val="000000"/>
                <w:sz w:val="28"/>
                <w:szCs w:val="28"/>
              </w:rPr>
            </w:pPr>
          </w:p>
        </w:tc>
        <w:tc>
          <w:tcPr>
            <w:tcW w:w="1479" w:type="pct"/>
            <w:vMerge w:val="continue"/>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eastAsia" w:ascii="宋体" w:hAnsi="宋体" w:cs="宋体"/>
                <w:color w:val="000000"/>
                <w:sz w:val="28"/>
                <w:szCs w:val="28"/>
              </w:rPr>
            </w:pPr>
          </w:p>
        </w:tc>
      </w:tr>
      <w:tr>
        <w:tblPrEx>
          <w:tblCellMar>
            <w:top w:w="0" w:type="dxa"/>
            <w:left w:w="108" w:type="dxa"/>
            <w:bottom w:w="0" w:type="dxa"/>
            <w:right w:w="108" w:type="dxa"/>
          </w:tblCellMar>
        </w:tblPrEx>
        <w:trPr>
          <w:trHeight w:val="617" w:hRule="atLeast"/>
          <w:jc w:val="center"/>
        </w:trPr>
        <w:tc>
          <w:tcPr>
            <w:tcW w:w="2826" w:type="pct"/>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spacing w:before="0" w:beforeAutospacing="0" w:after="0" w:afterAutospacing="0"/>
              <w:ind w:left="0" w:right="0"/>
              <w:jc w:val="center"/>
              <w:textAlignment w:val="center"/>
              <w:rPr>
                <w:rFonts w:hint="eastAsia" w:ascii="宋体" w:hAnsi="宋体" w:cs="宋体"/>
                <w:b/>
                <w:bCs/>
                <w:color w:val="000000"/>
                <w:sz w:val="28"/>
                <w:szCs w:val="28"/>
              </w:rPr>
            </w:pPr>
            <w:r>
              <w:rPr>
                <w:rFonts w:hint="default" w:ascii="宋体" w:hAnsi="宋体" w:cs="宋体"/>
                <w:b/>
                <w:bCs/>
                <w:snapToGrid w:val="0"/>
                <w:color w:val="000000"/>
                <w:kern w:val="0"/>
                <w:sz w:val="28"/>
                <w:szCs w:val="28"/>
                <w:lang w:bidi="ar"/>
              </w:rPr>
              <w:t>合计(元)</w:t>
            </w:r>
          </w:p>
        </w:tc>
        <w:tc>
          <w:tcPr>
            <w:tcW w:w="2173" w:type="pct"/>
            <w:gridSpan w:val="2"/>
            <w:tcBorders>
              <w:top w:val="single" w:color="000000" w:sz="4" w:space="0"/>
              <w:left w:val="single" w:color="000000" w:sz="4" w:space="0"/>
              <w:bottom w:val="single" w:color="000000" w:sz="4" w:space="0"/>
              <w:right w:val="single" w:color="000000" w:sz="4" w:space="0"/>
            </w:tcBorders>
            <w:vAlign w:val="center"/>
          </w:tcPr>
          <w:p>
            <w:pPr>
              <w:keepNext w:val="0"/>
              <w:keepLines w:val="0"/>
              <w:suppressLineNumbers w:val="0"/>
              <w:spacing w:before="0" w:beforeAutospacing="0" w:after="0" w:afterAutospacing="0"/>
              <w:ind w:left="0" w:right="0"/>
              <w:jc w:val="center"/>
              <w:rPr>
                <w:rFonts w:hint="default" w:ascii="Arial" w:hAnsi="Arial" w:cs="Arial"/>
                <w:color w:val="000000"/>
                <w:sz w:val="22"/>
                <w:szCs w:val="22"/>
              </w:rPr>
            </w:pPr>
            <w:r>
              <w:rPr>
                <w:rFonts w:hint="default" w:ascii="宋体" w:hAnsi="宋体" w:cs="宋体"/>
                <w:snapToGrid w:val="0"/>
                <w:color w:val="000000"/>
                <w:kern w:val="0"/>
                <w:sz w:val="28"/>
                <w:szCs w:val="28"/>
                <w:lang w:bidi="ar"/>
              </w:rPr>
              <w:t>4</w:t>
            </w:r>
            <w:r>
              <w:rPr>
                <w:rFonts w:hint="eastAsia" w:ascii="宋体" w:hAnsi="宋体" w:cs="宋体"/>
                <w:snapToGrid w:val="0"/>
                <w:color w:val="000000"/>
                <w:kern w:val="0"/>
                <w:sz w:val="28"/>
                <w:szCs w:val="28"/>
                <w:lang w:bidi="ar"/>
              </w:rPr>
              <w:t>6455</w:t>
            </w:r>
            <w:r>
              <w:rPr>
                <w:rFonts w:hint="default" w:ascii="宋体" w:hAnsi="宋体" w:cs="宋体"/>
                <w:snapToGrid w:val="0"/>
                <w:color w:val="000000"/>
                <w:kern w:val="0"/>
                <w:sz w:val="28"/>
                <w:szCs w:val="28"/>
                <w:lang w:bidi="ar"/>
              </w:rPr>
              <w:t>0</w:t>
            </w:r>
          </w:p>
        </w:tc>
      </w:tr>
    </w:tbl>
    <w:p>
      <w:pPr>
        <w:spacing w:line="560" w:lineRule="exact"/>
        <w:ind w:firstLine="640" w:firstLineChars="200"/>
        <w:jc w:val="left"/>
        <w:rPr>
          <w:rFonts w:ascii="仿宋_GB2312" w:hAnsi="仿宋_GB2312" w:eastAsia="仿宋_GB2312" w:cs="仿宋_GB2312"/>
          <w:sz w:val="32"/>
          <w:szCs w:val="32"/>
        </w:rPr>
      </w:pPr>
      <w:r>
        <w:rPr>
          <w:rFonts w:hint="eastAsia" w:ascii="黑体" w:hAnsi="黑体" w:eastAsia="黑体" w:cs="黑体"/>
          <w:bCs/>
          <w:sz w:val="32"/>
          <w:szCs w:val="32"/>
          <w:lang w:eastAsia="zh-CN"/>
        </w:rPr>
        <w:t>七</w:t>
      </w:r>
      <w:r>
        <w:rPr>
          <w:rFonts w:hint="eastAsia" w:ascii="黑体" w:hAnsi="黑体" w:eastAsia="黑体" w:cs="黑体"/>
          <w:bCs/>
          <w:sz w:val="32"/>
          <w:szCs w:val="32"/>
        </w:rPr>
        <w:t>、</w:t>
      </w:r>
      <w:r>
        <w:rPr>
          <w:rFonts w:hint="eastAsia" w:ascii="黑体" w:hAnsi="黑体" w:eastAsia="黑体" w:cs="黑体"/>
          <w:sz w:val="32"/>
          <w:szCs w:val="32"/>
        </w:rPr>
        <w:t>供应商的资质要求</w:t>
      </w:r>
    </w:p>
    <w:p>
      <w:pPr>
        <w:pStyle w:val="19"/>
        <w:spacing w:line="560" w:lineRule="exact"/>
        <w:ind w:firstLine="640"/>
        <w:jc w:val="both"/>
        <w:rPr>
          <w:rFonts w:ascii="仿宋_GB2312" w:hAnsi="仿宋" w:eastAsia="仿宋_GB2312" w:cs="仿宋"/>
          <w:sz w:val="32"/>
          <w:szCs w:val="32"/>
          <w:highlight w:val="yellow"/>
        </w:rPr>
      </w:pPr>
      <w:r>
        <w:rPr>
          <w:rFonts w:hint="eastAsia" w:ascii="仿宋_GB2312" w:hAnsi="仿宋" w:eastAsia="仿宋_GB2312" w:cs="仿宋"/>
          <w:sz w:val="32"/>
          <w:szCs w:val="32"/>
        </w:rPr>
        <w:t>（一）在中国境内注册的独立法人或其他组织（提供营业执照、事业法人证书、社会团体法人登记证书等扫描件）</w:t>
      </w:r>
      <w:r>
        <w:rPr>
          <w:rFonts w:hint="eastAsia" w:ascii="仿宋_GB2312" w:hAnsi="仿宋" w:cs="仿宋"/>
          <w:sz w:val="32"/>
          <w:szCs w:val="32"/>
          <w:lang w:eastAsia="zh-CN"/>
        </w:rPr>
        <w:t>，</w:t>
      </w:r>
      <w:r>
        <w:rPr>
          <w:rFonts w:hint="eastAsia" w:ascii="仿宋_GB2312" w:hAnsi="仿宋" w:eastAsia="仿宋_GB2312" w:cs="仿宋"/>
          <w:color w:val="auto"/>
          <w:sz w:val="32"/>
          <w:szCs w:val="32"/>
          <w:highlight w:val="none"/>
        </w:rPr>
        <w:t>总公司或者分公司只允许一家投标，不允许同时参与本项目投标，分公司参与投标的，须提供总公司或具有独立法人的上一级公司出具的愿为其参与本项目投标的行为以及履约等行为承担民事责任的加盖总公司公章的授权函，以及提供总、分公司的营业执照扫描件；</w:t>
      </w:r>
    </w:p>
    <w:p>
      <w:pPr>
        <w:pStyle w:val="19"/>
        <w:spacing w:line="560" w:lineRule="exact"/>
        <w:ind w:firstLine="640"/>
        <w:jc w:val="both"/>
        <w:rPr>
          <w:rFonts w:hint="eastAsia" w:ascii="仿宋_GB2312" w:hAnsi="仿宋" w:eastAsia="仿宋_GB2312" w:cs="仿宋"/>
          <w:sz w:val="32"/>
          <w:szCs w:val="32"/>
          <w:lang w:eastAsia="zh-CN"/>
        </w:rPr>
      </w:pPr>
      <w:r>
        <w:rPr>
          <w:rFonts w:hint="eastAsia" w:ascii="仿宋_GB2312" w:hAnsi="仿宋" w:eastAsia="仿宋_GB2312" w:cs="仿宋"/>
          <w:sz w:val="32"/>
          <w:szCs w:val="32"/>
        </w:rPr>
        <w:t>（二）参与本项目投标近三年内（供应商成立不足三年的可从成立之日起算），在经营活动中没有重大违法记录以及不存在被有关部门禁止参与政府采购活动且在有效期内的情况</w:t>
      </w:r>
      <w:r>
        <w:rPr>
          <w:rFonts w:hint="eastAsia" w:ascii="仿宋_GB2312" w:hAnsi="仿宋" w:eastAsia="仿宋_GB2312" w:cs="仿宋"/>
          <w:sz w:val="32"/>
          <w:szCs w:val="32"/>
          <w:lang w:eastAsia="zh-CN"/>
        </w:rPr>
        <w:t>；</w:t>
      </w:r>
    </w:p>
    <w:p>
      <w:pPr>
        <w:pStyle w:val="19"/>
        <w:spacing w:line="560" w:lineRule="exact"/>
        <w:ind w:firstLine="640"/>
        <w:jc w:val="both"/>
        <w:rPr>
          <w:rFonts w:hint="eastAsia" w:ascii="仿宋_GB2312" w:hAnsi="仿宋" w:eastAsia="仿宋_GB2312" w:cs="仿宋"/>
          <w:sz w:val="32"/>
          <w:szCs w:val="32"/>
          <w:highlight w:val="none"/>
          <w:lang w:eastAsia="zh-CN"/>
        </w:rPr>
      </w:pPr>
      <w:r>
        <w:rPr>
          <w:rFonts w:hint="eastAsia" w:ascii="仿宋_GB2312" w:hAnsi="仿宋" w:eastAsia="仿宋_GB2312" w:cs="仿宋"/>
          <w:sz w:val="32"/>
          <w:szCs w:val="32"/>
          <w:highlight w:val="none"/>
        </w:rPr>
        <w:t>（三）</w:t>
      </w:r>
      <w:r>
        <w:rPr>
          <w:rFonts w:hint="eastAsia" w:ascii="仿宋_GB2312" w:hAnsi="仿宋" w:eastAsia="仿宋_GB2312" w:cs="仿宋"/>
          <w:bCs/>
          <w:kern w:val="2"/>
          <w:sz w:val="32"/>
          <w:szCs w:val="32"/>
          <w:highlight w:val="none"/>
          <w:lang w:val="en-US" w:eastAsia="zh-CN" w:bidi="ar-SA"/>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w:t>
      </w:r>
      <w:r>
        <w:rPr>
          <w:rFonts w:hint="eastAsia" w:ascii="仿宋_GB2312" w:hAnsi="仿宋" w:eastAsia="仿宋_GB2312" w:cs="仿宋"/>
          <w:sz w:val="32"/>
          <w:szCs w:val="32"/>
          <w:highlight w:val="none"/>
        </w:rPr>
        <w:t>，不得同时参加本项目的采购活动</w:t>
      </w:r>
      <w:r>
        <w:rPr>
          <w:rFonts w:hint="eastAsia" w:ascii="仿宋_GB2312" w:hAnsi="仿宋" w:eastAsia="仿宋_GB2312" w:cs="仿宋"/>
          <w:sz w:val="32"/>
          <w:szCs w:val="32"/>
          <w:highlight w:val="none"/>
          <w:lang w:eastAsia="zh-CN"/>
        </w:rPr>
        <w:t>。</w:t>
      </w:r>
    </w:p>
    <w:p>
      <w:pPr>
        <w:pStyle w:val="19"/>
        <w:spacing w:line="560" w:lineRule="exact"/>
        <w:ind w:firstLine="640"/>
        <w:jc w:val="both"/>
        <w:rPr>
          <w:rFonts w:hint="eastAsia" w:ascii="仿宋_GB2312" w:hAnsi="仿宋" w:eastAsia="仿宋_GB2312" w:cs="仿宋"/>
          <w:sz w:val="32"/>
          <w:szCs w:val="32"/>
          <w:highlight w:val="none"/>
          <w:lang w:val="en-US" w:eastAsia="zh-CN"/>
        </w:rPr>
      </w:pPr>
      <w:r>
        <w:rPr>
          <w:rFonts w:hint="eastAsia" w:ascii="仿宋_GB2312" w:hAnsi="仿宋" w:eastAsia="仿宋_GB2312" w:cs="仿宋"/>
          <w:sz w:val="32"/>
          <w:szCs w:val="32"/>
          <w:highlight w:val="none"/>
          <w:lang w:eastAsia="zh-CN"/>
        </w:rPr>
        <w:t>（四）</w:t>
      </w:r>
      <w:r>
        <w:rPr>
          <w:rFonts w:hint="eastAsia" w:ascii="仿宋_GB2312" w:hAnsi="仿宋" w:eastAsia="仿宋_GB2312" w:cs="仿宋"/>
          <w:sz w:val="32"/>
          <w:szCs w:val="32"/>
          <w:highlight w:val="none"/>
          <w:lang w:val="en-US" w:eastAsia="zh-CN"/>
        </w:rPr>
        <w:t>供应商资格条件（经营范围要求）：供应商营业执照（或登记证书）的业务范围/经营范围内须包含以下内容：社会工作相关服务（如社会工作服务、社会救助服务等同类相关业务）。</w:t>
      </w:r>
    </w:p>
    <w:p>
      <w:pPr>
        <w:spacing w:line="560" w:lineRule="exact"/>
        <w:ind w:firstLine="640" w:firstLineChars="200"/>
        <w:jc w:val="left"/>
        <w:rPr>
          <w:rFonts w:ascii="黑体" w:hAnsi="黑体" w:eastAsia="黑体" w:cs="黑体"/>
          <w:sz w:val="32"/>
          <w:szCs w:val="32"/>
        </w:rPr>
      </w:pPr>
      <w:r>
        <w:rPr>
          <w:rFonts w:hint="eastAsia" w:ascii="黑体" w:hAnsi="黑体" w:eastAsia="黑体" w:cs="黑体"/>
          <w:sz w:val="32"/>
          <w:szCs w:val="32"/>
          <w:lang w:eastAsia="zh-CN"/>
        </w:rPr>
        <w:t>八</w:t>
      </w:r>
      <w:r>
        <w:rPr>
          <w:rFonts w:hint="eastAsia" w:ascii="黑体" w:hAnsi="黑体" w:eastAsia="黑体" w:cs="黑体"/>
          <w:sz w:val="32"/>
          <w:szCs w:val="32"/>
        </w:rPr>
        <w:t>、选定供应商方法</w:t>
      </w:r>
    </w:p>
    <w:p>
      <w:pPr>
        <w:spacing w:line="560" w:lineRule="exact"/>
        <w:ind w:firstLine="640" w:firstLineChars="200"/>
        <w:jc w:val="left"/>
        <w:rPr>
          <w:rFonts w:hint="eastAsia" w:ascii="仿宋_GB2312" w:hAnsi="仿宋" w:eastAsia="仿宋_GB2312"/>
          <w:sz w:val="32"/>
          <w:highlight w:val="yellow"/>
          <w:lang w:val="en-US" w:eastAsia="zh-CN"/>
        </w:rPr>
      </w:pPr>
      <w:r>
        <w:rPr>
          <w:rFonts w:hint="eastAsia" w:ascii="仿宋_GB2312" w:hAnsi="仿宋" w:eastAsia="仿宋_GB2312"/>
          <w:sz w:val="32"/>
          <w:highlight w:val="none"/>
        </w:rPr>
        <w:t>综合评分法</w:t>
      </w:r>
    </w:p>
    <w:p>
      <w:pPr>
        <w:keepNext w:val="0"/>
        <w:keepLines w:val="0"/>
        <w:pageBreakBefore w:val="0"/>
        <w:widowControl w:val="0"/>
        <w:snapToGrid/>
        <w:spacing w:line="560" w:lineRule="exact"/>
        <w:ind w:firstLine="640" w:firstLineChars="200"/>
        <w:jc w:val="left"/>
        <w:rPr>
          <w:rFonts w:hint="eastAsia" w:ascii="黑体" w:hAnsi="黑体" w:eastAsia="黑体" w:cs="黑体"/>
          <w:sz w:val="32"/>
          <w:szCs w:val="32"/>
          <w:lang w:eastAsia="zh-CN"/>
        </w:rPr>
      </w:pPr>
      <w:r>
        <w:rPr>
          <w:rFonts w:hint="eastAsia" w:ascii="黑体" w:hAnsi="黑体" w:eastAsia="黑体" w:cs="黑体"/>
          <w:sz w:val="32"/>
          <w:szCs w:val="32"/>
          <w:lang w:eastAsia="zh-CN"/>
        </w:rPr>
        <w:t>九</w:t>
      </w:r>
      <w:r>
        <w:rPr>
          <w:rFonts w:hint="eastAsia" w:ascii="黑体" w:hAnsi="黑体" w:eastAsia="黑体" w:cs="黑体"/>
          <w:sz w:val="32"/>
          <w:szCs w:val="32"/>
        </w:rPr>
        <w:t>、评分要求</w:t>
      </w:r>
      <w:r>
        <w:rPr>
          <w:rFonts w:hint="eastAsia" w:ascii="黑体" w:hAnsi="黑体" w:eastAsia="黑体" w:cs="黑体"/>
          <w:sz w:val="32"/>
          <w:szCs w:val="32"/>
          <w:highlight w:val="none"/>
          <w:lang w:eastAsia="zh-CN"/>
        </w:rPr>
        <w:t>（采取综合评分法适用）</w:t>
      </w:r>
    </w:p>
    <w:p>
      <w:pPr>
        <w:pStyle w:val="21"/>
        <w:spacing w:line="560" w:lineRule="exact"/>
        <w:ind w:firstLine="640" w:firstLineChars="200"/>
        <w:rPr>
          <w:rFonts w:ascii="楷体_GB2312" w:hAnsi="楷体_GB2312" w:eastAsia="楷体_GB2312" w:cs="楷体_GB2312"/>
          <w:b w:val="0"/>
          <w:bCs/>
          <w:color w:val="000000"/>
          <w:sz w:val="32"/>
          <w:szCs w:val="32"/>
        </w:rPr>
      </w:pPr>
      <w:r>
        <w:rPr>
          <w:rFonts w:hint="eastAsia" w:ascii="楷体_GB2312" w:hAnsi="楷体_GB2312" w:eastAsia="楷体_GB2312" w:cs="楷体_GB2312"/>
          <w:b w:val="0"/>
          <w:bCs/>
          <w:color w:val="000000"/>
          <w:sz w:val="32"/>
          <w:szCs w:val="32"/>
        </w:rPr>
        <w:t>（一）评分规则</w:t>
      </w:r>
    </w:p>
    <w:p>
      <w:pPr>
        <w:spacing w:line="560" w:lineRule="exact"/>
        <w:ind w:firstLine="640" w:firstLineChars="200"/>
        <w:jc w:val="left"/>
        <w:rPr>
          <w:rFonts w:ascii="楷体_GB2312" w:hAnsi="楷体_GB2312" w:eastAsia="楷体_GB2312" w:cs="楷体_GB2312"/>
          <w:bCs/>
          <w:color w:val="000000"/>
          <w:sz w:val="32"/>
          <w:szCs w:val="32"/>
        </w:rPr>
      </w:pPr>
      <w:r>
        <w:rPr>
          <w:rFonts w:hint="eastAsia" w:ascii="仿宋_GB2312" w:eastAsia="仿宋_GB2312"/>
          <w:color w:val="000000"/>
          <w:sz w:val="32"/>
          <w:szCs w:val="32"/>
        </w:rPr>
        <w:t>采取综合评分标准，平均分最高的投标人为本项目中标人。</w:t>
      </w:r>
    </w:p>
    <w:p>
      <w:pPr>
        <w:pStyle w:val="21"/>
        <w:spacing w:line="560" w:lineRule="exact"/>
        <w:ind w:firstLine="640" w:firstLineChars="200"/>
        <w:rPr>
          <w:rFonts w:hint="eastAsia" w:ascii="楷体_GB2312" w:hAnsi="楷体_GB2312" w:eastAsia="楷体_GB2312" w:cs="楷体_GB2312"/>
          <w:b w:val="0"/>
          <w:bCs/>
          <w:color w:val="000000"/>
          <w:sz w:val="32"/>
          <w:szCs w:val="32"/>
          <w:lang w:eastAsia="zh-CN"/>
        </w:rPr>
      </w:pPr>
      <w:r>
        <w:rPr>
          <w:rFonts w:hint="eastAsia" w:ascii="楷体_GB2312" w:hAnsi="楷体_GB2312" w:eastAsia="楷体_GB2312" w:cs="楷体_GB2312"/>
          <w:b w:val="0"/>
          <w:bCs/>
          <w:color w:val="000000"/>
          <w:sz w:val="32"/>
          <w:szCs w:val="32"/>
        </w:rPr>
        <w:t>（二）评分权重</w:t>
      </w:r>
    </w:p>
    <w:tbl>
      <w:tblPr>
        <w:tblStyle w:val="15"/>
        <w:tblW w:w="4634" w:type="pct"/>
        <w:tblInd w:w="32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74"/>
        <w:gridCol w:w="2268"/>
        <w:gridCol w:w="2213"/>
        <w:gridCol w:w="23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tcBorders>
              <w:top w:val="single" w:color="auto" w:sz="4" w:space="0"/>
              <w:left w:val="single" w:color="auto" w:sz="4" w:space="0"/>
              <w:bottom w:val="single" w:color="auto" w:sz="4" w:space="0"/>
              <w:right w:val="single" w:color="auto" w:sz="4" w:space="0"/>
            </w:tcBorders>
            <w:noWrap w:val="0"/>
            <w:vAlign w:val="top"/>
          </w:tcPr>
          <w:p>
            <w:pPr>
              <w:pStyle w:val="21"/>
              <w:keepNext w:val="0"/>
              <w:keepLines w:val="0"/>
              <w:suppressLineNumbers w:val="0"/>
              <w:spacing w:before="0" w:beforeAutospacing="0" w:after="0" w:afterAutospacing="0" w:line="560" w:lineRule="exact"/>
              <w:ind w:left="0" w:right="0"/>
              <w:jc w:val="center"/>
              <w:rPr>
                <w:rFonts w:hint="default"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评分内容</w:t>
            </w:r>
          </w:p>
        </w:tc>
        <w:tc>
          <w:tcPr>
            <w:tcW w:w="1350" w:type="pct"/>
            <w:tcBorders>
              <w:top w:val="single" w:color="auto" w:sz="4" w:space="0"/>
              <w:left w:val="single" w:color="auto" w:sz="4" w:space="0"/>
              <w:bottom w:val="single" w:color="auto" w:sz="4" w:space="0"/>
              <w:right w:val="single" w:color="auto" w:sz="4" w:space="0"/>
            </w:tcBorders>
            <w:noWrap w:val="0"/>
            <w:vAlign w:val="top"/>
          </w:tcPr>
          <w:p>
            <w:pPr>
              <w:pStyle w:val="21"/>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报价</w:t>
            </w:r>
          </w:p>
        </w:tc>
        <w:tc>
          <w:tcPr>
            <w:tcW w:w="1317" w:type="pct"/>
            <w:tcBorders>
              <w:top w:val="single" w:color="auto" w:sz="4" w:space="0"/>
              <w:left w:val="single" w:color="auto" w:sz="4" w:space="0"/>
              <w:bottom w:val="single" w:color="auto" w:sz="4" w:space="0"/>
              <w:right w:val="single" w:color="auto" w:sz="4" w:space="0"/>
            </w:tcBorders>
            <w:noWrap w:val="0"/>
            <w:vAlign w:val="top"/>
          </w:tcPr>
          <w:p>
            <w:pPr>
              <w:pStyle w:val="21"/>
              <w:keepNext w:val="0"/>
              <w:keepLines w:val="0"/>
              <w:suppressLineNumbers w:val="0"/>
              <w:spacing w:before="0" w:beforeAutospacing="0" w:after="0" w:afterAutospacing="0" w:line="560" w:lineRule="exact"/>
              <w:ind w:left="0" w:right="0"/>
              <w:jc w:val="center"/>
              <w:rPr>
                <w:rFonts w:hint="eastAsia" w:ascii="仿宋_GB2312" w:hAnsi="仿宋_GB2312" w:eastAsia="仿宋_GB2312" w:cs="仿宋_GB2312"/>
                <w:b w:val="0"/>
                <w:bCs/>
                <w:sz w:val="32"/>
                <w:szCs w:val="32"/>
                <w:lang w:eastAsia="zh-CN"/>
              </w:rPr>
            </w:pPr>
            <w:r>
              <w:rPr>
                <w:rFonts w:hint="eastAsia" w:ascii="仿宋_GB2312" w:hAnsi="仿宋_GB2312" w:eastAsia="仿宋_GB2312" w:cs="仿宋_GB2312"/>
                <w:b w:val="0"/>
                <w:bCs/>
                <w:sz w:val="32"/>
                <w:szCs w:val="32"/>
              </w:rPr>
              <w:t>技术</w:t>
            </w:r>
            <w:r>
              <w:rPr>
                <w:rFonts w:hint="eastAsia" w:ascii="仿宋_GB2312" w:hAnsi="仿宋_GB2312" w:eastAsia="仿宋_GB2312" w:cs="仿宋_GB2312"/>
                <w:b w:val="0"/>
                <w:bCs/>
                <w:sz w:val="32"/>
                <w:szCs w:val="32"/>
                <w:lang w:eastAsia="zh-CN"/>
              </w:rPr>
              <w:t>部分</w:t>
            </w:r>
          </w:p>
        </w:tc>
        <w:tc>
          <w:tcPr>
            <w:tcW w:w="1394" w:type="pct"/>
            <w:tcBorders>
              <w:top w:val="single" w:color="auto" w:sz="4" w:space="0"/>
              <w:left w:val="single" w:color="auto" w:sz="4" w:space="0"/>
              <w:bottom w:val="single" w:color="auto" w:sz="4" w:space="0"/>
              <w:right w:val="single" w:color="auto" w:sz="4" w:space="0"/>
            </w:tcBorders>
            <w:noWrap w:val="0"/>
            <w:vAlign w:val="top"/>
          </w:tcPr>
          <w:p>
            <w:pPr>
              <w:pStyle w:val="21"/>
              <w:keepNext w:val="0"/>
              <w:keepLines w:val="0"/>
              <w:suppressLineNumbers w:val="0"/>
              <w:spacing w:before="0" w:beforeAutospacing="0" w:after="0" w:afterAutospacing="0" w:line="560" w:lineRule="exact"/>
              <w:ind w:left="0" w:right="0"/>
              <w:jc w:val="center"/>
              <w:rPr>
                <w:rFonts w:hint="default"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商务</w:t>
            </w:r>
            <w:r>
              <w:rPr>
                <w:rFonts w:hint="eastAsia" w:ascii="仿宋_GB2312" w:hAnsi="仿宋_GB2312" w:eastAsia="仿宋_GB2312" w:cs="仿宋_GB2312"/>
                <w:b w:val="0"/>
                <w:bCs/>
                <w:sz w:val="32"/>
                <w:szCs w:val="32"/>
                <w:lang w:eastAsia="zh-CN"/>
              </w:rPr>
              <w:t>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7" w:type="pct"/>
            <w:tcBorders>
              <w:top w:val="single" w:color="auto" w:sz="4" w:space="0"/>
              <w:left w:val="single" w:color="auto" w:sz="4" w:space="0"/>
              <w:bottom w:val="single" w:color="auto" w:sz="4" w:space="0"/>
              <w:right w:val="single" w:color="auto" w:sz="4" w:space="0"/>
            </w:tcBorders>
            <w:noWrap w:val="0"/>
            <w:vAlign w:val="top"/>
          </w:tcPr>
          <w:p>
            <w:pPr>
              <w:pStyle w:val="21"/>
              <w:keepNext w:val="0"/>
              <w:keepLines w:val="0"/>
              <w:suppressLineNumbers w:val="0"/>
              <w:spacing w:before="0" w:beforeAutospacing="0" w:after="0" w:afterAutospacing="0" w:line="560" w:lineRule="exact"/>
              <w:ind w:left="0" w:right="0"/>
              <w:jc w:val="center"/>
              <w:rPr>
                <w:rFonts w:hint="default"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分值</w:t>
            </w:r>
          </w:p>
        </w:tc>
        <w:tc>
          <w:tcPr>
            <w:tcW w:w="1350" w:type="pct"/>
            <w:tcBorders>
              <w:top w:val="single" w:color="auto" w:sz="4" w:space="0"/>
              <w:left w:val="single" w:color="auto" w:sz="4" w:space="0"/>
              <w:bottom w:val="single" w:color="auto" w:sz="4" w:space="0"/>
              <w:right w:val="single" w:color="auto" w:sz="4" w:space="0"/>
            </w:tcBorders>
            <w:noWrap w:val="0"/>
            <w:vAlign w:val="top"/>
          </w:tcPr>
          <w:p>
            <w:pPr>
              <w:pStyle w:val="21"/>
              <w:keepNext w:val="0"/>
              <w:keepLines w:val="0"/>
              <w:suppressLineNumbers w:val="0"/>
              <w:spacing w:before="0" w:beforeAutospacing="0" w:after="0" w:afterAutospacing="0" w:line="560" w:lineRule="exact"/>
              <w:ind w:left="0" w:right="0"/>
              <w:jc w:val="center"/>
              <w:rPr>
                <w:rFonts w:hint="default"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sz w:val="32"/>
                <w:szCs w:val="32"/>
                <w:lang w:val="en-US" w:eastAsia="zh-CN"/>
              </w:rPr>
              <w:t>10</w:t>
            </w:r>
            <w:r>
              <w:rPr>
                <w:rFonts w:hint="eastAsia" w:ascii="仿宋_GB2312" w:hAnsi="仿宋_GB2312" w:eastAsia="仿宋_GB2312" w:cs="仿宋_GB2312"/>
                <w:b w:val="0"/>
                <w:bCs/>
                <w:sz w:val="32"/>
                <w:szCs w:val="32"/>
              </w:rPr>
              <w:t>分</w:t>
            </w:r>
          </w:p>
        </w:tc>
        <w:tc>
          <w:tcPr>
            <w:tcW w:w="1317" w:type="pct"/>
            <w:tcBorders>
              <w:top w:val="single" w:color="auto" w:sz="4" w:space="0"/>
              <w:left w:val="single" w:color="auto" w:sz="4" w:space="0"/>
              <w:bottom w:val="single" w:color="auto" w:sz="4" w:space="0"/>
              <w:right w:val="single" w:color="auto" w:sz="4" w:space="0"/>
            </w:tcBorders>
            <w:noWrap w:val="0"/>
            <w:vAlign w:val="top"/>
          </w:tcPr>
          <w:p>
            <w:pPr>
              <w:pStyle w:val="21"/>
              <w:keepNext w:val="0"/>
              <w:keepLines w:val="0"/>
              <w:suppressLineNumbers w:val="0"/>
              <w:spacing w:before="0" w:beforeAutospacing="0" w:after="0" w:afterAutospacing="0" w:line="560" w:lineRule="exact"/>
              <w:ind w:left="0" w:right="0"/>
              <w:jc w:val="center"/>
              <w:rPr>
                <w:rFonts w:hint="default"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sz w:val="32"/>
                <w:szCs w:val="32"/>
                <w:lang w:val="en-US" w:eastAsia="zh-CN"/>
              </w:rPr>
              <w:t>50</w:t>
            </w:r>
            <w:r>
              <w:rPr>
                <w:rFonts w:hint="eastAsia" w:ascii="仿宋_GB2312" w:hAnsi="仿宋_GB2312" w:eastAsia="仿宋_GB2312" w:cs="仿宋_GB2312"/>
                <w:b w:val="0"/>
                <w:bCs/>
                <w:sz w:val="32"/>
                <w:szCs w:val="32"/>
              </w:rPr>
              <w:t>分</w:t>
            </w:r>
          </w:p>
        </w:tc>
        <w:tc>
          <w:tcPr>
            <w:tcW w:w="1394" w:type="pct"/>
            <w:tcBorders>
              <w:top w:val="single" w:color="auto" w:sz="4" w:space="0"/>
              <w:left w:val="single" w:color="auto" w:sz="4" w:space="0"/>
              <w:bottom w:val="single" w:color="auto" w:sz="4" w:space="0"/>
              <w:right w:val="single" w:color="auto" w:sz="4" w:space="0"/>
            </w:tcBorders>
            <w:noWrap w:val="0"/>
            <w:vAlign w:val="top"/>
          </w:tcPr>
          <w:p>
            <w:pPr>
              <w:pStyle w:val="21"/>
              <w:keepNext w:val="0"/>
              <w:keepLines w:val="0"/>
              <w:suppressLineNumbers w:val="0"/>
              <w:spacing w:before="0" w:beforeAutospacing="0" w:after="0" w:afterAutospacing="0" w:line="560" w:lineRule="exact"/>
              <w:ind w:left="0" w:right="0"/>
              <w:jc w:val="center"/>
              <w:rPr>
                <w:rFonts w:hint="default" w:ascii="仿宋_GB2312" w:hAnsi="仿宋_GB2312" w:eastAsia="仿宋_GB2312" w:cs="仿宋_GB2312"/>
                <w:b w:val="0"/>
                <w:bCs/>
                <w:kern w:val="2"/>
                <w:sz w:val="32"/>
                <w:szCs w:val="32"/>
                <w:lang w:val="en-US" w:eastAsia="zh-CN" w:bidi="ar-SA"/>
              </w:rPr>
            </w:pPr>
            <w:r>
              <w:rPr>
                <w:rFonts w:hint="eastAsia" w:ascii="仿宋_GB2312" w:hAnsi="仿宋_GB2312" w:eastAsia="仿宋_GB2312" w:cs="仿宋_GB2312"/>
                <w:b w:val="0"/>
                <w:bCs/>
                <w:sz w:val="32"/>
                <w:szCs w:val="32"/>
                <w:lang w:val="en-US" w:eastAsia="zh-CN"/>
              </w:rPr>
              <w:t>40</w:t>
            </w:r>
            <w:r>
              <w:rPr>
                <w:rFonts w:hint="eastAsia" w:ascii="仿宋_GB2312" w:hAnsi="仿宋_GB2312" w:eastAsia="仿宋_GB2312" w:cs="仿宋_GB2312"/>
                <w:b w:val="0"/>
                <w:bCs/>
                <w:sz w:val="32"/>
                <w:szCs w:val="32"/>
              </w:rPr>
              <w:t>分</w:t>
            </w:r>
          </w:p>
        </w:tc>
      </w:tr>
    </w:tbl>
    <w:p>
      <w:pPr>
        <w:pStyle w:val="21"/>
        <w:spacing w:line="560" w:lineRule="exact"/>
        <w:ind w:firstLine="640" w:firstLineChars="200"/>
        <w:rPr>
          <w:rFonts w:ascii="仿宋_GB2312" w:eastAsia="仿宋_GB2312"/>
          <w:sz w:val="32"/>
          <w:szCs w:val="32"/>
        </w:rPr>
      </w:pPr>
      <w:r>
        <w:rPr>
          <w:rFonts w:hint="eastAsia" w:ascii="楷体_GB2312" w:hAnsi="楷体_GB2312" w:eastAsia="楷体_GB2312" w:cs="楷体_GB2312"/>
          <w:b w:val="0"/>
          <w:bCs/>
          <w:color w:val="000000"/>
          <w:sz w:val="32"/>
          <w:szCs w:val="32"/>
        </w:rPr>
        <w:t>（三）评分标准</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0"/>
        <w:gridCol w:w="1556"/>
        <w:gridCol w:w="52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60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评分内容</w:t>
            </w:r>
          </w:p>
        </w:tc>
        <w:tc>
          <w:tcPr>
            <w:tcW w:w="1556"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评分因素</w:t>
            </w:r>
          </w:p>
        </w:tc>
        <w:tc>
          <w:tcPr>
            <w:tcW w:w="527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eastAsia="zh-CN"/>
              </w:rPr>
              <w:t>评分准则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jc w:val="center"/>
        </w:trPr>
        <w:tc>
          <w:tcPr>
            <w:tcW w:w="1600"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报价</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lang w:val="en-US" w:eastAsia="zh-CN"/>
              </w:rPr>
              <w:t>10分</w:t>
            </w:r>
            <w:r>
              <w:rPr>
                <w:rFonts w:hint="eastAsia" w:ascii="仿宋_GB2312" w:hAnsi="仿宋_GB2312" w:eastAsia="仿宋_GB2312" w:cs="仿宋_GB2312"/>
                <w:sz w:val="32"/>
                <w:szCs w:val="32"/>
                <w:vertAlign w:val="baseline"/>
                <w:lang w:eastAsia="zh-CN"/>
              </w:rPr>
              <w:t>）</w:t>
            </w:r>
          </w:p>
        </w:tc>
        <w:tc>
          <w:tcPr>
            <w:tcW w:w="1556"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价格</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lang w:val="en-US" w:eastAsia="zh-CN"/>
              </w:rPr>
              <w:t>10分</w:t>
            </w:r>
            <w:r>
              <w:rPr>
                <w:rFonts w:hint="eastAsia" w:ascii="仿宋_GB2312" w:hAnsi="仿宋_GB2312" w:eastAsia="仿宋_GB2312" w:cs="仿宋_GB2312"/>
                <w:sz w:val="32"/>
                <w:szCs w:val="32"/>
                <w:vertAlign w:val="baseline"/>
                <w:lang w:eastAsia="zh-CN"/>
              </w:rPr>
              <w:t>）</w:t>
            </w:r>
          </w:p>
        </w:tc>
        <w:tc>
          <w:tcPr>
            <w:tcW w:w="5275"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lang w:val="en-US" w:eastAsia="zh-CN"/>
              </w:rPr>
            </w:pPr>
            <w:r>
              <w:rPr>
                <w:rFonts w:hint="eastAsia" w:ascii="仿宋_GB2312" w:hAnsi="仿宋_GB2312" w:eastAsia="仿宋_GB2312" w:cs="仿宋_GB2312"/>
                <w:sz w:val="32"/>
                <w:szCs w:val="32"/>
              </w:rPr>
              <w:t>报价总额中人力成本占比，占比&lt;86%的得</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分；86%≤占比&lt;87%的得</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分；87%≤占比&lt;88%的得</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分；88%≤占比&lt;89%的得</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分；89%≤占比&lt;90%的得</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分；</w:t>
            </w:r>
            <w:r>
              <w:rPr>
                <w:rFonts w:hint="eastAsia" w:ascii="仿宋_GB2312" w:hAnsi="仿宋_GB2312" w:eastAsia="仿宋_GB2312" w:cs="仿宋_GB2312"/>
                <w:sz w:val="32"/>
                <w:szCs w:val="32"/>
                <w:lang w:val="en-US" w:eastAsia="zh-CN"/>
              </w:rPr>
              <w:t>90</w:t>
            </w:r>
            <w:r>
              <w:rPr>
                <w:rFonts w:hint="eastAsia" w:ascii="仿宋_GB2312" w:hAnsi="仿宋_GB2312" w:eastAsia="仿宋_GB2312" w:cs="仿宋_GB2312"/>
                <w:sz w:val="32"/>
                <w:szCs w:val="32"/>
              </w:rPr>
              <w:t>%≤占比&lt;9</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%的得</w:t>
            </w:r>
            <w:r>
              <w:rPr>
                <w:rFonts w:hint="eastAsia" w:ascii="仿宋_GB2312" w:hAnsi="仿宋_GB2312" w:eastAsia="仿宋_GB2312" w:cs="仿宋_GB2312"/>
                <w:sz w:val="32"/>
                <w:szCs w:val="32"/>
                <w:lang w:val="en-US" w:eastAsia="zh-CN"/>
              </w:rPr>
              <w:t>8分</w:t>
            </w:r>
            <w:r>
              <w:rPr>
                <w:rFonts w:hint="eastAsia" w:ascii="仿宋_GB2312" w:hAnsi="仿宋_GB2312" w:eastAsia="仿宋_GB2312" w:cs="仿宋_GB2312"/>
                <w:sz w:val="32"/>
                <w:szCs w:val="32"/>
              </w:rPr>
              <w:t>；91%≤占比&lt;92%的得</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分；92%≤占比的得1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600"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技术部分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lang w:val="en-US" w:eastAsia="zh-CN"/>
              </w:rPr>
              <w:t>50</w:t>
            </w:r>
            <w:r>
              <w:rPr>
                <w:rFonts w:hint="eastAsia" w:ascii="仿宋_GB2312" w:hAnsi="仿宋_GB2312" w:eastAsia="仿宋_GB2312" w:cs="仿宋_GB2312"/>
                <w:sz w:val="32"/>
                <w:szCs w:val="32"/>
                <w:vertAlign w:val="baseline"/>
                <w:lang w:eastAsia="zh-CN"/>
              </w:rPr>
              <w:t>分）</w:t>
            </w:r>
          </w:p>
        </w:tc>
        <w:tc>
          <w:tcPr>
            <w:tcW w:w="1556"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服务方案</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eastAsia="zh-CN"/>
              </w:rPr>
              <w:t>（</w:t>
            </w:r>
            <w:r>
              <w:rPr>
                <w:rFonts w:hint="eastAsia" w:ascii="仿宋_GB2312" w:hAnsi="仿宋_GB2312" w:eastAsia="仿宋_GB2312" w:cs="仿宋_GB2312"/>
                <w:sz w:val="32"/>
                <w:szCs w:val="32"/>
                <w:vertAlign w:val="baseline"/>
                <w:lang w:val="en-US" w:eastAsia="zh-CN"/>
              </w:rPr>
              <w:t>3</w:t>
            </w:r>
            <w:r>
              <w:rPr>
                <w:rFonts w:hint="eastAsia" w:ascii="仿宋_GB2312" w:hAnsi="仿宋_GB2312" w:eastAsia="仿宋_GB2312" w:cs="仿宋_GB2312"/>
                <w:sz w:val="32"/>
                <w:szCs w:val="32"/>
                <w:vertAlign w:val="baseline"/>
                <w:lang w:eastAsia="zh-CN"/>
              </w:rPr>
              <w:t>0分）</w:t>
            </w:r>
          </w:p>
        </w:tc>
        <w:tc>
          <w:tcPr>
            <w:tcW w:w="5275" w:type="dxa"/>
            <w:noWrap w:val="0"/>
            <w:vAlign w:val="center"/>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rPr>
              <w:t>（一）</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val="en" w:eastAsia="zh-CN"/>
              </w:rPr>
            </w:pPr>
            <w:r>
              <w:rPr>
                <w:rFonts w:hint="eastAsia" w:ascii="仿宋_GB2312" w:hAnsi="仿宋_GB2312" w:eastAsia="仿宋_GB2312" w:cs="仿宋_GB2312"/>
                <w:sz w:val="32"/>
                <w:szCs w:val="32"/>
                <w:vertAlign w:val="baseline"/>
                <w:lang w:val="en" w:eastAsia="zh-CN"/>
              </w:rPr>
              <w:t>根据投标人提供的实施方案，考察包括但不限于：</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val="en" w:eastAsia="zh-CN"/>
              </w:rPr>
            </w:pPr>
            <w:r>
              <w:rPr>
                <w:rFonts w:hint="eastAsia" w:ascii="仿宋_GB2312" w:hAnsi="仿宋_GB2312" w:eastAsia="仿宋_GB2312" w:cs="仿宋_GB2312"/>
                <w:sz w:val="32"/>
                <w:szCs w:val="32"/>
                <w:vertAlign w:val="baseline"/>
                <w:lang w:val="en" w:eastAsia="zh-CN"/>
              </w:rPr>
              <w:t>1.龙华区流浪乞讨等临时遇困人员特点和服务策略；</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440" w:lineRule="exact"/>
              <w:ind w:left="0" w:right="0"/>
              <w:jc w:val="left"/>
              <w:textAlignment w:val="auto"/>
              <w:rPr>
                <w:rFonts w:hint="eastAsia" w:ascii="仿宋_GB2312" w:hAnsi="仿宋_GB2312" w:eastAsia="仿宋_GB2312" w:cs="仿宋_GB2312"/>
                <w:sz w:val="32"/>
                <w:szCs w:val="32"/>
                <w:vertAlign w:val="baseline"/>
                <w:lang w:val="en" w:eastAsia="zh-CN"/>
              </w:rPr>
            </w:pPr>
            <w:r>
              <w:rPr>
                <w:rFonts w:hint="eastAsia" w:ascii="仿宋_GB2312" w:hAnsi="仿宋_GB2312" w:eastAsia="仿宋_GB2312" w:cs="仿宋_GB2312"/>
                <w:sz w:val="32"/>
                <w:szCs w:val="32"/>
                <w:vertAlign w:val="baseline"/>
                <w:lang w:val="en" w:eastAsia="zh-CN"/>
              </w:rPr>
              <w:t>2.项目执行方案；</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依据：</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440" w:lineRule="exact"/>
              <w:ind w:left="0" w:right="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满足以上任意一项要求8分，最高得16分，在此基础上，</w:t>
            </w:r>
            <w:r>
              <w:rPr>
                <w:rFonts w:hint="eastAsia" w:ascii="仿宋_GB2312" w:hAnsi="仿宋_GB2312" w:eastAsia="仿宋_GB2312" w:cs="仿宋_GB2312"/>
                <w:sz w:val="32"/>
                <w:szCs w:val="32"/>
              </w:rPr>
              <w:t>根据供应商的具体响应内容按照量化的评审因素指标进一步评审，设定优、良、中、差四个评分标准：</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1.优：项目实施方案内容全面、具体、针对性强、科学合理、可操作性强、具有创新性得14分；</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2.良：项目实施方案内容较完整、具有一定针对性、相对合理、可操作性较强得9分；</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3.中：项目实施方案内容、针对性、可操作性一般得4分；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kern w:val="2"/>
                <w:sz w:val="32"/>
                <w:szCs w:val="32"/>
                <w:vertAlign w:val="baseline"/>
                <w:lang w:val="en" w:eastAsia="zh-CN" w:bidi="ar-SA"/>
              </w:rPr>
            </w:pPr>
            <w:r>
              <w:rPr>
                <w:rFonts w:hint="eastAsia" w:ascii="仿宋_GB2312" w:hAnsi="仿宋_GB2312" w:eastAsia="仿宋_GB2312" w:cs="仿宋_GB2312"/>
                <w:color w:val="auto"/>
                <w:sz w:val="32"/>
                <w:szCs w:val="32"/>
                <w:highlight w:val="none"/>
                <w:lang w:val="en-US" w:eastAsia="zh-CN"/>
              </w:rPr>
              <w:t>4.差：其它情况不得分。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0"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p>
        </w:tc>
        <w:tc>
          <w:tcPr>
            <w:tcW w:w="1556"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vertAlign w:val="baseline"/>
                <w:lang w:val="en-US" w:eastAsia="zh-CN"/>
              </w:rPr>
            </w:pPr>
            <w:r>
              <w:rPr>
                <w:rFonts w:hint="eastAsia" w:ascii="仿宋_GB2312" w:hAnsi="仿宋_GB2312" w:eastAsia="仿宋_GB2312" w:cs="仿宋_GB2312"/>
                <w:sz w:val="32"/>
                <w:szCs w:val="32"/>
                <w:vertAlign w:val="baseline"/>
                <w:lang w:val="en-US" w:eastAsia="zh-CN"/>
              </w:rPr>
              <w:t>项目重点难点分析、应对措施及相关的合理化建议</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w:t>
            </w:r>
            <w:r>
              <w:rPr>
                <w:rFonts w:hint="eastAsia" w:ascii="仿宋_GB2312" w:hAnsi="仿宋_GB2312" w:eastAsia="仿宋_GB2312" w:cs="仿宋_GB2312"/>
                <w:color w:val="auto"/>
                <w:sz w:val="32"/>
                <w:szCs w:val="32"/>
                <w:highlight w:val="none"/>
                <w:lang w:val="en-US" w:eastAsia="zh-CN"/>
              </w:rPr>
              <w:t>10</w:t>
            </w:r>
            <w:r>
              <w:rPr>
                <w:rFonts w:hint="eastAsia" w:ascii="仿宋_GB2312" w:hAnsi="仿宋_GB2312" w:eastAsia="仿宋_GB2312" w:cs="仿宋_GB2312"/>
                <w:sz w:val="32"/>
                <w:szCs w:val="32"/>
                <w:vertAlign w:val="baseline"/>
                <w:lang w:val="en-US" w:eastAsia="zh-CN"/>
              </w:rPr>
              <w:t>分）</w:t>
            </w:r>
          </w:p>
        </w:tc>
        <w:tc>
          <w:tcPr>
            <w:tcW w:w="5275" w:type="dxa"/>
            <w:noWrap w:val="0"/>
            <w:vAlign w:val="top"/>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44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内容：</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考察对项目工作量、可完成度等重点难点问题的识别和分析能力，并就识别出的重点难点提出可行的应对措施及合理化建议，包括但不限于以下内容：</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1.详细阐述本项目存在的重难点问题；</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2.根据项目重难点，详细阐述对应的应对措施及合理化建议。</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依据：</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满足以上任意一项要求得2分，最高得4分，在此基础上，</w:t>
            </w:r>
            <w:r>
              <w:rPr>
                <w:rFonts w:hint="eastAsia" w:ascii="仿宋_GB2312" w:hAnsi="仿宋_GB2312" w:eastAsia="仿宋_GB2312" w:cs="仿宋_GB2312"/>
                <w:sz w:val="32"/>
                <w:szCs w:val="32"/>
              </w:rPr>
              <w:t>根据供应商的具体响应内容按照量化的评审因素指标进一步评审，设定优、良、中、差四个评分标准：</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优：以上项目重点难点分析、应对措施及相关的合理化建议的三点内容全面具体、针对性强、可操作性强，</w:t>
            </w:r>
            <w:r>
              <w:rPr>
                <w:rFonts w:hint="eastAsia" w:ascii="仿宋_GB2312" w:hAnsi="仿宋_GB2312" w:eastAsia="仿宋_GB2312" w:cs="仿宋_GB2312"/>
                <w:sz w:val="32"/>
                <w:szCs w:val="32"/>
                <w:lang w:eastAsia="zh-CN"/>
              </w:rPr>
              <w:t>分析深入、措施有力、建议具有可行性，</w:t>
            </w:r>
            <w:r>
              <w:rPr>
                <w:rFonts w:hint="eastAsia" w:ascii="仿宋_GB2312" w:hAnsi="仿宋_GB2312" w:eastAsia="仿宋_GB2312" w:cs="仿宋_GB2312"/>
                <w:sz w:val="32"/>
                <w:szCs w:val="32"/>
              </w:rPr>
              <w:t>加</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分；</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良：以上项目重点难点分析、应对措施及相关的合理化建议的三点内容较</w:t>
            </w:r>
            <w:r>
              <w:rPr>
                <w:rFonts w:hint="eastAsia" w:ascii="仿宋_GB2312" w:hAnsi="仿宋_GB2312" w:eastAsia="仿宋_GB2312" w:cs="仿宋_GB2312"/>
                <w:sz w:val="32"/>
                <w:szCs w:val="32"/>
                <w:lang w:eastAsia="zh-CN"/>
              </w:rPr>
              <w:t>丰富完整</w:t>
            </w:r>
            <w:r>
              <w:rPr>
                <w:rFonts w:hint="eastAsia" w:ascii="仿宋_GB2312" w:hAnsi="仿宋_GB2312" w:eastAsia="仿宋_GB2312" w:cs="仿宋_GB2312"/>
                <w:sz w:val="32"/>
                <w:szCs w:val="32"/>
              </w:rPr>
              <w:t>、具有一定针对性、可操作性较强，加</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sz w:val="32"/>
                <w:szCs w:val="32"/>
              </w:rPr>
              <w:t>分；</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中：以上项目重点难点分析、应对措施及相关的合理化建议的三点内容完整性、针对性、可操作性均一般，加</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分；</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差：</w:t>
            </w:r>
            <w:r>
              <w:rPr>
                <w:rFonts w:hint="eastAsia" w:ascii="仿宋_GB2312" w:hAnsi="仿宋_GB2312" w:eastAsia="仿宋_GB2312" w:cs="仿宋_GB2312"/>
                <w:color w:val="auto"/>
                <w:sz w:val="32"/>
                <w:szCs w:val="32"/>
                <w:highlight w:val="none"/>
                <w:lang w:val="en-US" w:eastAsia="zh-CN"/>
              </w:rPr>
              <w:t>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60" w:hRule="atLeast"/>
          <w:jc w:val="center"/>
        </w:trPr>
        <w:tc>
          <w:tcPr>
            <w:tcW w:w="1600"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p>
        </w:tc>
        <w:tc>
          <w:tcPr>
            <w:tcW w:w="1556"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vertAlign w:val="baseline"/>
                <w:lang w:eastAsia="zh-CN"/>
              </w:rPr>
            </w:pPr>
            <w:r>
              <w:rPr>
                <w:rFonts w:hint="eastAsia" w:ascii="仿宋_GB2312" w:hAnsi="仿宋_GB2312" w:eastAsia="仿宋_GB2312" w:cs="仿宋_GB2312"/>
                <w:sz w:val="32"/>
                <w:szCs w:val="32"/>
                <w:highlight w:val="none"/>
                <w:vertAlign w:val="baseline"/>
                <w:lang w:eastAsia="zh-CN"/>
              </w:rPr>
              <w:t>质量保障措施及方案</w:t>
            </w:r>
          </w:p>
          <w:p>
            <w:pPr>
              <w:pStyle w:val="2"/>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leftChars="0" w:right="0" w:firstLine="0" w:firstLineChars="0"/>
              <w:jc w:val="left"/>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highlight w:val="none"/>
                <w:vertAlign w:val="baseline"/>
                <w:lang w:eastAsia="zh-CN"/>
              </w:rPr>
              <w:t>（</w:t>
            </w:r>
            <w:r>
              <w:rPr>
                <w:rFonts w:hint="eastAsia" w:ascii="仿宋_GB2312" w:hAnsi="仿宋_GB2312" w:eastAsia="仿宋_GB2312" w:cs="仿宋_GB2312"/>
                <w:sz w:val="32"/>
                <w:szCs w:val="32"/>
                <w:highlight w:val="none"/>
                <w:vertAlign w:val="baseline"/>
                <w:lang w:val="en-US" w:eastAsia="zh-CN"/>
              </w:rPr>
              <w:t>10分</w:t>
            </w:r>
            <w:r>
              <w:rPr>
                <w:rFonts w:hint="eastAsia" w:ascii="仿宋_GB2312" w:hAnsi="仿宋_GB2312" w:eastAsia="仿宋_GB2312" w:cs="仿宋_GB2312"/>
                <w:sz w:val="32"/>
                <w:szCs w:val="32"/>
                <w:highlight w:val="none"/>
                <w:vertAlign w:val="baseline"/>
                <w:lang w:eastAsia="zh-CN"/>
              </w:rPr>
              <w:t>）</w:t>
            </w:r>
          </w:p>
        </w:tc>
        <w:tc>
          <w:tcPr>
            <w:tcW w:w="5275" w:type="dxa"/>
            <w:noWrap w:val="0"/>
            <w:vAlign w:val="top"/>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b/>
                <w:bCs/>
                <w:sz w:val="32"/>
                <w:szCs w:val="32"/>
                <w:highlight w:val="none"/>
              </w:rPr>
              <w:t>（一）</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内容：</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根据对项目的理解及自身管理经验，针对本项目提出质量（完成时间、安全）保障措施及方案。包括但不限于以下内容：</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1.具备详细的完成时间保障措施；</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2.详细阐述项目人员保障措施；</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eastAsia="zh-CN"/>
              </w:rPr>
              <w:t>3.详细阐述项目质量保障措施。</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依据：</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满足以上任意一项要求得2分，最高得6分，在此基础上，</w:t>
            </w:r>
            <w:r>
              <w:rPr>
                <w:rFonts w:hint="eastAsia" w:ascii="仿宋_GB2312" w:hAnsi="仿宋_GB2312" w:eastAsia="仿宋_GB2312" w:cs="仿宋_GB2312"/>
                <w:sz w:val="32"/>
                <w:szCs w:val="32"/>
                <w:highlight w:val="none"/>
                <w:lang w:eastAsia="zh-CN"/>
              </w:rPr>
              <w:t>根据供应商的具体响应内容按照量化的评审因素指标进一步评审，设定优、良、中、差四个评分标准</w:t>
            </w:r>
            <w:r>
              <w:rPr>
                <w:rFonts w:hint="eastAsia" w:ascii="仿宋_GB2312" w:hAnsi="仿宋_GB2312" w:eastAsia="仿宋_GB2312" w:cs="仿宋_GB2312"/>
                <w:sz w:val="32"/>
                <w:szCs w:val="32"/>
                <w:highlight w:val="none"/>
                <w:lang w:val="en-US" w:eastAsia="zh-CN"/>
              </w:rPr>
              <w:t>：</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优：以上项目质量保障措施及方案三点内容全面具体、针对性强、可操作性强，保障措施丰富，加</w:t>
            </w: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分；</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良：以上项目质量保障措施及方案的三点内容较丰富、针对性较强、可操作性较强，加</w:t>
            </w:r>
            <w:r>
              <w:rPr>
                <w:rFonts w:hint="eastAsia" w:ascii="仿宋_GB2312" w:hAnsi="仿宋_GB2312" w:eastAsia="仿宋_GB2312" w:cs="仿宋_GB2312"/>
                <w:sz w:val="32"/>
                <w:szCs w:val="32"/>
                <w:highlight w:val="none"/>
                <w:lang w:val="en-US" w:eastAsia="zh-CN"/>
              </w:rPr>
              <w:t>2</w:t>
            </w:r>
            <w:r>
              <w:rPr>
                <w:rFonts w:hint="eastAsia" w:ascii="仿宋_GB2312" w:hAnsi="仿宋_GB2312" w:eastAsia="仿宋_GB2312" w:cs="仿宋_GB2312"/>
                <w:sz w:val="32"/>
                <w:szCs w:val="32"/>
                <w:highlight w:val="none"/>
                <w:lang w:eastAsia="zh-CN"/>
              </w:rPr>
              <w:t>分；</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lang w:eastAsia="zh-CN"/>
              </w:rPr>
              <w:t>中：以上项目质量保障措施及方案三点内容完整性、针对性、可操作性均一般，加</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lang w:eastAsia="zh-CN"/>
              </w:rPr>
              <w:t>分；</w:t>
            </w:r>
          </w:p>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highlight w:val="none"/>
                <w:lang w:val="en-US" w:eastAsia="zh-CN"/>
              </w:rPr>
              <w:t>4.</w:t>
            </w:r>
            <w:r>
              <w:rPr>
                <w:rFonts w:hint="eastAsia" w:ascii="仿宋_GB2312" w:hAnsi="仿宋_GB2312" w:eastAsia="仿宋_GB2312" w:cs="仿宋_GB2312"/>
                <w:sz w:val="32"/>
                <w:szCs w:val="32"/>
                <w:highlight w:val="none"/>
                <w:lang w:eastAsia="zh-CN"/>
              </w:rPr>
              <w:t>差：</w:t>
            </w:r>
            <w:r>
              <w:rPr>
                <w:rFonts w:hint="eastAsia" w:ascii="仿宋_GB2312" w:hAnsi="仿宋_GB2312" w:eastAsia="仿宋_GB2312" w:cs="仿宋_GB2312"/>
                <w:sz w:val="32"/>
                <w:szCs w:val="32"/>
                <w:highlight w:val="none"/>
                <w:lang w:val="en-US" w:eastAsia="zh-CN"/>
              </w:rPr>
              <w:t>其它情况不得分。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0" w:type="dxa"/>
            <w:vMerge w:val="restart"/>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商务部分（</w:t>
            </w:r>
            <w:r>
              <w:rPr>
                <w:rFonts w:hint="eastAsia" w:ascii="仿宋_GB2312" w:hAnsi="仿宋_GB2312" w:eastAsia="仿宋_GB2312" w:cs="仿宋_GB2312"/>
                <w:sz w:val="32"/>
                <w:szCs w:val="32"/>
                <w:vertAlign w:val="baseline"/>
                <w:lang w:val="en-US" w:eastAsia="zh-CN"/>
              </w:rPr>
              <w:t>40</w:t>
            </w:r>
            <w:r>
              <w:rPr>
                <w:rFonts w:hint="eastAsia" w:ascii="仿宋_GB2312" w:hAnsi="仿宋_GB2312" w:eastAsia="仿宋_GB2312" w:cs="仿宋_GB2312"/>
                <w:sz w:val="32"/>
                <w:szCs w:val="32"/>
                <w:vertAlign w:val="baseline"/>
                <w:lang w:eastAsia="zh-CN"/>
              </w:rPr>
              <w:t>分）</w:t>
            </w:r>
          </w:p>
        </w:tc>
        <w:tc>
          <w:tcPr>
            <w:tcW w:w="1556" w:type="dxa"/>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eastAsia="zh-CN"/>
              </w:rPr>
              <w:t>同类项目经验（</w:t>
            </w:r>
            <w:r>
              <w:rPr>
                <w:rFonts w:hint="eastAsia" w:ascii="仿宋_GB2312" w:hAnsi="仿宋_GB2312" w:eastAsia="仿宋_GB2312" w:cs="仿宋_GB2312"/>
                <w:sz w:val="32"/>
                <w:szCs w:val="32"/>
                <w:vertAlign w:val="baseline"/>
                <w:lang w:val="en-US" w:eastAsia="zh-CN"/>
              </w:rPr>
              <w:t>20分</w:t>
            </w:r>
            <w:r>
              <w:rPr>
                <w:rFonts w:hint="eastAsia" w:ascii="仿宋_GB2312" w:hAnsi="仿宋_GB2312" w:eastAsia="仿宋_GB2312" w:cs="仿宋_GB2312"/>
                <w:sz w:val="32"/>
                <w:szCs w:val="32"/>
                <w:vertAlign w:val="baseline"/>
                <w:lang w:eastAsia="zh-CN"/>
              </w:rPr>
              <w:t>）</w:t>
            </w:r>
          </w:p>
        </w:tc>
        <w:tc>
          <w:tcPr>
            <w:tcW w:w="5275" w:type="dxa"/>
            <w:noWrap w:val="0"/>
            <w:vAlign w:val="top"/>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440" w:lineRule="exact"/>
              <w:ind w:left="0" w:right="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投标人自202</w:t>
            </w:r>
            <w:r>
              <w:rPr>
                <w:rFonts w:hint="eastAsia" w:ascii="仿宋_GB2312" w:hAnsi="仿宋_GB2312" w:eastAsia="仿宋_GB2312" w:cs="仿宋_GB2312"/>
                <w:sz w:val="32"/>
                <w:szCs w:val="32"/>
                <w:vertAlign w:val="baseline"/>
                <w:lang w:val="en-US" w:eastAsia="zh-CN"/>
              </w:rPr>
              <w:t>3</w:t>
            </w:r>
            <w:r>
              <w:rPr>
                <w:rFonts w:hint="eastAsia" w:ascii="仿宋_GB2312" w:hAnsi="仿宋_GB2312" w:eastAsia="仿宋_GB2312" w:cs="仿宋_GB2312"/>
                <w:sz w:val="32"/>
                <w:szCs w:val="32"/>
                <w:vertAlign w:val="baseline"/>
                <w:lang w:eastAsia="zh-CN"/>
              </w:rPr>
              <w:t>年1月1日至本项目截标之日内所签订社会救助或流浪乞讨人员救助的社会工作服务运营类项目合同（以合同签订日期为准）。</w:t>
            </w:r>
          </w:p>
          <w:p>
            <w:pPr>
              <w:keepNext w:val="0"/>
              <w:keepLines w:val="0"/>
              <w:pageBreakBefore w:val="0"/>
              <w:widowControl w:val="0"/>
              <w:suppressLineNumbers w:val="0"/>
              <w:kinsoku/>
              <w:wordWrap/>
              <w:overflowPunct/>
              <w:autoSpaceDE/>
              <w:autoSpaceDN/>
              <w:bidi w:val="0"/>
              <w:adjustRightInd/>
              <w:snapToGrid/>
              <w:spacing w:before="0" w:beforeAutospacing="0" w:after="0" w:afterAutospacing="0" w:line="440" w:lineRule="exact"/>
              <w:ind w:left="0" w:right="0" w:firstLine="0" w:firstLineChars="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w:t>
            </w:r>
            <w:r>
              <w:rPr>
                <w:rFonts w:hint="eastAsia" w:ascii="仿宋_GB2312" w:hAnsi="仿宋_GB2312" w:eastAsia="仿宋_GB2312" w:cs="仿宋_GB2312"/>
                <w:b/>
                <w:bCs/>
                <w:sz w:val="32"/>
                <w:szCs w:val="32"/>
                <w:lang w:eastAsia="zh-CN"/>
              </w:rPr>
              <w:t>评审</w:t>
            </w:r>
            <w:r>
              <w:rPr>
                <w:rFonts w:hint="eastAsia" w:ascii="仿宋_GB2312" w:hAnsi="仿宋_GB2312" w:eastAsia="仿宋_GB2312" w:cs="仿宋_GB2312"/>
                <w:b/>
                <w:bCs/>
                <w:sz w:val="32"/>
                <w:szCs w:val="32"/>
              </w:rPr>
              <w:t>依据：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1</w:t>
            </w:r>
            <w:r>
              <w:rPr>
                <w:rFonts w:hint="eastAsia" w:ascii="仿宋_GB2312" w:hAnsi="仿宋_GB2312" w:eastAsia="仿宋_GB2312" w:cs="仿宋_GB2312"/>
                <w:sz w:val="32"/>
                <w:szCs w:val="32"/>
                <w:vertAlign w:val="baseline"/>
                <w:lang w:val="en-US" w:eastAsia="zh-CN"/>
              </w:rPr>
              <w:t>.</w:t>
            </w:r>
            <w:r>
              <w:rPr>
                <w:rFonts w:hint="eastAsia" w:ascii="仿宋_GB2312" w:hAnsi="仿宋_GB2312" w:eastAsia="仿宋_GB2312" w:cs="仿宋_GB2312"/>
                <w:sz w:val="32"/>
                <w:szCs w:val="32"/>
                <w:vertAlign w:val="baseline"/>
                <w:lang w:eastAsia="zh-CN"/>
              </w:rPr>
              <w:t>每项业绩按以下要求提供完整准确的证明文件，一个合同计算一个业绩，一年一签的续签合同只计算一个业绩：</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合同关键页（关键信息包括但不仅限于合同的项目名称、服务内容、合同服务的起止时间、合同双方的盖章、签订日期等）；</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r>
              <w:rPr>
                <w:rFonts w:hint="eastAsia" w:ascii="仿宋_GB2312" w:hAnsi="仿宋_GB2312" w:eastAsia="仿宋_GB2312" w:cs="仿宋_GB2312"/>
                <w:sz w:val="32"/>
                <w:szCs w:val="32"/>
                <w:vertAlign w:val="baseline"/>
                <w:lang w:eastAsia="zh-CN"/>
              </w:rPr>
              <w:t>2</w:t>
            </w:r>
            <w:r>
              <w:rPr>
                <w:rFonts w:hint="eastAsia" w:ascii="仿宋_GB2312" w:hAnsi="仿宋_GB2312" w:eastAsia="仿宋_GB2312" w:cs="仿宋_GB2312"/>
                <w:sz w:val="32"/>
                <w:szCs w:val="32"/>
                <w:vertAlign w:val="baseline"/>
                <w:lang w:val="en-US" w:eastAsia="zh-CN"/>
              </w:rPr>
              <w:t>.</w:t>
            </w:r>
            <w:r>
              <w:rPr>
                <w:rFonts w:hint="eastAsia" w:ascii="仿宋_GB2312" w:hAnsi="仿宋_GB2312" w:eastAsia="仿宋_GB2312" w:cs="仿宋_GB2312"/>
                <w:sz w:val="32"/>
                <w:szCs w:val="32"/>
                <w:vertAlign w:val="baseline"/>
                <w:lang w:eastAsia="zh-CN"/>
              </w:rPr>
              <w:t>未提供证明材料或者提供的证明材料不符合要求或提供的证明材料不清晰导致（临时）采购小组无法辨认的，不得分。</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vertAlign w:val="baseline"/>
                <w:lang w:val="en-US" w:eastAsia="zh-CN"/>
              </w:rPr>
              <w:t>3.</w:t>
            </w:r>
            <w:r>
              <w:rPr>
                <w:rFonts w:hint="eastAsia" w:ascii="仿宋_GB2312" w:hAnsi="仿宋_GB2312" w:eastAsia="仿宋_GB2312" w:cs="仿宋_GB2312"/>
                <w:sz w:val="32"/>
                <w:szCs w:val="32"/>
                <w:vertAlign w:val="baseline"/>
                <w:lang w:eastAsia="zh-CN"/>
              </w:rPr>
              <w:t>每提供1个同类项目经验得</w:t>
            </w:r>
            <w:r>
              <w:rPr>
                <w:rFonts w:hint="eastAsia" w:ascii="仿宋_GB2312" w:hAnsi="仿宋_GB2312" w:eastAsia="仿宋_GB2312" w:cs="仿宋_GB2312"/>
                <w:sz w:val="32"/>
                <w:szCs w:val="32"/>
                <w:vertAlign w:val="baseline"/>
                <w:lang w:val="en-US" w:eastAsia="zh-CN"/>
              </w:rPr>
              <w:t>5</w:t>
            </w:r>
            <w:r>
              <w:rPr>
                <w:rFonts w:hint="eastAsia" w:ascii="仿宋_GB2312" w:hAnsi="仿宋_GB2312" w:eastAsia="仿宋_GB2312" w:cs="仿宋_GB2312"/>
                <w:sz w:val="32"/>
                <w:szCs w:val="32"/>
                <w:vertAlign w:val="baseline"/>
                <w:lang w:eastAsia="zh-CN"/>
              </w:rPr>
              <w:t>分，最高得</w:t>
            </w:r>
            <w:r>
              <w:rPr>
                <w:rFonts w:hint="eastAsia" w:ascii="仿宋_GB2312" w:hAnsi="仿宋_GB2312" w:eastAsia="仿宋_GB2312" w:cs="仿宋_GB2312"/>
                <w:sz w:val="32"/>
                <w:szCs w:val="32"/>
                <w:vertAlign w:val="baseline"/>
                <w:lang w:val="en-US" w:eastAsia="zh-CN"/>
              </w:rPr>
              <w:t>20</w:t>
            </w:r>
            <w:r>
              <w:rPr>
                <w:rFonts w:hint="eastAsia" w:ascii="仿宋_GB2312" w:hAnsi="仿宋_GB2312" w:eastAsia="仿宋_GB2312" w:cs="仿宋_GB2312"/>
                <w:sz w:val="32"/>
                <w:szCs w:val="32"/>
                <w:vertAlign w:val="baseline"/>
                <w:lang w:eastAsia="zh-CN"/>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0"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eastAsia="zh-CN"/>
              </w:rPr>
            </w:pPr>
          </w:p>
        </w:tc>
        <w:tc>
          <w:tcPr>
            <w:tcW w:w="1556"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vertAlign w:val="baseline"/>
                <w:lang w:eastAsia="zh-CN"/>
              </w:rPr>
              <w:t>拟安排的项目团队成员情况</w:t>
            </w:r>
            <w:r>
              <w:rPr>
                <w:rFonts w:hint="eastAsia" w:ascii="仿宋_GB2312" w:hAnsi="仿宋_GB2312" w:eastAsia="仿宋_GB2312" w:cs="仿宋_GB2312"/>
                <w:sz w:val="32"/>
                <w:szCs w:val="32"/>
                <w:vertAlign w:val="baseline"/>
                <w:lang w:val="en-US" w:eastAsia="zh-CN"/>
              </w:rPr>
              <w:t>（15分）</w:t>
            </w:r>
          </w:p>
        </w:tc>
        <w:tc>
          <w:tcPr>
            <w:tcW w:w="5275" w:type="dxa"/>
            <w:noWrap w:val="0"/>
            <w:vAlign w:val="center"/>
          </w:tcPr>
          <w:p>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（一）评审内容：</w:t>
            </w:r>
          </w:p>
          <w:p>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需满足以下条件：</w:t>
            </w:r>
          </w:p>
          <w:p>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社会工作或相关专业（社会学、心理学等）全日制本科及以上学历，每1人得2分，最高</w:t>
            </w:r>
            <w:r>
              <w:rPr>
                <w:rFonts w:hint="eastAsia" w:ascii="仿宋_GB2312" w:hAnsi="仿宋_GB2312" w:eastAsia="仿宋_GB2312" w:cs="仿宋_GB2312"/>
                <w:sz w:val="32"/>
                <w:szCs w:val="32"/>
              </w:rPr>
              <w:t>得</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分；</w:t>
            </w:r>
          </w:p>
          <w:p>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2.持社会工作师及以上职业资格等级证书的，</w:t>
            </w:r>
            <w:r>
              <w:rPr>
                <w:rFonts w:hint="eastAsia" w:ascii="仿宋_GB2312" w:hAnsi="仿宋_GB2312" w:eastAsia="仿宋_GB2312" w:cs="仿宋_GB2312"/>
                <w:sz w:val="32"/>
                <w:szCs w:val="32"/>
                <w:lang w:val="en-US" w:eastAsia="zh-CN"/>
              </w:rPr>
              <w:t>每1人得2分，最高</w:t>
            </w:r>
            <w:r>
              <w:rPr>
                <w:rFonts w:hint="eastAsia" w:ascii="仿宋_GB2312" w:hAnsi="仿宋_GB2312" w:eastAsia="仿宋_GB2312" w:cs="仿宋_GB2312"/>
                <w:sz w:val="32"/>
                <w:szCs w:val="32"/>
              </w:rPr>
              <w:t>得</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分；</w:t>
            </w:r>
          </w:p>
          <w:p>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3.具备政府购买社工服务类项目经验的，累计每满1年得</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分，最高</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分；</w:t>
            </w:r>
          </w:p>
          <w:p>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本项最高15分；需提供证书、学历、社保、工作证明等材料。</w:t>
            </w:r>
          </w:p>
          <w:p>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（二）评审依据：</w:t>
            </w:r>
          </w:p>
          <w:p>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1.提供学位或学历证书，并提供学信网查询记录，原件备查；</w:t>
            </w:r>
          </w:p>
          <w:p>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2.提供相关证书证明材料；</w:t>
            </w:r>
          </w:p>
          <w:p>
            <w:pPr>
              <w:keepNext w:val="0"/>
              <w:keepLines w:val="0"/>
              <w:suppressLineNumbers w:val="0"/>
              <w:spacing w:before="0" w:beforeAutospacing="0" w:after="0" w:afterAutospacing="0" w:line="440" w:lineRule="exact"/>
              <w:ind w:left="0" w:right="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3.工作经验需提供合同关键页或其他可以证明的材料，合同关键页（关键信息包括但不仅限于合同的项目名称、项目负责人/团队成员名字、服务内容、合同双方盖章页），以及满足评分要求的服务内容；</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kern w:val="2"/>
                <w:sz w:val="32"/>
                <w:szCs w:val="32"/>
                <w:lang w:val="en-US" w:eastAsia="zh-CN" w:bidi="ar-SA"/>
              </w:rPr>
            </w:pPr>
            <w:r>
              <w:rPr>
                <w:rFonts w:hint="eastAsia" w:ascii="仿宋_GB2312" w:hAnsi="仿宋_GB2312" w:eastAsia="仿宋_GB2312" w:cs="仿宋_GB2312"/>
                <w:sz w:val="32"/>
                <w:szCs w:val="32"/>
              </w:rPr>
              <w:t>4.以上人员近</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个月在本单位社保缴纳记录（如投标日上一个月的社保材料因社保部门原因暂时无法取得，则可以往前顺延一个月；若公司成立不足三个月的，则提供公司自成立之日起的社保证明）。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00" w:type="dxa"/>
            <w:vMerge w:val="continue"/>
            <w:noWrap w:val="0"/>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sz w:val="32"/>
                <w:szCs w:val="32"/>
                <w:vertAlign w:val="baseline"/>
                <w:lang w:val="en-US" w:eastAsia="zh-CN"/>
              </w:rPr>
            </w:pPr>
          </w:p>
        </w:tc>
        <w:tc>
          <w:tcPr>
            <w:tcW w:w="1556" w:type="dxa"/>
            <w:noWrap w:val="0"/>
            <w:vAlign w:val="center"/>
          </w:tcPr>
          <w:p>
            <w:pPr>
              <w:keepNext w:val="0"/>
              <w:keepLines w:val="0"/>
              <w:pageBreakBefore w:val="0"/>
              <w:widowControl w:val="0"/>
              <w:suppressLineNumbers w:val="0"/>
              <w:kinsoku/>
              <w:wordWrap/>
              <w:overflowPunct/>
              <w:autoSpaceDE/>
              <w:autoSpaceDN/>
              <w:bidi w:val="0"/>
              <w:adjustRightInd/>
              <w:spacing w:before="0" w:beforeAutospacing="0" w:after="0" w:afterAutospacing="0" w:line="440" w:lineRule="exact"/>
              <w:ind w:left="0" w:right="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项目完成（服务期满）</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eastAsia"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lang w:val="en-US" w:eastAsia="zh-CN"/>
              </w:rPr>
              <w:t>后的服务承诺（</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sz w:val="32"/>
                <w:szCs w:val="32"/>
                <w:lang w:val="en-US" w:eastAsia="zh-CN"/>
              </w:rPr>
              <w:t>分）</w:t>
            </w:r>
          </w:p>
        </w:tc>
        <w:tc>
          <w:tcPr>
            <w:tcW w:w="5275" w:type="dxa"/>
            <w:noWrap w:val="0"/>
            <w:vAlign w:val="center"/>
          </w:tcPr>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440" w:lineRule="exact"/>
              <w:ind w:left="0" w:right="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（一）</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内容：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440" w:lineRule="exact"/>
              <w:ind w:left="0" w:right="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根据针对本项目做出的服务承诺，考察包括但不限于以下内容：</w:t>
            </w:r>
            <w:r>
              <w:rPr>
                <w:rFonts w:hint="eastAsia" w:ascii="仿宋_GB2312" w:hAnsi="仿宋_GB2312" w:eastAsia="仿宋_GB2312" w:cs="仿宋_GB2312"/>
                <w:color w:val="auto"/>
                <w:sz w:val="32"/>
                <w:szCs w:val="32"/>
                <w:highlight w:val="none"/>
                <w:lang w:val="en-US" w:eastAsia="zh-CN"/>
              </w:rPr>
              <w:br w:type="textWrapping"/>
            </w:r>
            <w:r>
              <w:rPr>
                <w:rFonts w:hint="eastAsia" w:ascii="仿宋_GB2312" w:hAnsi="仿宋_GB2312" w:eastAsia="仿宋_GB2312" w:cs="仿宋_GB2312"/>
                <w:color w:val="auto"/>
                <w:sz w:val="32"/>
                <w:szCs w:val="32"/>
                <w:highlight w:val="none"/>
                <w:lang w:val="en-US" w:eastAsia="zh-CN"/>
              </w:rPr>
              <w:t>1.在服务期满后主动交接项目相关资料；</w:t>
            </w:r>
          </w:p>
          <w:p>
            <w:pPr>
              <w:keepNext w:val="0"/>
              <w:keepLines w:val="0"/>
              <w:pageBreakBefore w:val="0"/>
              <w:widowControl w:val="0"/>
              <w:numPr>
                <w:ilvl w:val="0"/>
                <w:numId w:val="0"/>
              </w:numPr>
              <w:suppressLineNumbers w:val="0"/>
              <w:kinsoku/>
              <w:wordWrap/>
              <w:overflowPunct/>
              <w:topLinePunct/>
              <w:autoSpaceDE/>
              <w:autoSpaceDN/>
              <w:bidi w:val="0"/>
              <w:adjustRightInd/>
              <w:snapToGrid w:val="0"/>
              <w:spacing w:before="0" w:beforeAutospacing="0" w:after="0" w:afterAutospacing="0" w:line="440" w:lineRule="exact"/>
              <w:ind w:left="0" w:right="0"/>
              <w:jc w:val="left"/>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2.配合项目检查审计等事项。</w:t>
            </w:r>
          </w:p>
          <w:p>
            <w:pPr>
              <w:keepNext w:val="0"/>
              <w:keepLines w:val="0"/>
              <w:pageBreakBefore w:val="0"/>
              <w:widowControl w:val="0"/>
              <w:suppressLineNumbers w:val="0"/>
              <w:kinsoku/>
              <w:wordWrap/>
              <w:overflowPunct/>
              <w:topLinePunct/>
              <w:autoSpaceDE/>
              <w:autoSpaceDN/>
              <w:bidi w:val="0"/>
              <w:adjustRightInd/>
              <w:snapToGrid w:val="0"/>
              <w:spacing w:before="0" w:beforeAutospacing="0" w:after="0" w:afterAutospacing="0" w:line="440" w:lineRule="exact"/>
              <w:ind w:left="0" w:right="0"/>
              <w:jc w:val="left"/>
              <w:textAlignment w:val="auto"/>
              <w:rPr>
                <w:rFonts w:hint="eastAsia" w:ascii="仿宋_GB2312" w:hAnsi="仿宋_GB2312" w:eastAsia="仿宋_GB2312" w:cs="仿宋_GB2312"/>
                <w:b/>
                <w:bCs/>
                <w:sz w:val="32"/>
                <w:szCs w:val="32"/>
                <w:highlight w:val="none"/>
              </w:rPr>
            </w:pPr>
            <w:r>
              <w:rPr>
                <w:rFonts w:hint="eastAsia" w:ascii="仿宋_GB2312" w:hAnsi="仿宋_GB2312" w:eastAsia="仿宋_GB2312" w:cs="仿宋_GB2312"/>
                <w:b/>
                <w:bCs/>
                <w:sz w:val="32"/>
                <w:szCs w:val="32"/>
                <w:highlight w:val="none"/>
              </w:rPr>
              <w:t>（二）</w:t>
            </w:r>
            <w:r>
              <w:rPr>
                <w:rFonts w:hint="eastAsia" w:ascii="仿宋_GB2312" w:hAnsi="仿宋_GB2312" w:eastAsia="仿宋_GB2312" w:cs="仿宋_GB2312"/>
                <w:b/>
                <w:bCs/>
                <w:sz w:val="32"/>
                <w:szCs w:val="32"/>
                <w:highlight w:val="none"/>
                <w:lang w:eastAsia="zh-CN"/>
              </w:rPr>
              <w:t>评审</w:t>
            </w:r>
            <w:r>
              <w:rPr>
                <w:rFonts w:hint="eastAsia" w:ascii="仿宋_GB2312" w:hAnsi="仿宋_GB2312" w:eastAsia="仿宋_GB2312" w:cs="仿宋_GB2312"/>
                <w:b/>
                <w:bCs/>
                <w:sz w:val="32"/>
                <w:szCs w:val="32"/>
                <w:highlight w:val="none"/>
              </w:rPr>
              <w:t>依据：</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exact"/>
              <w:ind w:left="0" w:right="0"/>
              <w:jc w:val="left"/>
              <w:textAlignment w:val="auto"/>
              <w:rPr>
                <w:rFonts w:hint="default" w:ascii="仿宋_GB2312" w:hAnsi="仿宋_GB2312" w:eastAsia="仿宋_GB2312" w:cs="仿宋_GB2312"/>
                <w:kern w:val="2"/>
                <w:sz w:val="32"/>
                <w:szCs w:val="32"/>
                <w:vertAlign w:val="baseline"/>
                <w:lang w:val="en-US" w:eastAsia="zh-CN" w:bidi="ar-SA"/>
              </w:rPr>
            </w:pPr>
            <w:r>
              <w:rPr>
                <w:rFonts w:hint="eastAsia" w:ascii="仿宋_GB2312" w:hAnsi="仿宋_GB2312" w:eastAsia="仿宋_GB2312" w:cs="仿宋_GB2312"/>
                <w:sz w:val="32"/>
                <w:szCs w:val="32"/>
                <w:highlight w:val="none"/>
              </w:rPr>
              <w:t>提供</w:t>
            </w:r>
            <w:r>
              <w:rPr>
                <w:rFonts w:hint="eastAsia" w:ascii="仿宋_GB2312" w:hAnsi="仿宋_GB2312" w:eastAsia="仿宋_GB2312" w:cs="仿宋_GB2312"/>
                <w:sz w:val="32"/>
                <w:szCs w:val="32"/>
                <w:highlight w:val="none"/>
                <w:lang w:eastAsia="zh-CN"/>
              </w:rPr>
              <w:t>服务</w:t>
            </w:r>
            <w:r>
              <w:rPr>
                <w:rFonts w:hint="eastAsia" w:ascii="仿宋_GB2312" w:hAnsi="仿宋_GB2312" w:eastAsia="仿宋_GB2312" w:cs="仿宋_GB2312"/>
                <w:sz w:val="32"/>
                <w:szCs w:val="32"/>
                <w:highlight w:val="none"/>
              </w:rPr>
              <w:t>承诺函（格式自拟）并加盖投标人公章，未提供承诺或承诺内容不满足要求不得分。</w:t>
            </w:r>
          </w:p>
        </w:tc>
      </w:tr>
    </w:tbl>
    <w:p>
      <w:pPr>
        <w:pStyle w:val="21"/>
        <w:spacing w:line="560" w:lineRule="exact"/>
        <w:ind w:firstLine="640" w:firstLineChars="200"/>
        <w:rPr>
          <w:rFonts w:hint="eastAsia" w:ascii="方正黑体_GBK" w:hAnsi="方正黑体_GBK" w:eastAsia="方正黑体_GBK" w:cs="方正黑体_GBK"/>
          <w:b w:val="0"/>
          <w:bCs/>
          <w:color w:val="000000"/>
          <w:sz w:val="32"/>
          <w:szCs w:val="32"/>
          <w:lang w:eastAsia="zh-CN"/>
        </w:rPr>
      </w:pPr>
      <w:r>
        <w:rPr>
          <w:rFonts w:hint="eastAsia" w:ascii="方正黑体_GBK" w:hAnsi="方正黑体_GBK" w:eastAsia="方正黑体_GBK" w:cs="方正黑体_GBK"/>
          <w:b w:val="0"/>
          <w:bCs/>
          <w:color w:val="000000"/>
          <w:sz w:val="32"/>
          <w:szCs w:val="32"/>
          <w:lang w:eastAsia="zh-CN"/>
        </w:rPr>
        <w:t>十、</w:t>
      </w:r>
      <w:r>
        <w:rPr>
          <w:rFonts w:hint="eastAsia" w:ascii="方正黑体_GBK" w:hAnsi="方正黑体_GBK" w:eastAsia="方正黑体_GBK" w:cs="方正黑体_GBK"/>
          <w:b w:val="0"/>
          <w:bCs/>
          <w:color w:val="000000"/>
          <w:sz w:val="32"/>
          <w:szCs w:val="32"/>
        </w:rPr>
        <w:t>供应商提供资料清单</w:t>
      </w:r>
      <w:r>
        <w:rPr>
          <w:rFonts w:hint="eastAsia" w:ascii="方正黑体_GBK" w:hAnsi="方正黑体_GBK" w:eastAsia="方正黑体_GBK" w:cs="方正黑体_GBK"/>
          <w:b w:val="0"/>
          <w:bCs/>
          <w:color w:val="000000" w:themeColor="text1"/>
          <w:sz w:val="32"/>
          <w:szCs w:val="32"/>
          <w:lang w:eastAsia="zh-CN"/>
          <w14:textFill>
            <w14:solidFill>
              <w14:schemeClr w14:val="tx1"/>
            </w14:solidFill>
          </w14:textFill>
        </w:rPr>
        <w:t>（每页均需加盖公章）</w:t>
      </w:r>
    </w:p>
    <w:p>
      <w:pPr>
        <w:spacing w:line="560" w:lineRule="exact"/>
        <w:ind w:firstLine="640" w:firstLineChars="200"/>
        <w:jc w:val="left"/>
        <w:rPr>
          <w:rFonts w:ascii="仿宋_GB2312" w:hAnsi="仿宋" w:eastAsia="仿宋_GB2312" w:cs="Times New Roman"/>
          <w:sz w:val="32"/>
        </w:rPr>
      </w:pPr>
      <w:r>
        <w:rPr>
          <w:rFonts w:hint="eastAsia" w:ascii="仿宋_GB2312" w:hAnsi="仿宋" w:eastAsia="仿宋_GB2312" w:cs="Times New Roman"/>
          <w:sz w:val="32"/>
        </w:rPr>
        <w:t>1.营业执照、事业</w:t>
      </w:r>
      <w:r>
        <w:rPr>
          <w:rFonts w:hint="eastAsia" w:ascii="仿宋_GB2312" w:hAnsi="仿宋" w:eastAsia="仿宋_GB2312" w:cs="Times New Roman"/>
          <w:sz w:val="32"/>
          <w:lang w:eastAsia="zh-CN"/>
        </w:rPr>
        <w:t>单位</w:t>
      </w:r>
      <w:r>
        <w:rPr>
          <w:rFonts w:hint="eastAsia" w:ascii="仿宋_GB2312" w:hAnsi="仿宋" w:eastAsia="仿宋_GB2312" w:cs="Times New Roman"/>
          <w:sz w:val="32"/>
        </w:rPr>
        <w:t>法人证书、社会团体法人登记证书</w:t>
      </w:r>
      <w:r>
        <w:rPr>
          <w:rFonts w:hint="eastAsia" w:ascii="仿宋_GB2312" w:hAnsi="仿宋" w:eastAsia="仿宋_GB2312" w:cs="Times New Roman"/>
          <w:sz w:val="32"/>
          <w:lang w:eastAsia="zh-CN"/>
        </w:rPr>
        <w:t>、民办非企业单位登记证书</w:t>
      </w:r>
      <w:r>
        <w:rPr>
          <w:rFonts w:hint="eastAsia" w:ascii="仿宋_GB2312" w:hAnsi="仿宋" w:eastAsia="仿宋_GB2312" w:cs="Times New Roman"/>
          <w:sz w:val="32"/>
          <w:highlight w:val="none"/>
        </w:rPr>
        <w:t>；</w:t>
      </w:r>
    </w:p>
    <w:p>
      <w:pPr>
        <w:spacing w:line="560" w:lineRule="exact"/>
        <w:ind w:firstLine="640" w:firstLineChars="200"/>
        <w:jc w:val="left"/>
        <w:rPr>
          <w:sz w:val="32"/>
          <w:szCs w:val="32"/>
        </w:rPr>
      </w:pPr>
      <w:r>
        <w:rPr>
          <w:rFonts w:hint="eastAsia" w:ascii="仿宋_GB2312" w:hAnsi="仿宋" w:eastAsia="仿宋_GB2312" w:cs="Times New Roman"/>
          <w:sz w:val="32"/>
          <w:szCs w:val="32"/>
        </w:rPr>
        <w:t>2.法定代表人身份证复印件；</w:t>
      </w:r>
    </w:p>
    <w:p>
      <w:pPr>
        <w:pStyle w:val="9"/>
        <w:spacing w:after="0" w:line="560" w:lineRule="exact"/>
        <w:ind w:left="0" w:leftChars="0" w:right="0" w:rightChars="0" w:firstLine="640"/>
        <w:jc w:val="left"/>
        <w:rPr>
          <w:rFonts w:ascii="仿宋_GB2312" w:hAnsi="仿宋" w:eastAsia="仿宋_GB2312" w:cs="Times New Roman"/>
          <w:sz w:val="32"/>
        </w:rPr>
      </w:pPr>
      <w:r>
        <w:rPr>
          <w:rFonts w:hint="eastAsia" w:ascii="仿宋_GB2312" w:hAnsi="仿宋" w:eastAsia="仿宋_GB2312" w:cs="Times New Roman"/>
          <w:sz w:val="32"/>
        </w:rPr>
        <w:t>3.项目报价</w:t>
      </w:r>
      <w:r>
        <w:rPr>
          <w:rFonts w:hint="eastAsia" w:ascii="仿宋_GB2312" w:hAnsi="仿宋" w:eastAsia="仿宋_GB2312" w:cs="Times New Roman"/>
          <w:sz w:val="32"/>
          <w:lang w:eastAsia="zh-CN"/>
        </w:rPr>
        <w:t>表</w:t>
      </w:r>
      <w:r>
        <w:rPr>
          <w:rFonts w:hint="eastAsia" w:ascii="仿宋_GB2312" w:hAnsi="仿宋" w:eastAsia="仿宋_GB2312" w:cs="Times New Roman"/>
          <w:b/>
          <w:bCs/>
          <w:sz w:val="32"/>
          <w:lang w:eastAsia="zh-CN"/>
        </w:rPr>
        <w:t>（需按格式提供）</w:t>
      </w:r>
      <w:r>
        <w:rPr>
          <w:rFonts w:hint="eastAsia" w:ascii="仿宋_GB2312" w:hAnsi="仿宋" w:eastAsia="仿宋_GB2312" w:cs="Times New Roman"/>
          <w:sz w:val="32"/>
        </w:rPr>
        <w:t>；</w:t>
      </w:r>
    </w:p>
    <w:p>
      <w:pPr>
        <w:pStyle w:val="9"/>
        <w:spacing w:after="0" w:line="560" w:lineRule="exact"/>
        <w:ind w:left="0" w:leftChars="0" w:right="0" w:rightChars="0" w:firstLine="640"/>
        <w:jc w:val="left"/>
        <w:rPr>
          <w:rFonts w:hint="eastAsia" w:ascii="仿宋_GB2312" w:hAnsi="仿宋" w:eastAsia="仿宋_GB2312" w:cs="Times New Roman"/>
          <w:sz w:val="32"/>
        </w:rPr>
      </w:pPr>
      <w:r>
        <w:rPr>
          <w:rFonts w:hint="eastAsia" w:ascii="仿宋_GB2312" w:hAnsi="仿宋" w:eastAsia="仿宋_GB2312" w:cs="Times New Roman"/>
          <w:sz w:val="32"/>
        </w:rPr>
        <w:t>4.评分规则所需资料（同类业绩证明、方案等）；</w:t>
      </w:r>
    </w:p>
    <w:p>
      <w:pPr>
        <w:pStyle w:val="9"/>
        <w:spacing w:after="0" w:line="560" w:lineRule="exact"/>
        <w:ind w:left="0" w:leftChars="0" w:right="0" w:rightChars="0" w:firstLine="640"/>
        <w:jc w:val="left"/>
        <w:rPr>
          <w:rFonts w:hint="default" w:ascii="仿宋_GB2312" w:hAnsi="仿宋" w:eastAsia="仿宋_GB2312" w:cs="Times New Roman"/>
          <w:sz w:val="32"/>
          <w:lang w:val="en-US" w:eastAsia="zh-CN"/>
        </w:rPr>
      </w:pPr>
      <w:r>
        <w:rPr>
          <w:rFonts w:hint="eastAsia" w:ascii="仿宋_GB2312" w:hAnsi="仿宋" w:eastAsia="仿宋_GB2312" w:cs="Times New Roman"/>
          <w:sz w:val="32"/>
          <w:lang w:val="en-US" w:eastAsia="zh-CN"/>
        </w:rPr>
        <w:t>5.诚信承诺书（详见附件1）；</w:t>
      </w:r>
    </w:p>
    <w:p>
      <w:pPr>
        <w:pStyle w:val="9"/>
        <w:spacing w:after="0" w:line="560" w:lineRule="exact"/>
        <w:ind w:left="0" w:leftChars="0" w:right="0" w:rightChars="0" w:firstLine="640"/>
        <w:jc w:val="both"/>
        <w:rPr>
          <w:rFonts w:hint="eastAsia" w:ascii="仿宋_GB2312" w:hAnsi="仿宋" w:eastAsia="仿宋_GB2312" w:cs="Times New Roman"/>
          <w:sz w:val="32"/>
          <w:highlight w:val="none"/>
          <w:lang w:eastAsia="zh-CN"/>
        </w:rPr>
      </w:pPr>
      <w:r>
        <w:rPr>
          <w:rFonts w:hint="eastAsia" w:ascii="仿宋_GB2312" w:hAnsi="仿宋" w:eastAsia="仿宋_GB2312" w:cs="Times New Roman"/>
          <w:sz w:val="32"/>
          <w:highlight w:val="none"/>
          <w:lang w:val="en-US" w:eastAsia="zh-CN"/>
        </w:rPr>
        <w:t>6</w:t>
      </w:r>
      <w:r>
        <w:rPr>
          <w:rFonts w:hint="eastAsia" w:ascii="仿宋_GB2312" w:hAnsi="仿宋" w:eastAsia="仿宋_GB2312" w:cs="Times New Roman"/>
          <w:sz w:val="32"/>
          <w:highlight w:val="none"/>
        </w:rPr>
        <w:t>.</w:t>
      </w:r>
      <w:r>
        <w:rPr>
          <w:rFonts w:hint="eastAsia" w:ascii="仿宋_GB2312" w:hAnsi="仿宋" w:eastAsia="仿宋_GB2312" w:cs="Times New Roman"/>
          <w:sz w:val="32"/>
          <w:highlight w:val="none"/>
          <w:lang w:eastAsia="zh-CN"/>
        </w:rPr>
        <w:t>填写</w:t>
      </w:r>
      <w:r>
        <w:rPr>
          <w:rFonts w:hint="eastAsia" w:ascii="仿宋_GB2312" w:hAnsi="仿宋" w:eastAsia="仿宋_GB2312" w:cs="Times New Roman"/>
          <w:sz w:val="32"/>
          <w:highlight w:val="none"/>
        </w:rPr>
        <w:t>《</w:t>
      </w:r>
      <w:r>
        <w:rPr>
          <w:rFonts w:hint="eastAsia" w:ascii="仿宋_GB2312" w:hAnsi="仿宋" w:eastAsia="仿宋_GB2312" w:cs="Times New Roman"/>
          <w:sz w:val="32"/>
          <w:highlight w:val="none"/>
          <w:lang w:eastAsia="zh-CN"/>
        </w:rPr>
        <w:t>深圳市龙华区民政局</w:t>
      </w:r>
      <w:r>
        <w:rPr>
          <w:rFonts w:hint="eastAsia" w:ascii="仿宋_GB2312" w:hAnsi="仿宋" w:eastAsia="仿宋_GB2312" w:cs="Times New Roman"/>
          <w:sz w:val="32"/>
          <w:highlight w:val="none"/>
        </w:rPr>
        <w:t>供应商基本情况表》</w:t>
      </w:r>
      <w:r>
        <w:rPr>
          <w:rFonts w:hint="eastAsia" w:ascii="仿宋_GB2312" w:hAnsi="仿宋" w:eastAsia="仿宋_GB2312" w:cs="Times New Roman"/>
          <w:sz w:val="32"/>
          <w:highlight w:val="none"/>
          <w:lang w:eastAsia="zh-CN"/>
        </w:rPr>
        <w:t>（加盖公章，</w:t>
      </w:r>
      <w:r>
        <w:rPr>
          <w:rFonts w:hint="eastAsia" w:ascii="仿宋_GB2312" w:hAnsi="仿宋" w:eastAsia="仿宋_GB2312" w:cs="Times New Roman"/>
          <w:sz w:val="32"/>
          <w:highlight w:val="none"/>
        </w:rPr>
        <w:t>详见附件</w:t>
      </w:r>
      <w:r>
        <w:rPr>
          <w:rFonts w:hint="eastAsia" w:ascii="仿宋_GB2312" w:hAnsi="仿宋" w:eastAsia="仿宋_GB2312" w:cs="Times New Roman"/>
          <w:sz w:val="32"/>
          <w:highlight w:val="none"/>
          <w:lang w:val="en-US" w:eastAsia="zh-CN"/>
        </w:rPr>
        <w:t>2</w:t>
      </w:r>
      <w:r>
        <w:rPr>
          <w:rFonts w:hint="eastAsia" w:ascii="仿宋_GB2312" w:hAnsi="仿宋" w:eastAsia="仿宋_GB2312" w:cs="Times New Roman"/>
          <w:sz w:val="32"/>
          <w:highlight w:val="none"/>
          <w:lang w:eastAsia="zh-CN"/>
        </w:rPr>
        <w:t>），鼓励提供表中投标（响应）供应商相关人员的近</w:t>
      </w:r>
      <w:r>
        <w:rPr>
          <w:rFonts w:hint="eastAsia" w:ascii="仿宋_GB2312" w:hAnsi="仿宋" w:eastAsia="仿宋_GB2312" w:cs="Times New Roman"/>
          <w:sz w:val="32"/>
          <w:highlight w:val="none"/>
          <w:lang w:val="en-US" w:eastAsia="zh-CN"/>
        </w:rPr>
        <w:t>1</w:t>
      </w:r>
      <w:r>
        <w:rPr>
          <w:rFonts w:hint="eastAsia" w:ascii="仿宋_GB2312" w:hAnsi="仿宋" w:eastAsia="仿宋_GB2312" w:cs="Times New Roman"/>
          <w:sz w:val="32"/>
          <w:highlight w:val="none"/>
          <w:lang w:eastAsia="zh-CN"/>
        </w:rPr>
        <w:t>个月社保缴纳情况，如未在投标（响应）供应商缴纳社保的人员，需提供加盖公章的情况说明或其他相关证明材料。</w:t>
      </w:r>
    </w:p>
    <w:p>
      <w:pPr>
        <w:pStyle w:val="9"/>
        <w:spacing w:after="0" w:line="560" w:lineRule="exact"/>
        <w:ind w:left="0" w:leftChars="0" w:right="0" w:rightChars="0" w:firstLine="640"/>
        <w:jc w:val="left"/>
        <w:rPr>
          <w:rFonts w:hint="eastAsia" w:ascii="方正黑体_GBK" w:hAnsi="方正黑体_GBK" w:eastAsia="方正黑体_GBK" w:cs="方正黑体_GBK"/>
          <w:sz w:val="32"/>
          <w:lang w:val="en-US" w:eastAsia="zh-CN"/>
        </w:rPr>
      </w:pPr>
      <w:r>
        <w:rPr>
          <w:rFonts w:hint="eastAsia" w:ascii="方正黑体_GBK" w:hAnsi="方正黑体_GBK" w:eastAsia="方正黑体_GBK" w:cs="方正黑体_GBK"/>
          <w:sz w:val="32"/>
          <w:lang w:val="en-US" w:eastAsia="zh-CN"/>
        </w:rPr>
        <w:t>十一、其他注意事项</w:t>
      </w:r>
    </w:p>
    <w:p>
      <w:pPr>
        <w:keepNext w:val="0"/>
        <w:keepLines w:val="0"/>
        <w:widowControl/>
        <w:suppressLineNumbers w:val="0"/>
        <w:spacing w:line="560" w:lineRule="exact"/>
        <w:ind w:firstLine="640" w:firstLineChars="200"/>
        <w:jc w:val="left"/>
        <w:rPr>
          <w:rFonts w:hint="eastAsia" w:ascii="仿宋_GB2312" w:hAnsi="仿宋" w:eastAsia="仿宋_GB2312" w:cs="Times New Roman"/>
          <w:kern w:val="2"/>
          <w:sz w:val="32"/>
          <w:szCs w:val="24"/>
          <w:lang w:val="en-US" w:eastAsia="zh-CN" w:bidi="ar-SA"/>
        </w:rPr>
      </w:pPr>
      <w:r>
        <w:rPr>
          <w:rFonts w:hint="eastAsia" w:ascii="仿宋_GB2312" w:hAnsi="仿宋" w:eastAsia="仿宋_GB2312" w:cs="Times New Roman"/>
          <w:sz w:val="32"/>
          <w:lang w:val="en-US" w:eastAsia="zh-CN"/>
        </w:rPr>
        <w:t>1.供应商需在</w:t>
      </w:r>
      <w:r>
        <w:rPr>
          <w:rFonts w:hint="default" w:ascii="仿宋_GB2312" w:hAnsi="仿宋" w:eastAsia="仿宋_GB2312" w:cs="Times New Roman"/>
          <w:sz w:val="32"/>
          <w:lang w:val="en-US" w:eastAsia="zh-CN"/>
        </w:rPr>
        <w:t>深圳政府采购自行采购系统</w:t>
      </w:r>
      <w:r>
        <w:rPr>
          <w:rFonts w:hint="eastAsia" w:ascii="仿宋_GB2312" w:hAnsi="仿宋" w:eastAsia="仿宋_GB2312" w:cs="Times New Roman"/>
          <w:kern w:val="2"/>
          <w:sz w:val="32"/>
          <w:szCs w:val="24"/>
          <w:lang w:val="en-US" w:eastAsia="zh-CN" w:bidi="ar-SA"/>
        </w:rPr>
        <w:t>完成供应商注册（网址：</w:t>
      </w:r>
      <w:r>
        <w:rPr>
          <w:rFonts w:hint="eastAsia" w:ascii="仿宋_GB2312" w:hAnsi="仿宋" w:eastAsia="仿宋_GB2312" w:cs="Times New Roman"/>
          <w:color w:val="auto"/>
          <w:kern w:val="2"/>
          <w:sz w:val="32"/>
          <w:szCs w:val="24"/>
          <w:u w:val="none"/>
          <w:lang w:val="en-US" w:eastAsia="zh-CN" w:bidi="ar-SA"/>
        </w:rPr>
        <w:t>https://zxcg.szggzy.com/home/index.html</w:t>
      </w:r>
      <w:r>
        <w:rPr>
          <w:rFonts w:hint="eastAsia" w:ascii="仿宋_GB2312" w:hAnsi="仿宋" w:eastAsia="仿宋_GB2312" w:cs="Times New Roman"/>
          <w:color w:val="auto"/>
          <w:kern w:val="2"/>
          <w:sz w:val="32"/>
          <w:szCs w:val="24"/>
          <w:u w:val="none"/>
          <w:lang w:val="en-US" w:eastAsia="zh-CN" w:bidi="ar-SA"/>
        </w:rPr>
        <w:t>），请于本项目投标截止时间前完成注册，否则如中标/成交，可能影响采购结果的发布。</w:t>
      </w:r>
    </w:p>
    <w:p>
      <w:pPr>
        <w:keepNext w:val="0"/>
        <w:keepLines w:val="0"/>
        <w:widowControl/>
        <w:suppressLineNumbers w:val="0"/>
        <w:spacing w:line="560" w:lineRule="exact"/>
        <w:ind w:firstLine="640" w:firstLineChars="200"/>
        <w:jc w:val="left"/>
        <w:rPr>
          <w:rFonts w:hint="default" w:ascii="仿宋_GB2312" w:hAnsi="仿宋" w:eastAsia="仿宋_GB2312" w:cs="Times New Roman"/>
          <w:kern w:val="2"/>
          <w:sz w:val="32"/>
          <w:szCs w:val="24"/>
          <w:highlight w:val="none"/>
          <w:lang w:val="en-US" w:eastAsia="zh-CN" w:bidi="ar-SA"/>
        </w:rPr>
      </w:pPr>
      <w:r>
        <w:rPr>
          <w:rFonts w:hint="eastAsia" w:ascii="仿宋_GB2312" w:hAnsi="仿宋" w:eastAsia="仿宋_GB2312" w:cs="Times New Roman"/>
          <w:kern w:val="2"/>
          <w:sz w:val="32"/>
          <w:szCs w:val="24"/>
          <w:highlight w:val="none"/>
          <w:lang w:val="en-US" w:eastAsia="zh-CN" w:bidi="ar-SA"/>
        </w:rPr>
        <w:t>2.采购人将通过</w:t>
      </w:r>
      <w:r>
        <w:rPr>
          <w:rFonts w:hint="eastAsia" w:ascii="仿宋_GB2312" w:hAnsi="仿宋" w:eastAsia="仿宋_GB2312" w:cs="Times New Roman"/>
          <w:color w:val="auto"/>
          <w:kern w:val="2"/>
          <w:sz w:val="32"/>
          <w:szCs w:val="24"/>
          <w:highlight w:val="none"/>
          <w:lang w:val="en-US" w:eastAsia="zh-CN" w:bidi="ar-SA"/>
        </w:rPr>
        <w:t>国家企业信用信息公示系统</w:t>
      </w:r>
      <w:r>
        <w:rPr>
          <w:rFonts w:hint="eastAsia" w:ascii="仿宋_GB2312" w:hAnsi="仿宋" w:eastAsia="仿宋_GB2312" w:cs="Times New Roman"/>
          <w:kern w:val="2"/>
          <w:sz w:val="32"/>
          <w:szCs w:val="24"/>
          <w:highlight w:val="none"/>
          <w:lang w:val="en-US" w:eastAsia="zh-CN" w:bidi="ar-SA"/>
        </w:rPr>
        <w:t>、机关赋码和事业单位登记管理网、全国社会组织信用信息公示平台、中国政府采购网等渠道查询供应商信用记录，对列入失信被执行人名单等的供应商拒绝其参与采</w:t>
      </w:r>
      <w:bookmarkStart w:id="1" w:name="_GoBack"/>
      <w:bookmarkEnd w:id="1"/>
      <w:r>
        <w:rPr>
          <w:rFonts w:hint="eastAsia" w:ascii="仿宋_GB2312" w:hAnsi="仿宋" w:eastAsia="仿宋_GB2312" w:cs="Times New Roman"/>
          <w:kern w:val="2"/>
          <w:sz w:val="32"/>
          <w:szCs w:val="24"/>
          <w:highlight w:val="none"/>
          <w:lang w:val="en-US" w:eastAsia="zh-CN" w:bidi="ar-SA"/>
        </w:rPr>
        <w:t>购活动。</w:t>
      </w:r>
    </w:p>
    <w:p>
      <w:pPr>
        <w:pStyle w:val="22"/>
        <w:spacing w:line="560" w:lineRule="exact"/>
        <w:ind w:firstLine="640" w:firstLineChars="200"/>
        <w:rPr>
          <w:rFonts w:hint="default" w:ascii="黑体" w:hAnsi="黑体" w:eastAsia="黑体" w:cs="黑体"/>
          <w:color w:val="000000"/>
          <w:sz w:val="32"/>
          <w:szCs w:val="32"/>
          <w:lang w:val="en-US" w:eastAsia="zh-CN"/>
        </w:rPr>
      </w:pPr>
      <w:r>
        <w:rPr>
          <w:rFonts w:hint="eastAsia" w:ascii="仿宋_GB2312" w:hAnsi="仿宋" w:eastAsia="仿宋_GB2312" w:cs="Times New Roman"/>
          <w:sz w:val="32"/>
          <w:highlight w:val="none"/>
          <w:lang w:val="en-US" w:eastAsia="zh-CN"/>
        </w:rPr>
        <w:t>3.</w:t>
      </w:r>
      <w:r>
        <w:rPr>
          <w:rFonts w:hint="eastAsia" w:ascii="仿宋_GB2312" w:hAnsi="仿宋" w:eastAsia="仿宋_GB2312" w:cs="Times New Roman"/>
          <w:sz w:val="32"/>
          <w:highlight w:val="none"/>
        </w:rPr>
        <w:t>供应商</w:t>
      </w:r>
      <w:r>
        <w:rPr>
          <w:rFonts w:hint="eastAsia" w:ascii="仿宋_GB2312" w:hAnsi="仿宋" w:eastAsia="仿宋_GB2312" w:cs="Times New Roman"/>
          <w:sz w:val="32"/>
          <w:highlight w:val="none"/>
          <w:lang w:eastAsia="zh-CN"/>
        </w:rPr>
        <w:t>采用电子邮箱投递</w:t>
      </w:r>
      <w:r>
        <w:rPr>
          <w:rFonts w:hint="eastAsia" w:ascii="仿宋_GB2312" w:hAnsi="仿宋" w:eastAsia="仿宋_GB2312" w:cs="Times New Roman"/>
          <w:sz w:val="32"/>
          <w:highlight w:val="none"/>
          <w:lang w:val="en-US" w:eastAsia="zh-CN"/>
        </w:rPr>
        <w:t>方式，将</w:t>
      </w:r>
      <w:r>
        <w:rPr>
          <w:rFonts w:hint="eastAsia" w:ascii="仿宋_GB2312" w:hAnsi="仿宋" w:eastAsia="仿宋_GB2312" w:cs="Times New Roman"/>
          <w:sz w:val="32"/>
          <w:highlight w:val="none"/>
        </w:rPr>
        <w:t>投标资料</w:t>
      </w:r>
      <w:r>
        <w:rPr>
          <w:rFonts w:hint="eastAsia" w:ascii="仿宋_GB2312" w:hAnsi="仿宋" w:eastAsia="仿宋_GB2312" w:cs="Times New Roman"/>
          <w:sz w:val="32"/>
          <w:highlight w:val="none"/>
          <w:lang w:eastAsia="zh-CN"/>
        </w:rPr>
        <w:t>发至：szlhmzj@szlhq.gov.cn，文件夹命名方式为</w:t>
      </w:r>
      <w:r>
        <w:rPr>
          <w:rFonts w:hint="eastAsia" w:ascii="仿宋_GB2312" w:hAnsi="仿宋" w:eastAsia="仿宋_GB2312" w:cs="Times New Roman"/>
          <w:sz w:val="32"/>
          <w:highlight w:val="none"/>
          <w:lang w:val="en-US" w:eastAsia="zh-CN"/>
        </w:rPr>
        <w:t>“龙华区民政局社会救助领域购买社会工作服务项目</w:t>
      </w:r>
      <w:r>
        <w:rPr>
          <w:rFonts w:hint="eastAsia" w:ascii="仿宋_GB2312" w:hAnsi="仿宋" w:eastAsia="仿宋_GB2312" w:cs="Times New Roman"/>
          <w:color w:val="000000"/>
          <w:kern w:val="2"/>
          <w:sz w:val="32"/>
          <w:szCs w:val="24"/>
          <w:highlight w:val="none"/>
          <w:lang w:val="en-US" w:eastAsia="zh-CN"/>
        </w:rPr>
        <w:t>+公司全称+日期+联系人+联系方式”。</w:t>
      </w:r>
      <w:r>
        <w:rPr>
          <w:rFonts w:ascii="仿宋_GB2312" w:hAnsi="仿宋" w:eastAsia="仿宋_GB2312" w:cs="Times New Roman"/>
          <w:sz w:val="32"/>
        </w:rPr>
        <w:br w:type="page"/>
      </w:r>
      <w:r>
        <w:rPr>
          <w:rFonts w:hint="eastAsia" w:ascii="黑体" w:hAnsi="黑体" w:eastAsia="黑体" w:cs="黑体"/>
          <w:color w:val="000000"/>
          <w:sz w:val="32"/>
          <w:szCs w:val="32"/>
          <w:lang w:eastAsia="zh-CN"/>
        </w:rPr>
        <w:t>附件</w:t>
      </w:r>
      <w:r>
        <w:rPr>
          <w:rFonts w:hint="eastAsia" w:ascii="黑体" w:hAnsi="黑体" w:eastAsia="黑体" w:cs="黑体"/>
          <w:color w:val="000000"/>
          <w:sz w:val="32"/>
          <w:szCs w:val="32"/>
          <w:lang w:val="en-US" w:eastAsia="zh-CN"/>
        </w:rPr>
        <w:t>1</w:t>
      </w:r>
    </w:p>
    <w:p>
      <w:pPr>
        <w:pStyle w:val="5"/>
        <w:numPr>
          <w:ilvl w:val="0"/>
          <w:numId w:val="0"/>
        </w:numPr>
        <w:jc w:val="center"/>
        <w:outlineLvl w:val="3"/>
        <w:rPr>
          <w:rFonts w:hint="eastAsia" w:ascii="黑体" w:eastAsia="黑体"/>
          <w:b w:val="0"/>
          <w:color w:val="auto"/>
          <w:kern w:val="0"/>
          <w:sz w:val="24"/>
          <w:highlight w:val="none"/>
          <w:lang w:eastAsia="zh-CN"/>
        </w:rPr>
      </w:pPr>
      <w:r>
        <w:rPr>
          <w:rFonts w:hint="eastAsia" w:ascii="黑体"/>
          <w:b w:val="0"/>
          <w:color w:val="auto"/>
          <w:kern w:val="0"/>
          <w:sz w:val="24"/>
          <w:highlight w:val="none"/>
          <w:lang w:eastAsia="zh-CN"/>
        </w:rPr>
        <w:t>诚信承诺书</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color w:val="auto"/>
          <w:sz w:val="21"/>
          <w:szCs w:val="21"/>
          <w:highlight w:val="none"/>
        </w:rPr>
      </w:pPr>
      <w:r>
        <w:rPr>
          <w:rFonts w:hint="eastAsia" w:ascii="宋体" w:hAnsi="宋体"/>
          <w:color w:val="auto"/>
          <w:sz w:val="21"/>
          <w:szCs w:val="21"/>
          <w:highlight w:val="none"/>
        </w:rPr>
        <w:t>致：</w:t>
      </w:r>
      <w:r>
        <w:rPr>
          <w:rFonts w:hint="eastAsia" w:ascii="宋体" w:hAnsi="宋体"/>
          <w:color w:val="auto"/>
          <w:sz w:val="21"/>
          <w:szCs w:val="21"/>
          <w:highlight w:val="none"/>
          <w:u w:val="single"/>
        </w:rPr>
        <w:t>深圳市龙华区</w:t>
      </w:r>
      <w:r>
        <w:rPr>
          <w:rFonts w:hint="eastAsia" w:ascii="宋体" w:hAnsi="宋体"/>
          <w:color w:val="auto"/>
          <w:sz w:val="21"/>
          <w:szCs w:val="21"/>
          <w:highlight w:val="none"/>
          <w:u w:val="single"/>
          <w:lang w:eastAsia="zh-CN"/>
        </w:rPr>
        <w:t>民政</w:t>
      </w:r>
      <w:r>
        <w:rPr>
          <w:rFonts w:hint="eastAsia" w:ascii="宋体" w:hAnsi="宋体"/>
          <w:color w:val="auto"/>
          <w:sz w:val="21"/>
          <w:szCs w:val="21"/>
          <w:highlight w:val="none"/>
          <w:u w:val="single"/>
        </w:rPr>
        <w:t>局</w:t>
      </w:r>
    </w:p>
    <w:p>
      <w:pPr>
        <w:keepNext w:val="0"/>
        <w:keepLines w:val="0"/>
        <w:pageBreakBefore w:val="0"/>
        <w:widowControl w:val="0"/>
        <w:kinsoku/>
        <w:wordWrap/>
        <w:overflowPunct/>
        <w:topLinePunct w:val="0"/>
        <w:autoSpaceDE/>
        <w:autoSpaceDN/>
        <w:bidi w:val="0"/>
        <w:adjustRightInd/>
        <w:snapToGrid/>
        <w:spacing w:line="400" w:lineRule="exact"/>
        <w:ind w:right="-815"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我单位承诺：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1.我单位参与本项目所投标（响应）的货物、工程或服务，不存在侵犯知识产权的情况。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2.我单位参与本项目</w:t>
      </w:r>
      <w:r>
        <w:rPr>
          <w:rFonts w:hint="eastAsia"/>
          <w:color w:val="auto"/>
          <w:sz w:val="21"/>
          <w:szCs w:val="21"/>
          <w:highlight w:val="none"/>
        </w:rPr>
        <w:t>政府采购活动时不存在被有关部门禁止参与政府采购活动且在有效期内的情况。</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3.我单位具备《中华人民共和国政府采购法》第二十二条第一款规定的六项条件。</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4.我单位</w:t>
      </w:r>
      <w:r>
        <w:rPr>
          <w:rFonts w:hint="eastAsia"/>
          <w:color w:val="auto"/>
          <w:sz w:val="21"/>
          <w:szCs w:val="21"/>
          <w:highlight w:val="none"/>
        </w:rPr>
        <w:t>未被列入失信被执行人、</w:t>
      </w:r>
      <w:r>
        <w:rPr>
          <w:rFonts w:hint="eastAsia"/>
          <w:color w:val="auto"/>
          <w:sz w:val="21"/>
          <w:szCs w:val="21"/>
          <w:highlight w:val="none"/>
          <w:lang w:eastAsia="zh-CN"/>
        </w:rPr>
        <w:t>重大税收违法案件当事人名单</w:t>
      </w:r>
      <w:r>
        <w:rPr>
          <w:rFonts w:hint="eastAsia"/>
          <w:color w:val="auto"/>
          <w:sz w:val="21"/>
          <w:szCs w:val="21"/>
          <w:highlight w:val="none"/>
        </w:rPr>
        <w:t>、政府采购严重违法失信行为记录名单。</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5.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lang w:val="en-US" w:eastAsia="zh-CN"/>
        </w:rPr>
        <w:t>6</w:t>
      </w:r>
      <w:r>
        <w:rPr>
          <w:rFonts w:hint="eastAsia" w:ascii="宋体" w:hAnsi="宋体"/>
          <w:color w:val="auto"/>
          <w:sz w:val="21"/>
          <w:szCs w:val="21"/>
          <w:highlight w:val="none"/>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bCs/>
          <w:color w:val="auto"/>
          <w:sz w:val="21"/>
          <w:szCs w:val="21"/>
          <w:highlight w:val="none"/>
        </w:rPr>
      </w:pPr>
      <w:r>
        <w:rPr>
          <w:rFonts w:hint="eastAsia" w:ascii="宋体" w:hAnsi="宋体"/>
          <w:bCs/>
          <w:color w:val="auto"/>
          <w:sz w:val="21"/>
          <w:szCs w:val="21"/>
          <w:highlight w:val="none"/>
          <w:lang w:val="en-US" w:eastAsia="zh-CN"/>
        </w:rPr>
        <w:t>7</w:t>
      </w:r>
      <w:r>
        <w:rPr>
          <w:rFonts w:hint="eastAsia" w:ascii="宋体" w:hAnsi="宋体"/>
          <w:bCs/>
          <w:color w:val="auto"/>
          <w:sz w:val="21"/>
          <w:szCs w:val="21"/>
          <w:highlight w:val="none"/>
        </w:rPr>
        <w:t>.我单位保证，符合《中华人民共和国政府采购法实施条例》第十八条规定，与其他投标供应商不存在单位负责人为同一人或者存在直接控股、管理关系；未对本次采购项目提供整体设计、规范编制或者项目管理、监理、检测等服务的情形。</w:t>
      </w:r>
    </w:p>
    <w:p>
      <w:pPr>
        <w:keepNext w:val="0"/>
        <w:keepLines w:val="0"/>
        <w:pageBreakBefore w:val="0"/>
        <w:widowControl w:val="0"/>
        <w:kinsoku/>
        <w:wordWrap/>
        <w:overflowPunct/>
        <w:topLinePunct w:val="0"/>
        <w:autoSpaceDE/>
        <w:autoSpaceDN/>
        <w:bidi w:val="0"/>
        <w:adjustRightInd/>
        <w:snapToGrid/>
        <w:spacing w:line="400" w:lineRule="exact"/>
        <w:ind w:firstLine="421" w:firstLineChars="200"/>
        <w:textAlignment w:val="auto"/>
        <w:rPr>
          <w:rFonts w:ascii="宋体" w:hAnsi="宋体"/>
          <w:color w:val="auto"/>
          <w:sz w:val="21"/>
          <w:szCs w:val="21"/>
          <w:highlight w:val="none"/>
        </w:rPr>
      </w:pPr>
      <w:r>
        <w:rPr>
          <w:rFonts w:hint="eastAsia" w:ascii="宋体" w:hAnsi="宋体"/>
          <w:b/>
          <w:color w:val="auto"/>
          <w:sz w:val="21"/>
          <w:szCs w:val="21"/>
          <w:highlight w:val="none"/>
          <w:lang w:val="en-US" w:eastAsia="zh-CN"/>
        </w:rPr>
        <w:t>8</w:t>
      </w:r>
      <w:r>
        <w:rPr>
          <w:rFonts w:hint="eastAsia" w:ascii="宋体" w:hAnsi="宋体"/>
          <w:b/>
          <w:color w:val="auto"/>
          <w:sz w:val="21"/>
          <w:szCs w:val="21"/>
          <w:highlight w:val="none"/>
        </w:rPr>
        <w:t>.我单位清楚，如存在违反投标承诺行为情节严重的，将根据《深圳市财政局关于印发&lt;深圳市财政局政府采购供应商信用信息管理办法&gt;的通知》，依法被列入失信信息。</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olor w:val="auto"/>
          <w:sz w:val="21"/>
          <w:szCs w:val="21"/>
          <w:highlight w:val="none"/>
        </w:rPr>
      </w:pPr>
      <w:r>
        <w:rPr>
          <w:rFonts w:hint="eastAsia" w:ascii="宋体" w:hAnsi="宋体"/>
          <w:color w:val="auto"/>
          <w:sz w:val="21"/>
          <w:szCs w:val="21"/>
          <w:highlight w:val="none"/>
        </w:rPr>
        <w:t>以上承诺，如有违反，愿依照国家相关法律法规处理，并承担由此给采购人带来的损失。</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hint="eastAsia" w:ascii="宋体" w:hAnsi="宋体"/>
          <w:color w:val="auto"/>
          <w:sz w:val="21"/>
          <w:szCs w:val="21"/>
          <w:highlight w:val="none"/>
        </w:rPr>
      </w:pP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rFonts w:ascii="宋体" w:hAnsi="宋体"/>
          <w:color w:val="auto"/>
          <w:sz w:val="21"/>
          <w:szCs w:val="21"/>
          <w:highlight w:val="none"/>
        </w:rPr>
      </w:pPr>
      <w:r>
        <w:rPr>
          <w:rFonts w:hint="eastAsia" w:ascii="宋体" w:hAnsi="宋体"/>
          <w:color w:val="auto"/>
          <w:sz w:val="21"/>
          <w:szCs w:val="21"/>
          <w:highlight w:val="none"/>
        </w:rPr>
        <w:t xml:space="preserve">                                    </w:t>
      </w:r>
    </w:p>
    <w:p>
      <w:pPr>
        <w:keepNext w:val="0"/>
        <w:keepLines w:val="0"/>
        <w:pageBreakBefore w:val="0"/>
        <w:widowControl w:val="0"/>
        <w:kinsoku/>
        <w:wordWrap/>
        <w:overflowPunct/>
        <w:topLinePunct w:val="0"/>
        <w:autoSpaceDE/>
        <w:autoSpaceDN/>
        <w:bidi w:val="0"/>
        <w:adjustRightInd/>
        <w:snapToGrid/>
        <w:spacing w:before="60" w:beforeLines="25" w:after="60" w:afterLines="25" w:line="400" w:lineRule="exact"/>
        <w:ind w:firstLine="5460" w:firstLineChars="2600"/>
        <w:textAlignment w:val="auto"/>
        <w:rPr>
          <w:color w:val="auto"/>
          <w:sz w:val="21"/>
          <w:szCs w:val="21"/>
          <w:highlight w:val="none"/>
        </w:rPr>
      </w:pPr>
      <w:r>
        <w:rPr>
          <w:rFonts w:hint="eastAsia"/>
          <w:color w:val="auto"/>
          <w:sz w:val="21"/>
          <w:szCs w:val="21"/>
          <w:highlight w:val="none"/>
        </w:rPr>
        <w:t>投标人：</w:t>
      </w:r>
      <w:r>
        <w:rPr>
          <w:rFonts w:hint="eastAsia"/>
          <w:color w:val="auto"/>
          <w:sz w:val="21"/>
          <w:szCs w:val="21"/>
          <w:highlight w:val="none"/>
          <w:u w:val="single"/>
        </w:rPr>
        <w:t xml:space="preserve">              </w:t>
      </w:r>
    </w:p>
    <w:p>
      <w:pPr>
        <w:keepNext w:val="0"/>
        <w:keepLines w:val="0"/>
        <w:pageBreakBefore w:val="0"/>
        <w:widowControl w:val="0"/>
        <w:kinsoku/>
        <w:wordWrap/>
        <w:overflowPunct/>
        <w:topLinePunct w:val="0"/>
        <w:autoSpaceDE/>
        <w:autoSpaceDN/>
        <w:bidi w:val="0"/>
        <w:adjustRightInd/>
        <w:snapToGrid/>
        <w:spacing w:line="400" w:lineRule="exact"/>
        <w:ind w:firstLine="645"/>
        <w:textAlignment w:val="auto"/>
        <w:rPr>
          <w:rFonts w:ascii="宋体" w:hAnsi="宋体"/>
          <w:color w:val="auto"/>
          <w:sz w:val="21"/>
          <w:szCs w:val="21"/>
          <w:highlight w:val="none"/>
        </w:rPr>
      </w:pPr>
      <w:r>
        <w:rPr>
          <w:rFonts w:hint="eastAsia" w:ascii="宋体" w:hAnsi="宋体"/>
          <w:color w:val="auto"/>
          <w:sz w:val="21"/>
          <w:szCs w:val="21"/>
          <w:highlight w:val="none"/>
        </w:rPr>
        <w:t xml:space="preserve">                                              日期：</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年</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月</w:t>
      </w:r>
      <w:r>
        <w:rPr>
          <w:rFonts w:hint="eastAsia" w:ascii="宋体" w:hAnsi="宋体"/>
          <w:color w:val="auto"/>
          <w:sz w:val="21"/>
          <w:szCs w:val="21"/>
          <w:highlight w:val="none"/>
          <w:u w:val="single"/>
        </w:rPr>
        <w:t xml:space="preserve">   </w:t>
      </w:r>
      <w:r>
        <w:rPr>
          <w:rFonts w:hint="eastAsia" w:ascii="宋体" w:hAnsi="宋体"/>
          <w:color w:val="auto"/>
          <w:sz w:val="21"/>
          <w:szCs w:val="21"/>
          <w:highlight w:val="none"/>
        </w:rPr>
        <w:t>日</w:t>
      </w:r>
    </w:p>
    <w:p>
      <w:pPr>
        <w:rPr>
          <w:rFonts w:hint="default"/>
          <w:lang w:val="en-US" w:eastAsia="zh-CN"/>
        </w:rPr>
      </w:pPr>
    </w:p>
    <w:p>
      <w:pPr>
        <w:pStyle w:val="2"/>
        <w:rPr>
          <w:rFonts w:hint="default"/>
          <w:lang w:val="en-US" w:eastAsia="zh-CN"/>
        </w:rPr>
      </w:pPr>
    </w:p>
    <w:p>
      <w:pPr>
        <w:rPr>
          <w:rFonts w:hint="default"/>
          <w:lang w:val="en-US" w:eastAsia="zh-CN"/>
        </w:rPr>
      </w:pPr>
    </w:p>
    <w:p>
      <w:pPr>
        <w:pStyle w:val="22"/>
        <w:spacing w:line="560" w:lineRule="exact"/>
        <w:ind w:firstLine="0" w:firstLineChars="0"/>
        <w:rPr>
          <w:rFonts w:hint="eastAsia" w:ascii="黑体" w:hAnsi="黑体" w:eastAsia="黑体" w:cs="黑体"/>
          <w:color w:val="000000"/>
          <w:sz w:val="32"/>
          <w:szCs w:val="32"/>
          <w:lang w:val="en-US" w:eastAsia="zh-CN"/>
        </w:rPr>
      </w:pPr>
      <w:r>
        <w:rPr>
          <w:rFonts w:hint="eastAsia" w:ascii="黑体" w:hAnsi="黑体" w:eastAsia="黑体" w:cs="黑体"/>
          <w:color w:val="000000"/>
          <w:sz w:val="32"/>
          <w:szCs w:val="32"/>
        </w:rPr>
        <w:t>附件</w:t>
      </w:r>
      <w:r>
        <w:rPr>
          <w:rFonts w:hint="eastAsia" w:ascii="黑体" w:hAnsi="黑体" w:eastAsia="黑体" w:cs="黑体"/>
          <w:color w:val="000000"/>
          <w:sz w:val="32"/>
          <w:szCs w:val="32"/>
          <w:lang w:val="en-US" w:eastAsia="zh-CN"/>
        </w:rPr>
        <w:t>2</w:t>
      </w:r>
    </w:p>
    <w:p>
      <w:pPr>
        <w:pStyle w:val="3"/>
        <w:snapToGrid w:val="0"/>
        <w:spacing w:before="0" w:after="0" w:line="560" w:lineRule="exact"/>
        <w:rPr>
          <w:rFonts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lang w:eastAsia="zh-CN"/>
        </w:rPr>
        <w:t>深圳市龙华区民政局</w:t>
      </w:r>
      <w:r>
        <w:rPr>
          <w:rFonts w:hint="eastAsia" w:ascii="方正小标宋简体" w:hAnsi="方正小标宋简体" w:eastAsia="方正小标宋简体" w:cs="方正小标宋简体"/>
          <w:b w:val="0"/>
          <w:bCs w:val="0"/>
          <w:sz w:val="44"/>
          <w:szCs w:val="44"/>
        </w:rPr>
        <w:t>供应商基本情况表</w:t>
      </w:r>
    </w:p>
    <w:p>
      <w:pPr>
        <w:spacing w:line="560" w:lineRule="exact"/>
        <w:jc w:val="left"/>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填表单位：（加盖单位公章）</w:t>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ab/>
      </w:r>
      <w:r>
        <w:rPr>
          <w:rFonts w:hint="eastAsia" w:ascii="方正仿宋_GBK" w:hAnsi="方正仿宋_GBK" w:eastAsia="方正仿宋_GBK" w:cs="方正仿宋_GBK"/>
          <w:sz w:val="28"/>
          <w:szCs w:val="28"/>
        </w:rPr>
        <w:t xml:space="preserve">   填表日期：    年   月   日</w:t>
      </w:r>
    </w:p>
    <w:tbl>
      <w:tblPr>
        <w:tblStyle w:val="16"/>
        <w:tblW w:w="10545" w:type="dxa"/>
        <w:tblInd w:w="-94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94"/>
        <w:gridCol w:w="1062"/>
        <w:gridCol w:w="1283"/>
        <w:gridCol w:w="1270"/>
        <w:gridCol w:w="791"/>
        <w:gridCol w:w="1200"/>
        <w:gridCol w:w="1500"/>
        <w:gridCol w:w="21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2356" w:type="dxa"/>
            <w:gridSpan w:val="2"/>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采购人</w:t>
            </w:r>
          </w:p>
        </w:tc>
        <w:tc>
          <w:tcPr>
            <w:tcW w:w="2553" w:type="dxa"/>
            <w:gridSpan w:val="2"/>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项目名称</w:t>
            </w:r>
          </w:p>
        </w:tc>
        <w:tc>
          <w:tcPr>
            <w:tcW w:w="3645" w:type="dxa"/>
            <w:gridSpan w:val="2"/>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356" w:type="dxa"/>
            <w:gridSpan w:val="2"/>
            <w:noWrap w:val="0"/>
            <w:vAlign w:val="center"/>
          </w:tcPr>
          <w:p>
            <w:pPr>
              <w:keepNext w:val="0"/>
              <w:keepLines w:val="0"/>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投标（响应）供应商</w:t>
            </w:r>
          </w:p>
        </w:tc>
        <w:tc>
          <w:tcPr>
            <w:tcW w:w="2553" w:type="dxa"/>
            <w:gridSpan w:val="2"/>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noWrap w:val="0"/>
            <w:vAlign w:val="center"/>
          </w:tcPr>
          <w:p>
            <w:pPr>
              <w:keepNext w:val="0"/>
              <w:keepLines w:val="0"/>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供应商统一社会信用代码</w:t>
            </w:r>
          </w:p>
        </w:tc>
        <w:tc>
          <w:tcPr>
            <w:tcW w:w="3645" w:type="dxa"/>
            <w:gridSpan w:val="2"/>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0545" w:type="dxa"/>
            <w:gridSpan w:val="8"/>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b/>
                <w:bCs/>
                <w:sz w:val="24"/>
              </w:rPr>
              <w:t>投标（响应）供应商相关人员情况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keepNext w:val="0"/>
              <w:keepLines w:val="0"/>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职务</w:t>
            </w:r>
          </w:p>
        </w:tc>
        <w:tc>
          <w:tcPr>
            <w:tcW w:w="1270" w:type="dxa"/>
            <w:tcBorders>
              <w:bottom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姓名</w:t>
            </w:r>
          </w:p>
        </w:tc>
        <w:tc>
          <w:tcPr>
            <w:tcW w:w="1991" w:type="dxa"/>
            <w:gridSpan w:val="2"/>
            <w:tcBorders>
              <w:bottom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身份证号码</w:t>
            </w:r>
          </w:p>
        </w:tc>
        <w:tc>
          <w:tcPr>
            <w:tcW w:w="1500" w:type="dxa"/>
            <w:tcBorders>
              <w:bottom w:val="single" w:color="auto" w:sz="4" w:space="0"/>
            </w:tcBorders>
            <w:noWrap w:val="0"/>
            <w:vAlign w:val="center"/>
          </w:tcPr>
          <w:p>
            <w:pPr>
              <w:keepNext w:val="0"/>
              <w:keepLines w:val="0"/>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劳动合同</w:t>
            </w:r>
          </w:p>
          <w:p>
            <w:pPr>
              <w:keepNext w:val="0"/>
              <w:keepLines w:val="0"/>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关系单位</w:t>
            </w:r>
          </w:p>
        </w:tc>
        <w:tc>
          <w:tcPr>
            <w:tcW w:w="2145" w:type="dxa"/>
            <w:tcBorders>
              <w:bottom w:val="single" w:color="auto" w:sz="4" w:space="0"/>
            </w:tcBorders>
            <w:noWrap w:val="0"/>
            <w:vAlign w:val="center"/>
          </w:tcPr>
          <w:p>
            <w:pPr>
              <w:keepNext w:val="0"/>
              <w:keepLines w:val="0"/>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缴纳社会</w:t>
            </w:r>
          </w:p>
          <w:p>
            <w:pPr>
              <w:keepNext w:val="0"/>
              <w:keepLines w:val="0"/>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保险单位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3"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2"/>
                <w:szCs w:val="22"/>
              </w:rPr>
              <w:t>法定代表人/单位负责人/主要经营负责人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2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2"/>
                <w:szCs w:val="22"/>
              </w:rPr>
              <w:t>项目投标授权代表人</w:t>
            </w:r>
          </w:p>
        </w:tc>
        <w:tc>
          <w:tcPr>
            <w:tcW w:w="127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5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21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top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3</w:t>
            </w:r>
          </w:p>
        </w:tc>
        <w:tc>
          <w:tcPr>
            <w:tcW w:w="2345" w:type="dxa"/>
            <w:gridSpan w:val="2"/>
            <w:tcBorders>
              <w:top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项目负责人</w:t>
            </w:r>
          </w:p>
        </w:tc>
        <w:tc>
          <w:tcPr>
            <w:tcW w:w="1270" w:type="dxa"/>
            <w:tcBorders>
              <w:top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tcBorders>
              <w:top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500" w:type="dxa"/>
            <w:tcBorders>
              <w:top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2145" w:type="dxa"/>
            <w:tcBorders>
              <w:top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4</w:t>
            </w:r>
          </w:p>
        </w:tc>
        <w:tc>
          <w:tcPr>
            <w:tcW w:w="2345" w:type="dxa"/>
            <w:gridSpan w:val="2"/>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主要技术人员</w:t>
            </w:r>
          </w:p>
        </w:tc>
        <w:tc>
          <w:tcPr>
            <w:tcW w:w="1270" w:type="dxa"/>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500" w:type="dxa"/>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2145" w:type="dxa"/>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5</w:t>
            </w:r>
          </w:p>
        </w:tc>
        <w:tc>
          <w:tcPr>
            <w:tcW w:w="2345" w:type="dxa"/>
            <w:gridSpan w:val="2"/>
            <w:noWrap w:val="0"/>
            <w:vAlign w:val="center"/>
          </w:tcPr>
          <w:p>
            <w:pPr>
              <w:pStyle w:val="6"/>
              <w:keepNext w:val="0"/>
              <w:keepLines w:val="0"/>
              <w:suppressLineNumbers w:val="0"/>
              <w:snapToGrid w:val="0"/>
              <w:spacing w:before="0" w:beforeAutospacing="0" w:after="0" w:afterAutospacing="0" w:line="240" w:lineRule="auto"/>
              <w:ind w:left="0" w:right="0" w:firstLine="0" w:firstLineChars="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投标文件编制人员</w:t>
            </w:r>
          </w:p>
        </w:tc>
        <w:tc>
          <w:tcPr>
            <w:tcW w:w="1270" w:type="dxa"/>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991" w:type="dxa"/>
            <w:gridSpan w:val="2"/>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1500" w:type="dxa"/>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2145" w:type="dxa"/>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45" w:type="dxa"/>
            <w:gridSpan w:val="8"/>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b/>
                <w:bCs/>
                <w:sz w:val="24"/>
              </w:rPr>
              <w:t>说明：同一职务有多人担任（如主要技术人员），应分行填写。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trPr>
        <w:tc>
          <w:tcPr>
            <w:tcW w:w="10545" w:type="dxa"/>
            <w:gridSpan w:val="8"/>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b/>
                <w:bCs/>
                <w:sz w:val="24"/>
              </w:rPr>
            </w:pPr>
            <w:r>
              <w:rPr>
                <w:rFonts w:hint="eastAsia" w:ascii="方正仿宋_GBK" w:hAnsi="方正仿宋_GBK" w:eastAsia="方正仿宋_GBK" w:cs="方正仿宋_GBK"/>
                <w:b/>
                <w:bCs/>
                <w:sz w:val="24"/>
              </w:rPr>
              <w:t>投标（响应）供应商关联关系情况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bottom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序号</w:t>
            </w:r>
          </w:p>
        </w:tc>
        <w:tc>
          <w:tcPr>
            <w:tcW w:w="2345" w:type="dxa"/>
            <w:gridSpan w:val="2"/>
            <w:tcBorders>
              <w:bottom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关联关系类型</w:t>
            </w:r>
          </w:p>
        </w:tc>
        <w:tc>
          <w:tcPr>
            <w:tcW w:w="2061" w:type="dxa"/>
            <w:gridSpan w:val="2"/>
            <w:tcBorders>
              <w:bottom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关联主体名称</w:t>
            </w:r>
          </w:p>
        </w:tc>
        <w:tc>
          <w:tcPr>
            <w:tcW w:w="4845" w:type="dxa"/>
            <w:gridSpan w:val="3"/>
            <w:tcBorders>
              <w:bottom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1</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控股股东</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18"/>
                <w:szCs w:val="18"/>
              </w:rPr>
              <w:t>指出资额（或持有股份）占投标（响应）供应商资本总额（或股本总额）50%以上的股东，以及出资额（或持有股份）的比例虽然不足50%，但依其出资额（或持有股份）所享有的表决权已足以对投标（响应）供应商股东会（或股东大会）的决议产生重要影响的股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29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2</w:t>
            </w:r>
          </w:p>
        </w:tc>
        <w:tc>
          <w:tcPr>
            <w:tcW w:w="2345"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管理关系</w:t>
            </w:r>
          </w:p>
        </w:tc>
        <w:tc>
          <w:tcPr>
            <w:tcW w:w="2061"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left"/>
              <w:rPr>
                <w:rFonts w:hint="default" w:ascii="方正仿宋_GBK" w:hAnsi="方正仿宋_GBK" w:eastAsia="方正仿宋_GBK" w:cs="方正仿宋_GBK"/>
                <w:sz w:val="24"/>
              </w:rPr>
            </w:pPr>
          </w:p>
        </w:tc>
        <w:tc>
          <w:tcPr>
            <w:tcW w:w="484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sz w:val="24"/>
              </w:rPr>
              <w:t>指对投标（响应）供应商不具有出资持股关系，但对其存在管理关系的主体。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54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napToGrid w:val="0"/>
              <w:spacing w:before="0" w:beforeAutospacing="0" w:after="0" w:afterAutospacing="0"/>
              <w:ind w:left="0" w:right="0"/>
              <w:jc w:val="left"/>
              <w:rPr>
                <w:rFonts w:hint="default" w:ascii="方正仿宋_GBK" w:hAnsi="方正仿宋_GBK" w:eastAsia="方正仿宋_GBK" w:cs="方正仿宋_GBK"/>
                <w:sz w:val="24"/>
              </w:rPr>
            </w:pPr>
            <w:r>
              <w:rPr>
                <w:rFonts w:hint="eastAsia" w:ascii="方正仿宋_GBK" w:hAnsi="方正仿宋_GBK" w:eastAsia="方正仿宋_GBK" w:cs="方正仿宋_GBK"/>
                <w:b/>
                <w:bCs/>
                <w:sz w:val="24"/>
              </w:rPr>
              <w:t>说明：同一关联关系类型有多个主体的，应分行填写。</w:t>
            </w:r>
          </w:p>
        </w:tc>
      </w:tr>
    </w:tbl>
    <w:p>
      <w:pPr>
        <w:rPr>
          <w:rFonts w:hint="default"/>
          <w:lang w:val="en-US" w:eastAsia="zh-CN"/>
        </w:rPr>
      </w:pPr>
    </w:p>
    <w:sectPr>
      <w:footerReference r:id="rId3" w:type="default"/>
      <w:pgSz w:w="11906" w:h="16838"/>
      <w:pgMar w:top="2098" w:right="1474" w:bottom="1984" w:left="158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altName w:val="OpenSymbol"/>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Open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等线 Light">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Times">
    <w:altName w:val="DejaVu Sans"/>
    <w:panose1 w:val="02020603050405020304"/>
    <w:charset w:val="00"/>
    <w:family w:val="roman"/>
    <w:pitch w:val="default"/>
    <w:sig w:usb0="00000000" w:usb1="00000000" w:usb2="00000009" w:usb3="00000000" w:csb0="000001FF" w:csb1="00000000"/>
  </w:font>
  <w:font w:name="等线">
    <w:altName w:val="华文中宋"/>
    <w:panose1 w:val="02010600030101010101"/>
    <w:charset w:val="86"/>
    <w:family w:val="auto"/>
    <w:pitch w:val="default"/>
    <w:sig w:usb0="00000000" w:usb1="00000000" w:usb2="00000016" w:usb3="00000000" w:csb0="0004000F" w:csb1="00000000"/>
  </w:font>
  <w:font w:name="方正小标宋简体">
    <w:panose1 w:val="02000000000000000000"/>
    <w:charset w:val="86"/>
    <w:family w:val="auto"/>
    <w:pitch w:val="default"/>
    <w:sig w:usb0="A00002BF" w:usb1="184F6CFA" w:usb2="00000012" w:usb3="00000000" w:csb0="00040001" w:csb1="0000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OpenSymbol">
    <w:panose1 w:val="05010000000000000000"/>
    <w:charset w:val="00"/>
    <w:family w:val="auto"/>
    <w:pitch w:val="default"/>
    <w:sig w:usb0="800000AF" w:usb1="1001ECE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WAAAAZHJzL1BLAQIUABQAAAAIAIdO4kCzSVju0AAAAAUBAAAPAAAAAAAAAAEAIAAAADgAAABk&#10;cnMvZG93bnJldi54bWxQSwECFAAUAAAACACHTuJAa4X5+zECAABhBAAADgAAAAAAAAABACAAAAA1&#10;AQAAZHJzL2Uyb0RvYy54bWxQSwUGAAAAAAYABgBZAQAA2AUAAAAA&#10;">
              <v:fill on="f" focussize="0,0"/>
              <v:stroke on="f" weight="0.5pt"/>
              <v:imagedata o:title=""/>
              <o:lock v:ext="edit" aspectratio="f"/>
              <v:textbox inset="0mm,0mm,0mm,0mm" style="mso-fit-shape-to-text:t;">
                <w:txbxContent>
                  <w:p>
                    <w:pPr>
                      <w:pStyle w:val="11"/>
                    </w:pPr>
                    <w:r>
                      <w:t xml:space="preserve">— </w:t>
                    </w:r>
                    <w:r>
                      <w:rPr>
                        <w:rFonts w:hint="eastAsia" w:asciiTheme="minorEastAsia" w:hAnsiTheme="minorEastAsia" w:eastAsiaTheme="minorEastAsia" w:cstheme="minorEastAsia"/>
                        <w:sz w:val="28"/>
                        <w:szCs w:val="44"/>
                      </w:rPr>
                      <w:fldChar w:fldCharType="begin"/>
                    </w:r>
                    <w:r>
                      <w:rPr>
                        <w:rFonts w:hint="eastAsia" w:asciiTheme="minorEastAsia" w:hAnsiTheme="minorEastAsia" w:eastAsiaTheme="minorEastAsia" w:cstheme="minorEastAsia"/>
                        <w:sz w:val="28"/>
                        <w:szCs w:val="44"/>
                      </w:rPr>
                      <w:instrText xml:space="preserve"> PAGE  \* MERGEFORMAT </w:instrText>
                    </w:r>
                    <w:r>
                      <w:rPr>
                        <w:rFonts w:hint="eastAsia" w:asciiTheme="minorEastAsia" w:hAnsiTheme="minorEastAsia" w:eastAsiaTheme="minorEastAsia" w:cstheme="minorEastAsia"/>
                        <w:sz w:val="28"/>
                        <w:szCs w:val="44"/>
                      </w:rPr>
                      <w:fldChar w:fldCharType="separate"/>
                    </w:r>
                    <w:r>
                      <w:rPr>
                        <w:rFonts w:hint="eastAsia" w:asciiTheme="minorEastAsia" w:hAnsiTheme="minorEastAsia" w:eastAsiaTheme="minorEastAsia" w:cstheme="minorEastAsia"/>
                        <w:sz w:val="28"/>
                        <w:szCs w:val="44"/>
                      </w:rPr>
                      <w:t>1</w:t>
                    </w:r>
                    <w:r>
                      <w:rPr>
                        <w:rFonts w:hint="eastAsia" w:asciiTheme="minorEastAsia" w:hAnsiTheme="minorEastAsia" w:eastAsiaTheme="minorEastAsia" w:cstheme="minorEastAsia"/>
                        <w:sz w:val="28"/>
                        <w:szCs w:val="44"/>
                      </w:rPr>
                      <w:fldChar w:fldCharType="end"/>
                    </w:r>
                    <w: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16EB8C75"/>
    <w:rsid w:val="1EDCE21A"/>
    <w:rsid w:val="26EB4A60"/>
    <w:rsid w:val="3315093A"/>
    <w:rsid w:val="36022D0A"/>
    <w:rsid w:val="3D5FDCFC"/>
    <w:rsid w:val="3DEF27A2"/>
    <w:rsid w:val="3F55066E"/>
    <w:rsid w:val="47E6AE1E"/>
    <w:rsid w:val="57FF3A80"/>
    <w:rsid w:val="5BEB5DAF"/>
    <w:rsid w:val="5D7F39C5"/>
    <w:rsid w:val="5ED71894"/>
    <w:rsid w:val="5F2BE56A"/>
    <w:rsid w:val="5F3F3D63"/>
    <w:rsid w:val="5FD97240"/>
    <w:rsid w:val="5FFFA0E7"/>
    <w:rsid w:val="63FF7FB7"/>
    <w:rsid w:val="655D2140"/>
    <w:rsid w:val="671F3583"/>
    <w:rsid w:val="67BADCD1"/>
    <w:rsid w:val="6CFFD566"/>
    <w:rsid w:val="6D806684"/>
    <w:rsid w:val="6EAE22C4"/>
    <w:rsid w:val="6EFFBBCE"/>
    <w:rsid w:val="6FC72380"/>
    <w:rsid w:val="73AD6279"/>
    <w:rsid w:val="73FB884D"/>
    <w:rsid w:val="772BFD69"/>
    <w:rsid w:val="79753335"/>
    <w:rsid w:val="798CF3EB"/>
    <w:rsid w:val="79DEE360"/>
    <w:rsid w:val="7B2F2850"/>
    <w:rsid w:val="7B766F8F"/>
    <w:rsid w:val="7BF7E217"/>
    <w:rsid w:val="7BFFE59A"/>
    <w:rsid w:val="7D9F3A20"/>
    <w:rsid w:val="7DD39989"/>
    <w:rsid w:val="7E9F479A"/>
    <w:rsid w:val="7EBF89CD"/>
    <w:rsid w:val="7EFF9C12"/>
    <w:rsid w:val="7FB64A85"/>
    <w:rsid w:val="7FFFB285"/>
    <w:rsid w:val="7FFFDB24"/>
    <w:rsid w:val="995F0FBB"/>
    <w:rsid w:val="9EFFBBA7"/>
    <w:rsid w:val="9FF753B3"/>
    <w:rsid w:val="ABBF324B"/>
    <w:rsid w:val="BB7EDAE6"/>
    <w:rsid w:val="BBFF548B"/>
    <w:rsid w:val="BDBC8FF5"/>
    <w:rsid w:val="BDDEB8D7"/>
    <w:rsid w:val="BE7B7903"/>
    <w:rsid w:val="BEBBE67F"/>
    <w:rsid w:val="BF5EBD87"/>
    <w:rsid w:val="C7FFEB54"/>
    <w:rsid w:val="CEAEA899"/>
    <w:rsid w:val="DEB7FE68"/>
    <w:rsid w:val="DFA76C18"/>
    <w:rsid w:val="DFE91CA5"/>
    <w:rsid w:val="DFF7C9CE"/>
    <w:rsid w:val="DFFF69F1"/>
    <w:rsid w:val="E376E1AF"/>
    <w:rsid w:val="E76E496D"/>
    <w:rsid w:val="E77E6E49"/>
    <w:rsid w:val="E7CB6825"/>
    <w:rsid w:val="EA79C051"/>
    <w:rsid w:val="EEFEACF0"/>
    <w:rsid w:val="EFF64497"/>
    <w:rsid w:val="F2FB89CF"/>
    <w:rsid w:val="F4FF2852"/>
    <w:rsid w:val="F6FE9178"/>
    <w:rsid w:val="F77B98E2"/>
    <w:rsid w:val="F7B74557"/>
    <w:rsid w:val="F82BA885"/>
    <w:rsid w:val="FB4D790E"/>
    <w:rsid w:val="FCFF185E"/>
    <w:rsid w:val="FD5F33DD"/>
    <w:rsid w:val="FDFFDEC4"/>
    <w:rsid w:val="FFBFB86A"/>
    <w:rsid w:val="FFEF2FC6"/>
    <w:rsid w:val="FFF7523A"/>
    <w:rsid w:val="FFFB3524"/>
    <w:rsid w:val="FFFFAEA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3"/>
    <w:basedOn w:val="5"/>
    <w:next w:val="1"/>
    <w:qFormat/>
    <w:uiPriority w:val="9"/>
    <w:pPr>
      <w:spacing w:before="260" w:after="260" w:line="240" w:lineRule="auto"/>
      <w:outlineLvl w:val="2"/>
    </w:pPr>
    <w:rPr>
      <w:rFonts w:ascii="宋体" w:hAnsi="宋体" w:eastAsia="宋体"/>
      <w:szCs w:val="32"/>
    </w:rPr>
  </w:style>
  <w:style w:type="paragraph" w:styleId="5">
    <w:name w:val="heading 4"/>
    <w:basedOn w:val="1"/>
    <w:next w:val="1"/>
    <w:qFormat/>
    <w:uiPriority w:val="9"/>
    <w:pPr>
      <w:keepNext/>
      <w:keepLines/>
      <w:spacing w:before="280" w:after="290" w:line="376" w:lineRule="auto"/>
      <w:outlineLvl w:val="3"/>
    </w:pPr>
    <w:rPr>
      <w:rFonts w:ascii="Arial" w:hAnsi="Arial" w:eastAsia="黑体"/>
      <w:b/>
      <w:bCs/>
      <w:sz w:val="28"/>
      <w:szCs w:val="28"/>
    </w:rPr>
  </w:style>
  <w:style w:type="character" w:default="1" w:styleId="17">
    <w:name w:val="Default Paragraph Font"/>
    <w:semiHidden/>
    <w:qFormat/>
    <w:uiPriority w:val="0"/>
  </w:style>
  <w:style w:type="table" w:default="1" w:styleId="15">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10"/>
    <w:pPr>
      <w:spacing w:before="240" w:after="60"/>
      <w:jc w:val="center"/>
      <w:outlineLvl w:val="0"/>
    </w:pPr>
    <w:rPr>
      <w:rFonts w:ascii="等线 Light" w:hAnsi="等线 Light" w:eastAsia="宋体" w:cs="Times New Roman"/>
      <w:b/>
      <w:bCs/>
      <w:sz w:val="32"/>
      <w:szCs w:val="32"/>
    </w:rPr>
  </w:style>
  <w:style w:type="paragraph" w:styleId="6">
    <w:name w:val="Normal Indent"/>
    <w:basedOn w:val="1"/>
    <w:qFormat/>
    <w:uiPriority w:val="0"/>
    <w:pPr>
      <w:ind w:firstLine="420"/>
    </w:pPr>
    <w:rPr>
      <w:szCs w:val="20"/>
    </w:rPr>
  </w:style>
  <w:style w:type="paragraph" w:styleId="7">
    <w:name w:val="annotation text"/>
    <w:basedOn w:val="1"/>
    <w:qFormat/>
    <w:uiPriority w:val="0"/>
    <w:pPr>
      <w:autoSpaceDE w:val="0"/>
      <w:autoSpaceDN w:val="0"/>
      <w:adjustRightInd w:val="0"/>
      <w:jc w:val="left"/>
      <w:textAlignment w:val="baseline"/>
    </w:pPr>
    <w:rPr>
      <w:rFonts w:ascii="宋体"/>
      <w:kern w:val="0"/>
      <w:sz w:val="34"/>
      <w:szCs w:val="20"/>
    </w:rPr>
  </w:style>
  <w:style w:type="paragraph" w:styleId="8">
    <w:name w:val="Body Text Indent"/>
    <w:basedOn w:val="1"/>
    <w:qFormat/>
    <w:uiPriority w:val="0"/>
    <w:pPr>
      <w:ind w:left="420" w:leftChars="200"/>
    </w:pPr>
  </w:style>
  <w:style w:type="paragraph" w:styleId="9">
    <w:name w:val="Block Text"/>
    <w:basedOn w:val="1"/>
    <w:qFormat/>
    <w:uiPriority w:val="0"/>
    <w:pPr>
      <w:tabs>
        <w:tab w:val="left" w:pos="426"/>
      </w:tabs>
      <w:spacing w:after="120"/>
      <w:ind w:left="1440" w:leftChars="700" w:right="1440" w:rightChars="700"/>
    </w:pPr>
  </w:style>
  <w:style w:type="paragraph" w:styleId="10">
    <w:name w:val="Plain Text"/>
    <w:basedOn w:val="1"/>
    <w:unhideWhenUsed/>
    <w:qFormat/>
    <w:uiPriority w:val="99"/>
    <w:rPr>
      <w:rFonts w:ascii="宋体" w:hAnsi="Calibri" w:cs="Courier New"/>
      <w:szCs w:val="21"/>
    </w:rPr>
  </w:style>
  <w:style w:type="paragraph" w:styleId="11">
    <w:name w:val="footer"/>
    <w:basedOn w:val="1"/>
    <w:qFormat/>
    <w:uiPriority w:val="0"/>
    <w:pPr>
      <w:tabs>
        <w:tab w:val="center" w:pos="4153"/>
        <w:tab w:val="right" w:pos="8306"/>
      </w:tabs>
      <w:snapToGrid w:val="0"/>
      <w:jc w:val="left"/>
    </w:pPr>
    <w:rPr>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Body Text 2"/>
    <w:basedOn w:val="1"/>
    <w:qFormat/>
    <w:uiPriority w:val="0"/>
    <w:pPr>
      <w:spacing w:line="360" w:lineRule="auto"/>
    </w:pPr>
    <w:rPr>
      <w:sz w:val="24"/>
    </w:rPr>
  </w:style>
  <w:style w:type="paragraph" w:styleId="14">
    <w:name w:val="Body Text First Indent 2"/>
    <w:basedOn w:val="8"/>
    <w:qFormat/>
    <w:uiPriority w:val="0"/>
    <w:pPr>
      <w:ind w:firstLine="420" w:firstLineChars="200"/>
    </w:pPr>
    <w:rPr>
      <w:rFonts w:ascii="Times New Roman" w:hAnsi="Times New Roman"/>
    </w:rPr>
  </w:style>
  <w:style w:type="table" w:styleId="16">
    <w:name w:val="Table Grid"/>
    <w:basedOn w:val="15"/>
    <w:qFormat/>
    <w:uiPriority w:val="0"/>
    <w:pPr>
      <w:keepNext w:val="0"/>
      <w:keepLines w:val="0"/>
      <w:widowControl w:val="0"/>
      <w:suppressLineNumbers w:val="0"/>
      <w:spacing w:before="0" w:beforeAutospacing="0" w:after="0" w:afterAutospacing="0"/>
      <w:ind w:left="0" w:right="0"/>
      <w:jc w:val="both"/>
    </w:pPr>
    <w:rPr>
      <w:rFonts w:hint="default" w:ascii="Times New Roman" w:hAnsi="Times New Roman" w:cs="Times New Roman"/>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character" w:styleId="18">
    <w:name w:val="Hyperlink"/>
    <w:basedOn w:val="17"/>
    <w:qFormat/>
    <w:uiPriority w:val="0"/>
    <w:rPr>
      <w:color w:val="0000FF"/>
      <w:u w:val="single"/>
    </w:rPr>
  </w:style>
  <w:style w:type="paragraph" w:styleId="19">
    <w:name w:val="List Paragraph"/>
    <w:basedOn w:val="1"/>
    <w:qFormat/>
    <w:uiPriority w:val="34"/>
    <w:pPr>
      <w:ind w:firstLine="420" w:firstLineChars="200"/>
    </w:pPr>
  </w:style>
  <w:style w:type="paragraph" w:customStyle="1" w:styleId="20">
    <w:name w:val="星耀正文"/>
    <w:basedOn w:val="1"/>
    <w:qFormat/>
    <w:uiPriority w:val="3"/>
    <w:pPr>
      <w:ind w:firstLine="422" w:firstLineChars="200"/>
    </w:pPr>
    <w:rPr>
      <w:rFonts w:ascii="宋体" w:hAnsi="宋体" w:eastAsia="仿宋_GB2312"/>
      <w:bCs/>
    </w:rPr>
  </w:style>
  <w:style w:type="paragraph" w:customStyle="1" w:styleId="21">
    <w:name w:val="USE 1"/>
    <w:basedOn w:val="1"/>
    <w:qFormat/>
    <w:uiPriority w:val="0"/>
    <w:pPr>
      <w:spacing w:line="200" w:lineRule="atLeast"/>
      <w:jc w:val="left"/>
    </w:pPr>
    <w:rPr>
      <w:rFonts w:ascii="宋体" w:hAnsi="宋体"/>
      <w:b/>
      <w:sz w:val="24"/>
      <w:szCs w:val="28"/>
    </w:rPr>
  </w:style>
  <w:style w:type="paragraph" w:customStyle="1" w:styleId="22">
    <w:name w:val="l正文"/>
    <w:basedOn w:val="1"/>
    <w:qFormat/>
    <w:uiPriority w:val="0"/>
    <w:pPr>
      <w:spacing w:line="300" w:lineRule="auto"/>
      <w:ind w:firstLine="200" w:firstLineChars="200"/>
      <w:jc w:val="left"/>
    </w:pPr>
    <w:rPr>
      <w:rFonts w:ascii="楷体_GB2312" w:hAnsi="Times" w:eastAsia="楷体_GB2312" w:cs="等线"/>
      <w:sz w:val="24"/>
    </w:rPr>
  </w:style>
  <w:style w:type="paragraph" w:customStyle="1" w:styleId="23">
    <w:name w:val="_Style 3"/>
    <w:basedOn w:val="1"/>
    <w:next w:val="1"/>
    <w:qFormat/>
    <w:uiPriority w:val="99"/>
    <w:pPr>
      <w:spacing w:line="360" w:lineRule="auto"/>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964</Words>
  <Characters>995</Characters>
  <Lines>1</Lines>
  <Paragraphs>1</Paragraphs>
  <TotalTime>15</TotalTime>
  <ScaleCrop>false</ScaleCrop>
  <LinksUpToDate>false</LinksUpToDate>
  <CharactersWithSpaces>995</CharactersWithSpaces>
  <Application>WPS Office_11.8.2.12313_F1E327BC-269C-435d-A152-05C5408002CA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2025-04-26T09:16:00Z</dcterms:created>
  <dc:creator>yang</dc:creator>
  <cp:lastModifiedBy>微信用户</cp:lastModifiedBy>
  <cp:lastPrinted>2026-08-11T18:00:00Z</cp:lastPrinted>
  <dcterms:modified xsi:type="dcterms:W3CDTF">2026-08-17T16:00:59Z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2052-11.8.2.12313</vt:lpwstr>
  </property>
  <property fmtid="{D5CDD505-2E9C-101B-9397-08002B2CF9AE}" pid="3" name="ICV">
    <vt:lpwstr>8B7629E832751660B98CDC6984828166</vt:lpwstr>
  </property>
  <property fmtid="{D5CDD505-2E9C-101B-9397-08002B2CF9AE}" pid="4" name="KSOTemplateDocerSaveRecord">
    <vt:lpwstr>eyJoZGlkIjoiMWRkMTk2MWM4YWY5ZDQ4ZmYyMzY4MzAwMDdiNWJhOTIiLCJ1c2VySWQiOiIyOTUyNjUzMzUifQ==</vt:lpwstr>
  </property>
</Properties>
</file>