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2026年中国文化名人大营救纪念馆基础</w:t>
      </w:r>
    </w:p>
    <w:p>
      <w:pPr>
        <w:spacing w:line="56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运维设施类维护项目</w:t>
      </w:r>
      <w:r>
        <w:rPr>
          <w:rFonts w:hint="eastAsia" w:ascii="方正小标宋简体" w:hAnsi="方正小标宋简体" w:eastAsia="方正小标宋简体" w:cs="方正小标宋简体"/>
          <w:color w:val="auto"/>
          <w:sz w:val="44"/>
          <w:szCs w:val="44"/>
          <w:highlight w:val="none"/>
        </w:rPr>
        <w:t>需求书</w:t>
      </w:r>
    </w:p>
    <w:p>
      <w:pPr>
        <w:pStyle w:val="9"/>
        <w:spacing w:line="560" w:lineRule="exact"/>
        <w:jc w:val="both"/>
        <w:rPr>
          <w:rFonts w:ascii="方正小标宋简体" w:hAnsi="方正小标宋简体" w:eastAsia="方正小标宋简体" w:cs="方正小标宋简体"/>
          <w:color w:val="auto"/>
          <w:spacing w:val="17"/>
          <w:sz w:val="44"/>
          <w:szCs w:val="44"/>
          <w:highlight w:val="none"/>
        </w:rPr>
      </w:pP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一、项目目标</w:t>
      </w:r>
    </w:p>
    <w:p>
      <w:pPr>
        <w:tabs>
          <w:tab w:val="left" w:pos="1820"/>
        </w:tabs>
        <w:snapToGrid w:val="0"/>
        <w:spacing w:line="560" w:lineRule="exact"/>
        <w:ind w:firstLine="640" w:firstLineChars="200"/>
        <w:jc w:val="both"/>
        <w:rPr>
          <w:rFonts w:hint="eastAsia" w:ascii="仿宋_GB2312" w:hAnsi="仿宋_GB2312" w:eastAsia="仿宋_GB2312" w:cs="仿宋_GB2312"/>
          <w:bCs w:val="0"/>
          <w:color w:val="auto"/>
          <w:sz w:val="32"/>
          <w:szCs w:val="36"/>
          <w:highlight w:val="none"/>
        </w:rPr>
      </w:pPr>
      <w:r>
        <w:rPr>
          <w:rFonts w:hint="eastAsia" w:ascii="仿宋_GB2312" w:hAnsi="仿宋_GB2312" w:eastAsia="仿宋_GB2312" w:cs="仿宋_GB2312"/>
          <w:bCs w:val="0"/>
          <w:color w:val="auto"/>
          <w:sz w:val="32"/>
          <w:szCs w:val="36"/>
          <w:highlight w:val="none"/>
        </w:rPr>
        <w:t>本项目旨在通过升级全馆网络及导览标识系统、开展展厅展陈设备维护检修、更新停车场安防及防汛设施、推进藏品库房功能区域与拍摄平台建设、完成天主教堂专项保养维护等五项工作，全面提升纪念馆智慧化服务能力、设备运行效能、安全防护水平和文物研究硬件支撑，确保设施故障率明显下降、参观环境显著改善、文物保护基础进一步夯实，从而有力保障纪念馆常态化开展爱国主义教育活动的设施条件，切实发挥红色资源教育功能，更好履行《爱国主义教育法》第二十五条规定的职责使命。</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t>二、</w:t>
      </w:r>
      <w:r>
        <w:rPr>
          <w:rFonts w:hint="eastAsia" w:ascii="黑体" w:hAnsi="黑体" w:eastAsia="黑体" w:cs="黑体"/>
          <w:bCs/>
          <w:color w:val="auto"/>
          <w:sz w:val="32"/>
          <w:szCs w:val="32"/>
          <w:highlight w:val="none"/>
          <w:lang w:eastAsia="zh-CN"/>
        </w:rPr>
        <w:t>服务时间</w:t>
      </w:r>
    </w:p>
    <w:p>
      <w:pPr>
        <w:pStyle w:val="8"/>
        <w:spacing w:after="0" w:line="560" w:lineRule="exact"/>
        <w:ind w:left="0" w:leftChars="0" w:right="0" w:rightChars="0" w:firstLine="640" w:firstLineChars="200"/>
        <w:jc w:val="both"/>
        <w:rPr>
          <w:rFonts w:ascii="仿宋_GB2312" w:hAnsi="仿宋_GB2312" w:eastAsia="仿宋_GB2312" w:cs="仿宋_GB2312"/>
          <w:color w:val="auto"/>
          <w:sz w:val="32"/>
          <w:szCs w:val="36"/>
          <w:highlight w:val="none"/>
        </w:rPr>
      </w:pPr>
      <w:r>
        <w:rPr>
          <w:rFonts w:hint="eastAsia" w:ascii="仿宋_GB2312" w:hAnsi="仿宋_GB2312" w:eastAsia="仿宋_GB2312" w:cs="仿宋_GB2312"/>
          <w:color w:val="auto"/>
          <w:sz w:val="32"/>
          <w:szCs w:val="36"/>
          <w:highlight w:val="none"/>
          <w:lang w:val="en-US" w:eastAsia="zh-CN"/>
        </w:rPr>
        <w:t>2026</w:t>
      </w:r>
      <w:r>
        <w:rPr>
          <w:rFonts w:hint="eastAsia" w:ascii="仿宋_GB2312" w:hAnsi="仿宋_GB2312" w:eastAsia="仿宋_GB2312" w:cs="仿宋_GB2312"/>
          <w:color w:val="auto"/>
          <w:sz w:val="32"/>
          <w:szCs w:val="36"/>
          <w:highlight w:val="none"/>
        </w:rPr>
        <w:t>年</w:t>
      </w:r>
      <w:r>
        <w:rPr>
          <w:rFonts w:hint="eastAsia" w:ascii="仿宋_GB2312" w:hAnsi="仿宋_GB2312" w:eastAsia="仿宋_GB2312" w:cs="仿宋_GB2312"/>
          <w:color w:val="auto"/>
          <w:sz w:val="32"/>
          <w:szCs w:val="36"/>
          <w:highlight w:val="none"/>
          <w:lang w:val="en-US" w:eastAsia="zh-CN"/>
        </w:rPr>
        <w:t>8</w:t>
      </w:r>
      <w:r>
        <w:rPr>
          <w:rFonts w:hint="eastAsia" w:ascii="仿宋_GB2312" w:hAnsi="仿宋_GB2312" w:eastAsia="仿宋_GB2312" w:cs="仿宋_GB2312"/>
          <w:color w:val="auto"/>
          <w:sz w:val="32"/>
          <w:szCs w:val="36"/>
          <w:highlight w:val="none"/>
        </w:rPr>
        <w:t>月-</w:t>
      </w:r>
      <w:r>
        <w:rPr>
          <w:rFonts w:hint="eastAsia" w:ascii="仿宋_GB2312" w:hAnsi="仿宋_GB2312" w:eastAsia="仿宋_GB2312" w:cs="仿宋_GB2312"/>
          <w:color w:val="auto"/>
          <w:sz w:val="32"/>
          <w:szCs w:val="36"/>
          <w:highlight w:val="none"/>
          <w:lang w:val="en-US" w:eastAsia="zh-CN"/>
        </w:rPr>
        <w:t>2026年11</w:t>
      </w:r>
      <w:r>
        <w:rPr>
          <w:rFonts w:hint="eastAsia" w:ascii="仿宋_GB2312" w:hAnsi="仿宋_GB2312" w:eastAsia="仿宋_GB2312" w:cs="仿宋_GB2312"/>
          <w:color w:val="auto"/>
          <w:sz w:val="32"/>
          <w:szCs w:val="36"/>
          <w:highlight w:val="none"/>
        </w:rPr>
        <w:t>月（暂定）</w:t>
      </w:r>
    </w:p>
    <w:p>
      <w:pPr>
        <w:tabs>
          <w:tab w:val="left" w:pos="1820"/>
        </w:tabs>
        <w:snapToGrid w:val="0"/>
        <w:spacing w:line="560" w:lineRule="exact"/>
        <w:ind w:firstLine="640" w:firstLineChars="200"/>
        <w:jc w:val="both"/>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w:t>
      </w:r>
      <w:bookmarkStart w:id="0" w:name="OLE_LINK2"/>
      <w:r>
        <w:rPr>
          <w:rFonts w:hint="eastAsia" w:ascii="黑体" w:hAnsi="黑体" w:eastAsia="黑体" w:cs="黑体"/>
          <w:bCs/>
          <w:color w:val="auto"/>
          <w:sz w:val="32"/>
          <w:szCs w:val="32"/>
          <w:highlight w:val="none"/>
        </w:rPr>
        <w:t>项目内容及要求</w:t>
      </w:r>
      <w:bookmarkEnd w:id="0"/>
    </w:p>
    <w:p>
      <w:pPr>
        <w:spacing w:line="560" w:lineRule="exact"/>
        <w:ind w:firstLine="640" w:firstLineChars="200"/>
        <w:jc w:val="both"/>
        <w:rPr>
          <w:rFonts w:hint="eastAsia" w:ascii="楷体_GB2312" w:hAnsi="楷体_GB2312" w:eastAsia="楷体_GB2312" w:cs="楷体_GB2312"/>
          <w:color w:val="auto"/>
          <w:sz w:val="32"/>
          <w:szCs w:val="32"/>
          <w:highlight w:val="none"/>
        </w:rPr>
      </w:pPr>
      <w:r>
        <w:rPr>
          <w:rFonts w:hint="eastAsia" w:ascii="仿宋_GB2312" w:hAnsi="仿宋" w:eastAsia="仿宋_GB2312" w:cs="仿宋"/>
          <w:color w:val="auto"/>
          <w:sz w:val="32"/>
          <w:szCs w:val="32"/>
          <w:highlight w:val="none"/>
        </w:rPr>
        <w:t>（一）</w:t>
      </w:r>
      <w:r>
        <w:rPr>
          <w:rFonts w:hint="eastAsia" w:ascii="楷体_GB2312" w:hAnsi="楷体_GB2312" w:eastAsia="楷体_GB2312" w:cs="楷体_GB2312"/>
          <w:color w:val="auto"/>
          <w:sz w:val="32"/>
          <w:szCs w:val="32"/>
          <w:highlight w:val="none"/>
        </w:rPr>
        <w:t>项目内容</w:t>
      </w:r>
    </w:p>
    <w:p>
      <w:pPr>
        <w:tabs>
          <w:tab w:val="left" w:pos="1820"/>
        </w:tabs>
        <w:snapToGrid w:val="0"/>
        <w:spacing w:line="560" w:lineRule="exact"/>
        <w:ind w:firstLine="640" w:firstLineChars="200"/>
        <w:jc w:val="both"/>
        <w:rPr>
          <w:rFonts w:hint="eastAsia" w:ascii="仿宋_GB2312" w:hAnsi="仿宋_GB2312" w:eastAsia="仿宋_GB2312" w:cs="仿宋_GB2312"/>
          <w:color w:val="auto"/>
          <w:sz w:val="32"/>
          <w:szCs w:val="36"/>
          <w:highlight w:val="none"/>
        </w:rPr>
      </w:pPr>
      <w:r>
        <w:rPr>
          <w:rFonts w:hint="eastAsia" w:ascii="仿宋_GB2312" w:hAnsi="仿宋_GB2312" w:eastAsia="仿宋_GB2312" w:cs="仿宋_GB2312"/>
          <w:color w:val="auto"/>
          <w:sz w:val="32"/>
          <w:szCs w:val="36"/>
          <w:highlight w:val="none"/>
        </w:rPr>
        <w:t>对全馆网络系统进行升级并优化导览标识，全面检修维护展厅展陈设备，更新停车场安防及防汛设施并加固主出入口门体，加快推进藏品库房功能区域规划与拍摄平台建设，同时完成天主教堂展柜密封条更换、驱动电源更新、梁柱墙体简易支顶加固及安全性检测，并对屋面、墙面、门窗进行常规保养维护。</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color w:val="auto"/>
          <w:sz w:val="32"/>
          <w:szCs w:val="32"/>
          <w:highlight w:val="none"/>
        </w:rPr>
      </w:pPr>
      <w:r>
        <w:rPr>
          <w:rFonts w:hint="eastAsia" w:ascii="仿宋_GB2312" w:hAnsi="仿宋" w:eastAsia="仿宋_GB2312" w:cs="仿宋"/>
          <w:color w:val="auto"/>
          <w:sz w:val="32"/>
          <w:szCs w:val="32"/>
          <w:highlight w:val="none"/>
        </w:rPr>
        <w:br w:type="page"/>
      </w:r>
      <w:r>
        <w:rPr>
          <w:rFonts w:hint="eastAsia" w:ascii="仿宋_GB2312" w:hAnsi="仿宋" w:eastAsia="仿宋_GB2312" w:cs="仿宋"/>
          <w:color w:val="auto"/>
          <w:sz w:val="32"/>
          <w:szCs w:val="32"/>
          <w:highlight w:val="none"/>
        </w:rPr>
        <w:t>（二）</w:t>
      </w:r>
      <w:r>
        <w:rPr>
          <w:rFonts w:hint="eastAsia" w:ascii="楷体_GB2312" w:hAnsi="楷体_GB2312" w:eastAsia="楷体_GB2312" w:cs="楷体_GB2312"/>
          <w:color w:val="auto"/>
          <w:sz w:val="32"/>
          <w:szCs w:val="32"/>
          <w:highlight w:val="none"/>
        </w:rPr>
        <w:t>具体要求</w:t>
      </w:r>
    </w:p>
    <w:p>
      <w:pPr>
        <w:tabs>
          <w:tab w:val="left" w:pos="1820"/>
        </w:tabs>
        <w:snapToGrid w:val="0"/>
        <w:spacing w:line="560" w:lineRule="exact"/>
        <w:ind w:firstLine="640" w:firstLineChars="200"/>
        <w:jc w:val="both"/>
        <w:rPr>
          <w:rFonts w:hint="eastAsia" w:ascii="仿宋_GB2312" w:hAnsi="仿宋_GB2312" w:eastAsia="仿宋_GB2312" w:cs="仿宋_GB2312"/>
          <w:color w:val="auto"/>
          <w:sz w:val="32"/>
          <w:szCs w:val="36"/>
          <w:highlight w:val="none"/>
        </w:rPr>
      </w:pPr>
      <w:r>
        <w:rPr>
          <w:rFonts w:hint="eastAsia" w:ascii="仿宋_GB2312" w:hAnsi="仿宋_GB2312" w:eastAsia="仿宋_GB2312" w:cs="仿宋_GB2312"/>
          <w:color w:val="auto"/>
          <w:sz w:val="32"/>
          <w:szCs w:val="36"/>
          <w:highlight w:val="none"/>
        </w:rPr>
        <w:t>被委托方需在2026年</w:t>
      </w:r>
      <w:r>
        <w:rPr>
          <w:rFonts w:hint="eastAsia" w:ascii="仿宋_GB2312" w:hAnsi="仿宋_GB2312" w:eastAsia="仿宋_GB2312" w:cs="仿宋_GB2312"/>
          <w:color w:val="auto"/>
          <w:sz w:val="32"/>
          <w:szCs w:val="36"/>
          <w:highlight w:val="none"/>
          <w:lang w:val="en-US" w:eastAsia="zh-CN"/>
        </w:rPr>
        <w:t>11月前</w:t>
      </w:r>
      <w:r>
        <w:rPr>
          <w:rFonts w:hint="eastAsia" w:ascii="仿宋_GB2312" w:hAnsi="仿宋_GB2312" w:eastAsia="仿宋_GB2312" w:cs="仿宋_GB2312"/>
          <w:color w:val="auto"/>
          <w:sz w:val="32"/>
          <w:szCs w:val="36"/>
          <w:highlight w:val="none"/>
        </w:rPr>
        <w:t>完成该项目，并在完成时出具具体书面及电子结项报告。</w:t>
      </w:r>
    </w:p>
    <w:p>
      <w:pPr>
        <w:tabs>
          <w:tab w:val="left" w:pos="1820"/>
        </w:tabs>
        <w:snapToGrid w:val="0"/>
        <w:spacing w:line="560" w:lineRule="exact"/>
        <w:ind w:firstLine="640" w:firstLineChars="200"/>
        <w:jc w:val="both"/>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lang w:eastAsia="zh-CN"/>
        </w:rPr>
        <w:t>四、报价限额</w:t>
      </w:r>
    </w:p>
    <w:p>
      <w:pPr>
        <w:spacing w:line="560"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6"/>
          <w:highlight w:val="none"/>
          <w:lang w:val="en-US" w:eastAsia="zh-CN"/>
        </w:rPr>
        <w:t>15</w:t>
      </w:r>
      <w:r>
        <w:rPr>
          <w:rFonts w:hint="eastAsia" w:ascii="仿宋_GB2312" w:hAnsi="仿宋_GB2312" w:eastAsia="仿宋_GB2312" w:cs="仿宋_GB2312"/>
          <w:color w:val="auto"/>
          <w:sz w:val="32"/>
          <w:szCs w:val="36"/>
          <w:highlight w:val="none"/>
          <w:lang w:eastAsia="zh-CN"/>
        </w:rPr>
        <w:t>万元，</w:t>
      </w:r>
      <w:r>
        <w:rPr>
          <w:rFonts w:hint="eastAsia" w:ascii="仿宋_GB2312" w:hAnsi="仿宋_GB2312" w:eastAsia="仿宋_GB2312" w:cs="仿宋_GB2312"/>
          <w:b/>
          <w:bCs/>
          <w:color w:val="auto"/>
          <w:sz w:val="32"/>
          <w:szCs w:val="32"/>
          <w:highlight w:val="none"/>
          <w:lang w:eastAsia="zh-CN"/>
        </w:rPr>
        <w:t>项目报价表</w:t>
      </w:r>
      <w:r>
        <w:rPr>
          <w:rFonts w:hint="eastAsia" w:ascii="仿宋_GB2312" w:hAnsi="仿宋_GB2312" w:eastAsia="仿宋_GB2312" w:cs="仿宋_GB2312"/>
          <w:color w:val="auto"/>
          <w:sz w:val="32"/>
          <w:szCs w:val="32"/>
          <w:highlight w:val="none"/>
        </w:rPr>
        <w:t>需</w:t>
      </w:r>
      <w:r>
        <w:rPr>
          <w:rFonts w:hint="eastAsia" w:ascii="仿宋_GB2312" w:hAnsi="仿宋_GB2312" w:eastAsia="仿宋_GB2312" w:cs="仿宋_GB2312"/>
          <w:color w:val="auto"/>
          <w:sz w:val="32"/>
          <w:szCs w:val="32"/>
          <w:highlight w:val="none"/>
          <w:lang w:eastAsia="zh-CN"/>
        </w:rPr>
        <w:t>按格式提供，与下表</w:t>
      </w:r>
      <w:r>
        <w:rPr>
          <w:rFonts w:hint="eastAsia" w:ascii="仿宋_GB2312" w:hAnsi="仿宋_GB2312" w:eastAsia="仿宋_GB2312" w:cs="仿宋_GB2312"/>
          <w:color w:val="auto"/>
          <w:sz w:val="32"/>
          <w:szCs w:val="32"/>
          <w:highlight w:val="none"/>
        </w:rPr>
        <w:t>保持一致</w:t>
      </w:r>
      <w:r>
        <w:rPr>
          <w:rFonts w:hint="eastAsia" w:ascii="仿宋_GB2312" w:hAnsi="仿宋_GB2312" w:eastAsia="仿宋_GB2312" w:cs="仿宋_GB2312"/>
          <w:color w:val="auto"/>
          <w:sz w:val="32"/>
          <w:szCs w:val="32"/>
          <w:highlight w:val="none"/>
          <w:lang w:eastAsia="zh-CN"/>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1824"/>
        <w:gridCol w:w="1095"/>
        <w:gridCol w:w="959"/>
        <w:gridCol w:w="3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99"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val="0"/>
                <w:bCs w:val="0"/>
                <w:i w:val="0"/>
                <w:iCs w:val="0"/>
                <w:color w:val="000000"/>
                <w:kern w:val="0"/>
                <w:sz w:val="32"/>
                <w:szCs w:val="32"/>
                <w:u w:val="none"/>
                <w:lang w:val="en-US" w:eastAsia="zh-CN" w:bidi="ar"/>
              </w:rPr>
              <w:t>序号</w:t>
            </w:r>
          </w:p>
        </w:tc>
        <w:tc>
          <w:tcPr>
            <w:tcW w:w="182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val="0"/>
                <w:bCs w:val="0"/>
                <w:i w:val="0"/>
                <w:iCs w:val="0"/>
                <w:color w:val="000000"/>
                <w:kern w:val="0"/>
                <w:sz w:val="32"/>
                <w:szCs w:val="32"/>
                <w:u w:val="none"/>
                <w:lang w:val="en-US" w:eastAsia="zh-CN" w:bidi="ar"/>
              </w:rPr>
              <w:t>项目/内容</w:t>
            </w:r>
          </w:p>
        </w:tc>
        <w:tc>
          <w:tcPr>
            <w:tcW w:w="1095"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32"/>
                <w:szCs w:val="32"/>
                <w:u w:val="none"/>
                <w:vertAlign w:val="baseline"/>
                <w:lang w:eastAsia="zh-CN" w:bidi="ar"/>
              </w:rPr>
            </w:pPr>
            <w:r>
              <w:rPr>
                <w:rFonts w:hint="eastAsia" w:ascii="仿宋_GB2312" w:hAnsi="仿宋_GB2312" w:eastAsia="仿宋_GB2312" w:cs="仿宋_GB2312"/>
                <w:color w:val="000000"/>
                <w:kern w:val="0"/>
                <w:sz w:val="32"/>
                <w:szCs w:val="32"/>
                <w:highlight w:val="none"/>
                <w:u w:val="none"/>
                <w:vertAlign w:val="baseline"/>
                <w:lang w:eastAsia="zh-CN" w:bidi="ar"/>
              </w:rPr>
              <w:t>单位</w:t>
            </w:r>
          </w:p>
        </w:tc>
        <w:tc>
          <w:tcPr>
            <w:tcW w:w="959"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32"/>
                <w:szCs w:val="32"/>
                <w:u w:val="none"/>
                <w:vertAlign w:val="baseline"/>
                <w:lang w:eastAsia="zh-CN" w:bidi="ar"/>
              </w:rPr>
            </w:pPr>
            <w:r>
              <w:rPr>
                <w:rFonts w:hint="eastAsia" w:ascii="仿宋_GB2312" w:hAnsi="仿宋_GB2312" w:eastAsia="仿宋_GB2312" w:cs="仿宋_GB2312"/>
                <w:b w:val="0"/>
                <w:bCs w:val="0"/>
                <w:i w:val="0"/>
                <w:iCs w:val="0"/>
                <w:color w:val="000000"/>
                <w:kern w:val="0"/>
                <w:sz w:val="32"/>
                <w:szCs w:val="32"/>
                <w:u w:val="none"/>
                <w:lang w:val="en-US" w:eastAsia="zh-CN" w:bidi="ar"/>
              </w:rPr>
              <w:t>数量</w:t>
            </w:r>
          </w:p>
        </w:tc>
        <w:tc>
          <w:tcPr>
            <w:tcW w:w="3500"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iCs w:val="0"/>
                <w:color w:val="000000"/>
                <w:kern w:val="0"/>
                <w:sz w:val="32"/>
                <w:szCs w:val="32"/>
                <w:u w:val="none"/>
                <w:lang w:val="en-US" w:eastAsia="zh-CN" w:bidi="ar"/>
              </w:rPr>
            </w:pPr>
            <w:r>
              <w:rPr>
                <w:rFonts w:hint="eastAsia" w:ascii="仿宋_GB2312" w:hAnsi="仿宋_GB2312" w:eastAsia="仿宋_GB2312" w:cs="仿宋_GB2312"/>
                <w:color w:val="auto"/>
                <w:sz w:val="32"/>
                <w:szCs w:val="32"/>
                <w:highlight w:val="none"/>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1" w:hRule="atLeast"/>
        </w:trPr>
        <w:tc>
          <w:tcPr>
            <w:tcW w:w="999"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1</w:t>
            </w:r>
          </w:p>
        </w:tc>
        <w:tc>
          <w:tcPr>
            <w:tcW w:w="1824"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无线网络全覆盖建设与标识牌更新</w:t>
            </w:r>
          </w:p>
        </w:tc>
        <w:tc>
          <w:tcPr>
            <w:tcW w:w="1095"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项</w:t>
            </w:r>
          </w:p>
        </w:tc>
        <w:tc>
          <w:tcPr>
            <w:tcW w:w="959"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1</w:t>
            </w:r>
          </w:p>
        </w:tc>
        <w:tc>
          <w:tcPr>
            <w:tcW w:w="3500" w:type="dxa"/>
            <w:noWrap w:val="0"/>
            <w:vAlign w:val="center"/>
          </w:tcPr>
          <w:p>
            <w:pPr>
              <w:keepNext w:val="0"/>
              <w:keepLines w:val="0"/>
              <w:widowControl/>
              <w:suppressLineNumbers w:val="0"/>
              <w:spacing w:line="560" w:lineRule="exact"/>
              <w:jc w:val="both"/>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color w:val="000000"/>
                <w:kern w:val="0"/>
                <w:sz w:val="28"/>
                <w:szCs w:val="28"/>
                <w:u w:val="none"/>
                <w:lang w:bidi="ar"/>
              </w:rPr>
              <w:t>实施全馆无线网络覆盖工作，完成线路布设及辅材采购；更新馆内导览及安全标识系统，对全馆</w:t>
            </w:r>
            <w:r>
              <w:rPr>
                <w:rFonts w:hint="eastAsia" w:ascii="仿宋_GB2312" w:hAnsi="仿宋_GB2312" w:eastAsia="仿宋_GB2312" w:cs="仿宋_GB2312"/>
                <w:color w:val="000000"/>
                <w:kern w:val="0"/>
                <w:sz w:val="28"/>
                <w:szCs w:val="28"/>
                <w:u w:val="none"/>
                <w:lang w:val="en-US" w:eastAsia="zh-CN" w:bidi="ar"/>
              </w:rPr>
              <w:t>100个</w:t>
            </w:r>
            <w:r>
              <w:rPr>
                <w:rFonts w:hint="eastAsia" w:ascii="仿宋_GB2312" w:hAnsi="仿宋_GB2312" w:eastAsia="仿宋_GB2312" w:cs="仿宋_GB2312"/>
                <w:color w:val="000000"/>
                <w:kern w:val="0"/>
                <w:sz w:val="28"/>
                <w:szCs w:val="28"/>
                <w:u w:val="none"/>
                <w:lang w:bidi="ar"/>
              </w:rPr>
              <w:t>导览牌、说明牌及安全疏散标识进行统一更新。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2</w:t>
            </w:r>
          </w:p>
        </w:tc>
        <w:tc>
          <w:tcPr>
            <w:tcW w:w="1824"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color w:val="000000"/>
                <w:kern w:val="0"/>
                <w:sz w:val="28"/>
                <w:szCs w:val="28"/>
                <w:u w:val="none"/>
                <w:lang w:bidi="ar"/>
              </w:rPr>
              <w:t>设备维保及灯光升级</w:t>
            </w:r>
          </w:p>
        </w:tc>
        <w:tc>
          <w:tcPr>
            <w:tcW w:w="1095"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eastAsia="zh-CN"/>
              </w:rPr>
              <w:t>项</w:t>
            </w:r>
          </w:p>
        </w:tc>
        <w:tc>
          <w:tcPr>
            <w:tcW w:w="959" w:type="dxa"/>
            <w:noWrap w:val="0"/>
            <w:vAlign w:val="center"/>
          </w:tcPr>
          <w:p>
            <w:pPr>
              <w:keepNext w:val="0"/>
              <w:keepLines w:val="0"/>
              <w:widowControl/>
              <w:suppressLineNumbers w:val="0"/>
              <w:spacing w:line="560" w:lineRule="exact"/>
              <w:jc w:val="center"/>
              <w:textAlignment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3500" w:type="dxa"/>
            <w:noWrap w:val="0"/>
            <w:vAlign w:val="center"/>
          </w:tcPr>
          <w:p>
            <w:pPr>
              <w:keepNext w:val="0"/>
              <w:keepLines w:val="0"/>
              <w:widowControl/>
              <w:suppressLineNumbers w:val="0"/>
              <w:spacing w:line="560" w:lineRule="exact"/>
              <w:jc w:val="both"/>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rPr>
              <w:t>全面开展设备维护检修工作，包括设备维修保养和灯光升级两部分：维修保养涉及5台空调、11台LED显示屏及2台智能讲解机器人；同时升级展厅灯光展陈设备。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999"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3</w:t>
            </w:r>
          </w:p>
        </w:tc>
        <w:tc>
          <w:tcPr>
            <w:tcW w:w="1824"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智能安全防护升级</w:t>
            </w:r>
          </w:p>
        </w:tc>
        <w:tc>
          <w:tcPr>
            <w:tcW w:w="1095"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eastAsia="zh-CN"/>
              </w:rPr>
              <w:t>项</w:t>
            </w:r>
          </w:p>
        </w:tc>
        <w:tc>
          <w:tcPr>
            <w:tcW w:w="959" w:type="dxa"/>
            <w:noWrap w:val="0"/>
            <w:vAlign w:val="center"/>
          </w:tcPr>
          <w:p>
            <w:pPr>
              <w:keepNext w:val="0"/>
              <w:keepLines w:val="0"/>
              <w:widowControl/>
              <w:suppressLineNumbers w:val="0"/>
              <w:spacing w:line="560" w:lineRule="exact"/>
              <w:jc w:val="center"/>
              <w:textAlignment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1</w:t>
            </w:r>
          </w:p>
        </w:tc>
        <w:tc>
          <w:tcPr>
            <w:tcW w:w="3500" w:type="dxa"/>
            <w:noWrap w:val="0"/>
            <w:vAlign w:val="center"/>
          </w:tcPr>
          <w:p>
            <w:pPr>
              <w:keepNext w:val="0"/>
              <w:keepLines w:val="0"/>
              <w:widowControl/>
              <w:suppressLineNumbers w:val="0"/>
              <w:spacing w:line="560" w:lineRule="exact"/>
              <w:jc w:val="both"/>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智能安防：升级停车场道闸车辆识别系统，重装核心识别模块；</w:t>
            </w:r>
          </w:p>
          <w:p>
            <w:pPr>
              <w:keepNext w:val="0"/>
              <w:keepLines w:val="0"/>
              <w:widowControl/>
              <w:suppressLineNumbers w:val="0"/>
              <w:spacing w:line="560" w:lineRule="exact"/>
              <w:jc w:val="both"/>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防汛备汛：检修场内排水泵，并增配挡水板、沙袋及应急水泵等防汛物资；</w:t>
            </w:r>
          </w:p>
          <w:p>
            <w:pPr>
              <w:keepNext w:val="0"/>
              <w:keepLines w:val="0"/>
              <w:widowControl/>
              <w:suppressLineNumbers w:val="0"/>
              <w:spacing w:line="560" w:lineRule="exact"/>
              <w:jc w:val="both"/>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门窗修缮：对馆内展厅6个大门及主出入口门体进行加固与维修。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999"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4</w:t>
            </w:r>
          </w:p>
        </w:tc>
        <w:tc>
          <w:tcPr>
            <w:tcW w:w="1824"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文物库房</w:t>
            </w:r>
          </w:p>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建设</w:t>
            </w:r>
          </w:p>
        </w:tc>
        <w:tc>
          <w:tcPr>
            <w:tcW w:w="1095"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eastAsia="zh-CN"/>
              </w:rPr>
              <w:t>项</w:t>
            </w:r>
          </w:p>
        </w:tc>
        <w:tc>
          <w:tcPr>
            <w:tcW w:w="959"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1</w:t>
            </w:r>
          </w:p>
        </w:tc>
        <w:tc>
          <w:tcPr>
            <w:tcW w:w="3500" w:type="dxa"/>
            <w:noWrap w:val="0"/>
            <w:vAlign w:val="center"/>
          </w:tcPr>
          <w:p>
            <w:pPr>
              <w:keepNext w:val="0"/>
              <w:keepLines w:val="0"/>
              <w:widowControl/>
              <w:suppressLineNumbers w:val="0"/>
              <w:spacing w:line="560" w:lineRule="exact"/>
              <w:jc w:val="both"/>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文物库房功能区规划改造</w:t>
            </w:r>
          </w:p>
          <w:p>
            <w:pPr>
              <w:keepNext w:val="0"/>
              <w:keepLines w:val="0"/>
              <w:widowControl/>
              <w:suppressLineNumbers w:val="0"/>
              <w:spacing w:line="560" w:lineRule="exact"/>
              <w:jc w:val="both"/>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及专用拍摄平台建设。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999" w:type="dxa"/>
            <w:noWrap w:val="0"/>
            <w:vAlign w:val="center"/>
          </w:tcPr>
          <w:p>
            <w:pPr>
              <w:keepNext w:val="0"/>
              <w:keepLines w:val="0"/>
              <w:widowControl/>
              <w:suppressLineNumbers w:val="0"/>
              <w:spacing w:line="560" w:lineRule="exact"/>
              <w:jc w:val="center"/>
              <w:textAlignment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5</w:t>
            </w:r>
          </w:p>
        </w:tc>
        <w:tc>
          <w:tcPr>
            <w:tcW w:w="1824"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天主教堂专项保养维护</w:t>
            </w:r>
          </w:p>
        </w:tc>
        <w:tc>
          <w:tcPr>
            <w:tcW w:w="1095"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eastAsia="zh-CN"/>
              </w:rPr>
              <w:t>项</w:t>
            </w:r>
          </w:p>
        </w:tc>
        <w:tc>
          <w:tcPr>
            <w:tcW w:w="959" w:type="dxa"/>
            <w:noWrap w:val="0"/>
            <w:vAlign w:val="center"/>
          </w:tcPr>
          <w:p>
            <w:pPr>
              <w:keepNext w:val="0"/>
              <w:keepLines w:val="0"/>
              <w:widowControl/>
              <w:suppressLineNumbers w:val="0"/>
              <w:spacing w:line="560" w:lineRule="exact"/>
              <w:jc w:val="center"/>
              <w:textAlignment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val="0"/>
                <w:bCs w:val="0"/>
                <w:i w:val="0"/>
                <w:iCs w:val="0"/>
                <w:color w:val="000000"/>
                <w:kern w:val="0"/>
                <w:sz w:val="28"/>
                <w:szCs w:val="28"/>
                <w:u w:val="none"/>
                <w:lang w:val="en-US" w:eastAsia="zh-CN" w:bidi="ar"/>
              </w:rPr>
              <w:t>1</w:t>
            </w:r>
          </w:p>
        </w:tc>
        <w:tc>
          <w:tcPr>
            <w:tcW w:w="3500" w:type="dxa"/>
            <w:noWrap w:val="0"/>
            <w:vAlign w:val="center"/>
          </w:tcPr>
          <w:p>
            <w:pPr>
              <w:keepNext w:val="0"/>
              <w:keepLines w:val="0"/>
              <w:widowControl/>
              <w:suppressLineNumbers w:val="0"/>
              <w:spacing w:line="560" w:lineRule="exact"/>
              <w:jc w:val="both"/>
              <w:textAlignment w:val="center"/>
              <w:rPr>
                <w:rFonts w:hint="eastAsia" w:ascii="仿宋_GB2312" w:hAnsi="仿宋_GB2312" w:eastAsia="仿宋_GB2312" w:cs="仿宋_GB2312"/>
                <w:b w:val="0"/>
                <w:bCs w:val="0"/>
                <w:i w:val="0"/>
                <w:iCs w:val="0"/>
                <w:color w:val="000000"/>
                <w:kern w:val="0"/>
                <w:sz w:val="28"/>
                <w:szCs w:val="28"/>
                <w:u w:val="none"/>
                <w:lang w:val="en-US" w:eastAsia="zh-CN" w:bidi="ar"/>
              </w:rPr>
            </w:pPr>
            <w:r>
              <w:rPr>
                <w:rFonts w:hint="eastAsia" w:ascii="仿宋_GB2312" w:hAnsi="仿宋_GB2312" w:eastAsia="仿宋_GB2312" w:cs="仿宋_GB2312"/>
                <w:b w:val="0"/>
                <w:bCs w:val="0"/>
                <w:i w:val="0"/>
                <w:iCs w:val="0"/>
                <w:color w:val="000000"/>
                <w:kern w:val="0"/>
                <w:sz w:val="28"/>
                <w:szCs w:val="28"/>
                <w:u w:val="none"/>
                <w:lang w:val="en-US" w:eastAsia="zh-CN" w:bidi="ar"/>
              </w:rPr>
              <w:t>更新展厅展柜密封条、展柜稳固性维保、更换老化驱动电源、对天主教堂主体结构进行安全性检测，消除安全隐患；对内外墙面、屋面、门窗等设施进行维护。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8377" w:type="dxa"/>
            <w:gridSpan w:val="5"/>
            <w:noWrap w:val="0"/>
            <w:vAlign w:val="center"/>
          </w:tcPr>
          <w:p>
            <w:pPr>
              <w:keepNext w:val="0"/>
              <w:keepLines w:val="0"/>
              <w:widowControl/>
              <w:suppressLineNumbers w:val="0"/>
              <w:spacing w:line="560" w:lineRule="exact"/>
              <w:jc w:val="both"/>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color w:val="auto"/>
                <w:sz w:val="32"/>
                <w:szCs w:val="32"/>
                <w:highlight w:val="none"/>
                <w:vertAlign w:val="baseline"/>
                <w:lang w:eastAsia="zh-CN"/>
              </w:rPr>
              <w:t>投标价格（万元）：</w:t>
            </w:r>
            <w:r>
              <w:rPr>
                <w:rFonts w:hint="eastAsia" w:ascii="仿宋_GB2312" w:hAnsi="仿宋_GB2312" w:eastAsia="仿宋_GB2312" w:cs="仿宋_GB2312"/>
                <w:color w:val="auto"/>
                <w:sz w:val="32"/>
                <w:szCs w:val="32"/>
                <w:highlight w:val="none"/>
                <w:vertAlign w:val="baseline"/>
                <w:lang w:val="en-US" w:eastAsia="zh-CN"/>
              </w:rPr>
              <w:t>__（</w:t>
            </w:r>
            <w:r>
              <w:rPr>
                <w:rFonts w:hint="eastAsia" w:ascii="仿宋_GB2312" w:hAnsi="仿宋_GB2312" w:eastAsia="仿宋_GB2312" w:cs="仿宋_GB2312"/>
                <w:b/>
                <w:bCs/>
                <w:color w:val="FF0000"/>
                <w:sz w:val="32"/>
                <w:szCs w:val="32"/>
                <w:highlight w:val="none"/>
                <w:vertAlign w:val="baseline"/>
                <w:lang w:val="en-US" w:eastAsia="zh-CN"/>
              </w:rPr>
              <w:t>以万元为单位，最多保留两位小数</w:t>
            </w:r>
            <w:r>
              <w:rPr>
                <w:rFonts w:hint="eastAsia" w:ascii="仿宋_GB2312" w:hAnsi="仿宋_GB2312" w:eastAsia="仿宋_GB2312" w:cs="仿宋_GB2312"/>
                <w:color w:val="auto"/>
                <w:sz w:val="32"/>
                <w:szCs w:val="32"/>
                <w:highlight w:val="none"/>
                <w:vertAlign w:val="baseline"/>
                <w:lang w:val="en-US" w:eastAsia="zh-CN"/>
              </w:rPr>
              <w:t>）</w:t>
            </w:r>
          </w:p>
        </w:tc>
      </w:tr>
    </w:tbl>
    <w:p>
      <w:pPr>
        <w:spacing w:line="560" w:lineRule="exact"/>
        <w:ind w:firstLine="640" w:firstLineChars="200"/>
        <w:jc w:val="both"/>
        <w:rPr>
          <w:rFonts w:ascii="仿宋_GB2312" w:hAnsi="仿宋_GB2312" w:eastAsia="仿宋_GB2312" w:cs="仿宋_GB2312"/>
          <w:color w:val="auto"/>
          <w:sz w:val="32"/>
          <w:szCs w:val="32"/>
          <w:highlight w:val="none"/>
        </w:rPr>
      </w:pPr>
      <w:r>
        <w:rPr>
          <w:rFonts w:hint="eastAsia" w:ascii="黑体" w:hAnsi="黑体" w:eastAsia="黑体" w:cs="黑体"/>
          <w:bCs/>
          <w:color w:val="auto"/>
          <w:sz w:val="32"/>
          <w:szCs w:val="32"/>
          <w:highlight w:val="none"/>
        </w:rPr>
        <w:t>五、</w:t>
      </w:r>
      <w:r>
        <w:rPr>
          <w:rFonts w:hint="eastAsia" w:ascii="黑体" w:hAnsi="黑体" w:eastAsia="黑体" w:cs="黑体"/>
          <w:color w:val="auto"/>
          <w:sz w:val="32"/>
          <w:szCs w:val="32"/>
          <w:highlight w:val="none"/>
        </w:rPr>
        <w:t>供应商的资质要求</w:t>
      </w:r>
    </w:p>
    <w:p>
      <w:pPr>
        <w:widowControl/>
        <w:spacing w:line="240" w:lineRule="auto"/>
        <w:ind w:firstLine="640" w:firstLineChars="200"/>
        <w:jc w:val="both"/>
        <w:rPr>
          <w:rFonts w:hint="eastAsia" w:ascii="仿宋_GB2312" w:hAnsi="仿宋" w:eastAsia="仿宋_GB2312" w:cs="仿宋"/>
          <w:color w:val="FF0000"/>
          <w:sz w:val="32"/>
          <w:szCs w:val="32"/>
          <w:highlight w:val="yellow"/>
        </w:rPr>
      </w:pPr>
      <w:r>
        <w:rPr>
          <w:rFonts w:hint="eastAsia" w:ascii="仿宋_GB2312" w:hAnsi="仿宋" w:eastAsia="仿宋_GB2312" w:cs="仿宋"/>
          <w:color w:val="auto"/>
          <w:sz w:val="32"/>
          <w:szCs w:val="32"/>
          <w:highlight w:val="none"/>
        </w:rPr>
        <w:t>（一）在中国境内注册的独立法人或其他组织（提供营业执照、事业法人证书、社会团体法人登记证书等扫描件）</w:t>
      </w:r>
      <w:r>
        <w:rPr>
          <w:rFonts w:hint="eastAsia" w:ascii="仿宋_GB2312" w:hAnsi="仿宋" w:cs="仿宋"/>
          <w:color w:val="auto"/>
          <w:sz w:val="32"/>
          <w:szCs w:val="32"/>
          <w:highlight w:val="none"/>
          <w:lang w:eastAsia="zh-CN"/>
        </w:rPr>
        <w:t>，</w:t>
      </w:r>
      <w:r>
        <w:rPr>
          <w:rFonts w:hint="eastAsia" w:ascii="仿宋_GB2312" w:hAnsi="仿宋" w:eastAsia="仿宋_GB2312" w:cs="仿宋"/>
          <w:color w:val="auto"/>
          <w:sz w:val="32"/>
          <w:szCs w:val="32"/>
          <w:highlight w:val="none"/>
        </w:rPr>
        <w:t>总</w:t>
      </w:r>
      <w:r>
        <w:rPr>
          <w:rFonts w:hint="eastAsia" w:ascii="仿宋_GB2312" w:hAnsi="仿宋" w:eastAsia="仿宋_GB2312" w:cs="仿宋"/>
          <w:bCs/>
          <w:color w:val="auto"/>
          <w:sz w:val="32"/>
          <w:szCs w:val="32"/>
          <w:highlight w:val="none"/>
        </w:rPr>
        <w:t>公司</w:t>
      </w:r>
      <w:r>
        <w:rPr>
          <w:rFonts w:hint="eastAsia" w:ascii="仿宋_GB2312" w:hAnsi="仿宋" w:eastAsia="仿宋_GB2312" w:cs="仿宋"/>
          <w:bCs/>
          <w:color w:val="auto"/>
          <w:sz w:val="32"/>
          <w:szCs w:val="32"/>
          <w:highlight w:val="none"/>
          <w:lang w:eastAsia="zh-CN"/>
        </w:rPr>
        <w:t>与</w:t>
      </w:r>
      <w:r>
        <w:rPr>
          <w:rFonts w:hint="eastAsia" w:ascii="仿宋_GB2312" w:hAnsi="仿宋" w:eastAsia="仿宋_GB2312" w:cs="仿宋"/>
          <w:bCs/>
          <w:color w:val="auto"/>
          <w:sz w:val="32"/>
          <w:szCs w:val="32"/>
          <w:highlight w:val="none"/>
        </w:rPr>
        <w:t>分公司</w:t>
      </w:r>
      <w:r>
        <w:rPr>
          <w:rFonts w:hint="eastAsia" w:ascii="仿宋_GB2312" w:hAnsi="仿宋" w:eastAsia="仿宋_GB2312" w:cs="仿宋"/>
          <w:bCs/>
          <w:color w:val="auto"/>
          <w:sz w:val="32"/>
          <w:szCs w:val="32"/>
          <w:highlight w:val="none"/>
          <w:lang w:eastAsia="zh-CN"/>
        </w:rPr>
        <w:t>仅限</w:t>
      </w:r>
      <w:r>
        <w:rPr>
          <w:rFonts w:hint="eastAsia" w:ascii="仿宋_GB2312" w:hAnsi="仿宋" w:eastAsia="仿宋_GB2312" w:cs="仿宋"/>
          <w:bCs/>
          <w:color w:val="auto"/>
          <w:sz w:val="32"/>
          <w:szCs w:val="32"/>
          <w:highlight w:val="none"/>
        </w:rPr>
        <w:t>一家</w:t>
      </w:r>
      <w:r>
        <w:rPr>
          <w:rFonts w:hint="eastAsia" w:ascii="仿宋_GB2312" w:hAnsi="仿宋" w:eastAsia="仿宋_GB2312" w:cs="仿宋"/>
          <w:bCs/>
          <w:color w:val="auto"/>
          <w:sz w:val="32"/>
          <w:szCs w:val="32"/>
          <w:highlight w:val="none"/>
          <w:lang w:eastAsia="zh-CN"/>
        </w:rPr>
        <w:t>参与本项目</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sz w:val="32"/>
          <w:szCs w:val="32"/>
          <w:highlight w:val="none"/>
          <w:lang w:eastAsia="zh-CN"/>
        </w:rPr>
        <w:t>不得同时</w:t>
      </w:r>
      <w:r>
        <w:rPr>
          <w:rFonts w:hint="eastAsia" w:ascii="仿宋_GB2312" w:hAnsi="仿宋" w:eastAsia="仿宋_GB2312" w:cs="仿宋"/>
          <w:bCs/>
          <w:color w:val="auto"/>
          <w:sz w:val="32"/>
          <w:szCs w:val="32"/>
          <w:highlight w:val="none"/>
        </w:rPr>
        <w:t>投标，</w:t>
      </w:r>
      <w:r>
        <w:rPr>
          <w:rFonts w:hint="eastAsia" w:ascii="仿宋_GB2312" w:hAnsi="仿宋" w:eastAsia="仿宋_GB2312" w:cs="仿宋"/>
          <w:bCs/>
          <w:color w:val="auto"/>
          <w:kern w:val="2"/>
          <w:sz w:val="32"/>
          <w:szCs w:val="32"/>
          <w:highlight w:val="none"/>
          <w:lang w:val="en-US" w:eastAsia="zh-CN" w:bidi="ar-SA"/>
        </w:rPr>
        <w:t>若由分公司投标，须提供总公司（或具备独立法人资格的上级单位）出具、加盖总公司公章的授权函，明确由总公司为本次投标及后续履约行为承担民事责任，</w:t>
      </w:r>
      <w:r>
        <w:rPr>
          <w:rFonts w:hint="eastAsia" w:ascii="仿宋_GB2312" w:hAnsi="仿宋" w:eastAsia="仿宋_GB2312" w:cs="仿宋"/>
          <w:color w:val="auto"/>
          <w:sz w:val="32"/>
          <w:szCs w:val="32"/>
          <w:highlight w:val="none"/>
        </w:rPr>
        <w:t>以及提供总、分公司的营业执</w:t>
      </w:r>
      <w:r>
        <w:rPr>
          <w:rFonts w:hint="eastAsia" w:ascii="仿宋_GB2312" w:hAnsi="仿宋" w:eastAsia="仿宋_GB2312" w:cs="仿宋"/>
          <w:bCs/>
          <w:color w:val="auto"/>
          <w:sz w:val="32"/>
          <w:szCs w:val="32"/>
          <w:highlight w:val="none"/>
        </w:rPr>
        <w:t>照扫描件</w:t>
      </w:r>
      <w:r>
        <w:rPr>
          <w:rFonts w:hint="eastAsia" w:ascii="仿宋_GB2312" w:hAnsi="仿宋" w:eastAsia="仿宋_GB2312" w:cs="仿宋"/>
          <w:bCs/>
          <w:color w:val="auto"/>
          <w:kern w:val="2"/>
          <w:sz w:val="32"/>
          <w:szCs w:val="32"/>
          <w:highlight w:val="none"/>
          <w:lang w:val="en-US" w:eastAsia="zh-CN" w:bidi="ar-SA"/>
        </w:rPr>
        <w:t>；</w:t>
      </w:r>
    </w:p>
    <w:p>
      <w:pPr>
        <w:pStyle w:val="15"/>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（二）</w:t>
      </w:r>
      <w:r>
        <w:rPr>
          <w:rFonts w:hint="eastAsia" w:ascii="仿宋_GB2312" w:hAnsi="仿宋" w:cs="仿宋"/>
          <w:color w:val="auto"/>
          <w:sz w:val="32"/>
          <w:szCs w:val="32"/>
          <w:highlight w:val="none"/>
          <w:lang w:eastAsia="zh-CN"/>
        </w:rPr>
        <w:t>投标人</w:t>
      </w:r>
      <w:r>
        <w:rPr>
          <w:rFonts w:hint="eastAsia" w:ascii="仿宋_GB2312" w:hAnsi="仿宋" w:eastAsia="仿宋_GB2312" w:cs="仿宋"/>
          <w:color w:val="auto"/>
          <w:sz w:val="32"/>
          <w:szCs w:val="32"/>
          <w:highlight w:val="none"/>
        </w:rPr>
        <w:t>近三年内（成立不足三年的</w:t>
      </w:r>
      <w:r>
        <w:rPr>
          <w:rFonts w:hint="eastAsia" w:ascii="仿宋_GB2312" w:hAnsi="仿宋" w:cs="仿宋"/>
          <w:color w:val="auto"/>
          <w:sz w:val="32"/>
          <w:szCs w:val="32"/>
          <w:highlight w:val="none"/>
          <w:lang w:eastAsia="zh-CN"/>
        </w:rPr>
        <w:t>，自</w:t>
      </w:r>
      <w:r>
        <w:rPr>
          <w:rFonts w:hint="eastAsia" w:ascii="仿宋_GB2312" w:hAnsi="仿宋" w:eastAsia="仿宋_GB2312" w:cs="仿宋"/>
          <w:color w:val="auto"/>
          <w:sz w:val="32"/>
          <w:szCs w:val="32"/>
          <w:highlight w:val="none"/>
        </w:rPr>
        <w:t>成立之日起算），在经营活动中没有重大违法记录以及不存在被有关部门禁止参与政府采购活动且在有效期内的情况</w:t>
      </w:r>
      <w:r>
        <w:rPr>
          <w:rFonts w:hint="eastAsia" w:ascii="仿宋_GB2312" w:hAnsi="仿宋" w:cs="仿宋"/>
          <w:color w:val="auto"/>
          <w:sz w:val="32"/>
          <w:szCs w:val="32"/>
          <w:highlight w:val="none"/>
          <w:lang w:eastAsia="zh-CN"/>
        </w:rPr>
        <w:t>；</w:t>
      </w:r>
    </w:p>
    <w:p>
      <w:pPr>
        <w:pStyle w:val="15"/>
        <w:spacing w:line="560" w:lineRule="exact"/>
        <w:ind w:firstLine="640"/>
        <w:jc w:val="both"/>
        <w:rPr>
          <w:rFonts w:hint="eastAsia" w:ascii="仿宋_GB2312" w:hAnsi="仿宋" w:eastAsia="仿宋_GB2312" w:cs="仿宋"/>
          <w:color w:val="auto"/>
          <w:sz w:val="32"/>
          <w:szCs w:val="32"/>
          <w:highlight w:val="none"/>
          <w:lang w:eastAsia="zh-CN"/>
        </w:rPr>
      </w:pPr>
      <w:r>
        <w:rPr>
          <w:rFonts w:hint="eastAsia" w:ascii="仿宋_GB2312" w:hAnsi="仿宋" w:eastAsia="仿宋_GB2312" w:cs="仿宋"/>
          <w:color w:val="auto"/>
          <w:sz w:val="32"/>
          <w:szCs w:val="32"/>
          <w:highlight w:val="none"/>
        </w:rPr>
        <w:t>（三）</w:t>
      </w:r>
      <w:r>
        <w:rPr>
          <w:rFonts w:hint="eastAsia" w:ascii="仿宋_GB2312" w:hAnsi="仿宋" w:eastAsia="仿宋_GB2312" w:cs="仿宋"/>
          <w:bCs/>
          <w:color w:val="auto"/>
          <w:kern w:val="2"/>
          <w:sz w:val="32"/>
          <w:szCs w:val="32"/>
          <w:highlight w:val="none"/>
          <w:lang w:val="en-US" w:eastAsia="zh-CN" w:bidi="ar-SA"/>
        </w:rPr>
        <w:t>不同供应商的法定代表人、主要经营负责人、项目投标授权代表人、项目负责人、主要技术人员不得为同一人、</w:t>
      </w:r>
      <w:r>
        <w:rPr>
          <w:rFonts w:hint="eastAsia" w:ascii="仿宋_GB2312" w:hAnsi="仿宋" w:cs="仿宋"/>
          <w:bCs/>
          <w:color w:val="auto"/>
          <w:kern w:val="2"/>
          <w:sz w:val="32"/>
          <w:szCs w:val="32"/>
          <w:highlight w:val="none"/>
          <w:lang w:val="en-US" w:eastAsia="zh-CN" w:bidi="ar-SA"/>
        </w:rPr>
        <w:t>也不得隶属</w:t>
      </w:r>
      <w:r>
        <w:rPr>
          <w:rFonts w:hint="eastAsia" w:ascii="仿宋_GB2312" w:hAnsi="仿宋" w:eastAsia="仿宋_GB2312" w:cs="仿宋"/>
          <w:bCs/>
          <w:color w:val="auto"/>
          <w:kern w:val="2"/>
          <w:sz w:val="32"/>
          <w:szCs w:val="32"/>
          <w:highlight w:val="none"/>
          <w:lang w:val="en-US" w:eastAsia="zh-CN" w:bidi="ar-SA"/>
        </w:rPr>
        <w:t>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color w:val="auto"/>
          <w:sz w:val="32"/>
          <w:szCs w:val="32"/>
          <w:highlight w:val="none"/>
        </w:rPr>
        <w:t>，不得同时参加本项目的采购活动</w:t>
      </w:r>
      <w:r>
        <w:rPr>
          <w:rFonts w:hint="eastAsia" w:ascii="仿宋_GB2312" w:hAnsi="仿宋" w:cs="仿宋"/>
          <w:color w:val="auto"/>
          <w:sz w:val="32"/>
          <w:szCs w:val="32"/>
          <w:highlight w:val="none"/>
          <w:lang w:eastAsia="zh-CN"/>
        </w:rPr>
        <w:t>。</w:t>
      </w:r>
    </w:p>
    <w:p>
      <w:pPr>
        <w:spacing w:line="560" w:lineRule="exact"/>
        <w:ind w:firstLine="640" w:firstLineChars="200"/>
        <w:jc w:val="both"/>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六、选定供应商方法</w:t>
      </w:r>
    </w:p>
    <w:p>
      <w:pPr>
        <w:spacing w:line="560" w:lineRule="exact"/>
        <w:ind w:firstLine="640" w:firstLineChars="200"/>
        <w:jc w:val="both"/>
        <w:rPr>
          <w:rFonts w:hint="eastAsia" w:ascii="仿宋_GB2312" w:hAnsi="仿宋" w:eastAsia="仿宋_GB2312"/>
          <w:color w:val="auto"/>
          <w:sz w:val="32"/>
          <w:highlight w:val="none"/>
          <w:lang w:val="en-US" w:eastAsia="zh-CN"/>
        </w:rPr>
      </w:pPr>
      <w:r>
        <w:rPr>
          <w:rFonts w:hint="eastAsia" w:ascii="仿宋_GB2312" w:hAnsi="仿宋" w:eastAsia="仿宋_GB2312"/>
          <w:color w:val="auto"/>
          <w:sz w:val="32"/>
          <w:highlight w:val="none"/>
        </w:rPr>
        <w:t>综合评分法</w:t>
      </w:r>
    </w:p>
    <w:p>
      <w:pPr>
        <w:keepNext w:val="0"/>
        <w:keepLines w:val="0"/>
        <w:pageBreakBefore w:val="0"/>
        <w:widowControl w:val="0"/>
        <w:snapToGrid/>
        <w:spacing w:line="560" w:lineRule="exact"/>
        <w:ind w:firstLine="640" w:firstLineChars="200"/>
        <w:jc w:val="both"/>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七、评分要求</w:t>
      </w:r>
      <w:r>
        <w:rPr>
          <w:rFonts w:hint="eastAsia" w:ascii="黑体" w:hAnsi="黑体" w:eastAsia="黑体" w:cs="黑体"/>
          <w:color w:val="auto"/>
          <w:sz w:val="32"/>
          <w:szCs w:val="32"/>
          <w:highlight w:val="none"/>
          <w:lang w:eastAsia="zh-CN"/>
        </w:rPr>
        <w:t>（采取综合评分法适用）</w:t>
      </w:r>
    </w:p>
    <w:p>
      <w:pPr>
        <w:pStyle w:val="17"/>
        <w:spacing w:line="560" w:lineRule="exact"/>
        <w:ind w:firstLine="640" w:firstLineChars="200"/>
        <w:jc w:val="both"/>
        <w:rPr>
          <w:rFonts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（一）评分规则</w:t>
      </w:r>
    </w:p>
    <w:p>
      <w:pPr>
        <w:spacing w:line="560" w:lineRule="exact"/>
        <w:ind w:firstLine="640" w:firstLineChars="200"/>
        <w:jc w:val="both"/>
        <w:rPr>
          <w:rFonts w:ascii="楷体_GB2312" w:hAnsi="楷体_GB2312" w:eastAsia="楷体_GB2312" w:cs="楷体_GB2312"/>
          <w:bCs/>
          <w:color w:val="auto"/>
          <w:sz w:val="32"/>
          <w:szCs w:val="32"/>
          <w:highlight w:val="none"/>
        </w:rPr>
      </w:pPr>
      <w:r>
        <w:rPr>
          <w:rFonts w:hint="eastAsia" w:ascii="仿宋_GB2312" w:eastAsia="仿宋_GB2312"/>
          <w:color w:val="auto"/>
          <w:sz w:val="32"/>
          <w:szCs w:val="32"/>
          <w:highlight w:val="none"/>
        </w:rPr>
        <w:t>采取综合评分标准，平均分最高的投标人为本项目中标人。</w:t>
      </w:r>
    </w:p>
    <w:p>
      <w:pPr>
        <w:pStyle w:val="17"/>
        <w:spacing w:line="560" w:lineRule="exact"/>
        <w:ind w:firstLine="640" w:firstLineChars="200"/>
        <w:jc w:val="both"/>
        <w:rPr>
          <w:rFonts w:hint="eastAsia" w:ascii="楷体_GB2312" w:hAnsi="楷体_GB2312" w:eastAsia="楷体_GB2312" w:cs="楷体_GB2312"/>
          <w:b w:val="0"/>
          <w:bCs/>
          <w:color w:val="auto"/>
          <w:sz w:val="32"/>
          <w:szCs w:val="32"/>
          <w:highlight w:val="none"/>
          <w:lang w:eastAsia="zh-CN"/>
        </w:rPr>
      </w:pPr>
      <w:r>
        <w:rPr>
          <w:rFonts w:hint="eastAsia" w:ascii="楷体_GB2312" w:hAnsi="楷体_GB2312" w:eastAsia="楷体_GB2312" w:cs="楷体_GB2312"/>
          <w:b w:val="0"/>
          <w:bCs/>
          <w:color w:val="auto"/>
          <w:sz w:val="32"/>
          <w:szCs w:val="32"/>
          <w:highlight w:val="none"/>
        </w:rPr>
        <w:t>（二）评分权重</w:t>
      </w:r>
    </w:p>
    <w:tbl>
      <w:tblPr>
        <w:tblStyle w:val="12"/>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hint="eastAsia" w:ascii="仿宋_GB2312" w:hAnsi="仿宋_GB2312" w:eastAsia="仿宋_GB2312" w:cs="仿宋_GB2312"/>
                <w:b w:val="0"/>
                <w:bCs/>
                <w:color w:val="auto"/>
                <w:szCs w:val="24"/>
                <w:highlight w:val="none"/>
                <w:lang w:eastAsia="zh-CN"/>
              </w:rPr>
            </w:pPr>
            <w:r>
              <w:rPr>
                <w:rFonts w:hint="eastAsia" w:ascii="仿宋_GB2312" w:hAnsi="仿宋_GB2312" w:eastAsia="仿宋_GB2312" w:cs="仿宋_GB2312"/>
                <w:b w:val="0"/>
                <w:bCs/>
                <w:color w:val="auto"/>
                <w:szCs w:val="24"/>
                <w:highlight w:val="none"/>
              </w:rPr>
              <w:t>商务</w:t>
            </w:r>
            <w:r>
              <w:rPr>
                <w:rFonts w:hint="eastAsia" w:ascii="仿宋_GB2312" w:hAnsi="仿宋_GB2312" w:eastAsia="仿宋_GB2312" w:cs="仿宋_GB2312"/>
                <w:b w:val="0"/>
                <w:bCs/>
                <w:color w:val="auto"/>
                <w:szCs w:val="24"/>
                <w:highlight w:val="none"/>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技术</w:t>
            </w:r>
            <w:r>
              <w:rPr>
                <w:rFonts w:hint="eastAsia" w:ascii="仿宋_GB2312" w:hAnsi="仿宋_GB2312" w:eastAsia="仿宋_GB2312" w:cs="仿宋_GB2312"/>
                <w:b w:val="0"/>
                <w:bCs/>
                <w:color w:val="auto"/>
                <w:szCs w:val="24"/>
                <w:highlight w:val="none"/>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b w:val="0"/>
                <w:bCs/>
                <w:color w:val="auto"/>
                <w:szCs w:val="24"/>
                <w:highlight w:val="none"/>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b w:val="0"/>
                <w:bCs/>
                <w:color w:val="auto"/>
                <w:szCs w:val="24"/>
                <w:highlight w:val="none"/>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7"/>
              <w:spacing w:line="560" w:lineRule="exact"/>
              <w:jc w:val="center"/>
              <w:rPr>
                <w:rFonts w:ascii="仿宋_GB2312" w:hAnsi="仿宋_GB2312" w:eastAsia="仿宋_GB2312" w:cs="仿宋_GB2312"/>
                <w:b w:val="0"/>
                <w:bCs/>
                <w:color w:val="auto"/>
                <w:szCs w:val="24"/>
                <w:highlight w:val="none"/>
              </w:rPr>
            </w:pPr>
            <w:r>
              <w:rPr>
                <w:rFonts w:hint="eastAsia" w:ascii="仿宋_GB2312" w:hAnsi="仿宋_GB2312" w:eastAsia="仿宋_GB2312" w:cs="仿宋_GB2312"/>
                <w:color w:val="auto"/>
                <w:sz w:val="24"/>
                <w:szCs w:val="24"/>
                <w:highlight w:val="none"/>
                <w:lang w:val="en-US" w:eastAsia="zh-CN"/>
              </w:rPr>
              <w:t>50</w:t>
            </w:r>
            <w:r>
              <w:rPr>
                <w:rFonts w:hint="eastAsia" w:ascii="仿宋_GB2312" w:hAnsi="仿宋_GB2312" w:eastAsia="仿宋_GB2312" w:cs="仿宋_GB2312"/>
                <w:b w:val="0"/>
                <w:bCs/>
                <w:color w:val="auto"/>
                <w:szCs w:val="24"/>
                <w:highlight w:val="none"/>
              </w:rPr>
              <w:t>分</w:t>
            </w:r>
          </w:p>
        </w:tc>
      </w:tr>
    </w:tbl>
    <w:p>
      <w:pPr>
        <w:pStyle w:val="17"/>
        <w:spacing w:line="560" w:lineRule="exact"/>
        <w:ind w:firstLine="640" w:firstLineChars="200"/>
        <w:jc w:val="both"/>
        <w:rPr>
          <w:rFonts w:ascii="仿宋_GB2312" w:eastAsia="仿宋_GB2312"/>
          <w:color w:val="auto"/>
          <w:sz w:val="32"/>
          <w:szCs w:val="32"/>
          <w:highlight w:val="none"/>
        </w:rPr>
      </w:pPr>
      <w:r>
        <w:rPr>
          <w:rFonts w:hint="eastAsia" w:ascii="楷体_GB2312" w:hAnsi="楷体_GB2312" w:eastAsia="楷体_GB2312" w:cs="楷体_GB2312"/>
          <w:b w:val="0"/>
          <w:bCs/>
          <w:color w:val="auto"/>
          <w:sz w:val="32"/>
          <w:szCs w:val="32"/>
          <w:highlight w:val="none"/>
        </w:rPr>
        <w:t>（三）评分标准</w:t>
      </w:r>
    </w:p>
    <w:tbl>
      <w:tblPr>
        <w:tblStyle w:val="1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报价</w:t>
            </w:r>
          </w:p>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vertAlign w:val="baseline"/>
                <w:lang w:val="en-US" w:eastAsia="zh-CN"/>
              </w:rPr>
              <w:t>30分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spacing w:line="560" w:lineRule="exact"/>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7" w:hRule="atLeast"/>
        </w:trPr>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topLinePunct/>
              <w:snapToGrid w:val="0"/>
              <w:spacing w:line="56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价格</w:t>
            </w:r>
          </w:p>
        </w:tc>
        <w:tc>
          <w:tcPr>
            <w:tcW w:w="6143" w:type="dxa"/>
            <w:noWrap w:val="0"/>
            <w:vAlign w:val="center"/>
          </w:tcPr>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以本次报价或投标人所报的有效报价中的最低价作为基准报价。投标人报价得分=（基准价/投标人报价）*</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商务</w:t>
            </w:r>
          </w:p>
          <w:p>
            <w:pPr>
              <w:pStyle w:val="2"/>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部分</w:t>
            </w:r>
          </w:p>
          <w:p>
            <w:pPr>
              <w:pStyle w:val="2"/>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vertAlign w:val="baseline"/>
                <w:lang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vertAlign w:val="baseline"/>
                <w:lang w:val="en-US" w:eastAsia="zh-CN"/>
              </w:rPr>
              <w:t>分</w:t>
            </w:r>
            <w:r>
              <w:rPr>
                <w:rFonts w:hint="eastAsia" w:ascii="仿宋_GB2312" w:hAnsi="仿宋_GB2312" w:eastAsia="仿宋_GB2312" w:cs="仿宋_GB2312"/>
                <w:color w:val="auto"/>
                <w:sz w:val="24"/>
                <w:szCs w:val="24"/>
                <w:highlight w:val="none"/>
                <w:vertAlign w:val="baseline"/>
                <w:lang w:eastAsia="zh-CN"/>
              </w:rPr>
              <w:t>）</w:t>
            </w:r>
          </w:p>
        </w:tc>
        <w:tc>
          <w:tcPr>
            <w:tcW w:w="1170" w:type="dxa"/>
            <w:noWrap w:val="0"/>
            <w:vAlign w:val="top"/>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评分</w:t>
            </w:r>
          </w:p>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vertAlign w:val="baseline"/>
                <w:lang w:eastAsia="zh-CN"/>
              </w:rPr>
              <w:t>因素</w:t>
            </w:r>
          </w:p>
        </w:tc>
        <w:tc>
          <w:tcPr>
            <w:tcW w:w="6143"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eastAsia="zh-CN"/>
              </w:rPr>
              <w:t>同类项目经验（</w:t>
            </w:r>
            <w:r>
              <w:rPr>
                <w:rFonts w:hint="eastAsia" w:ascii="仿宋_GB2312" w:hAnsi="仿宋_GB2312" w:eastAsia="仿宋_GB2312" w:cs="仿宋_GB2312"/>
                <w:color w:val="auto"/>
                <w:sz w:val="24"/>
                <w:szCs w:val="24"/>
                <w:highlight w:val="none"/>
                <w:lang w:val="en-US" w:eastAsia="zh-CN"/>
              </w:rPr>
              <w:t>10分</w:t>
            </w:r>
            <w:r>
              <w:rPr>
                <w:rFonts w:hint="eastAsia" w:ascii="仿宋_GB2312" w:hAnsi="仿宋_GB2312" w:eastAsia="仿宋_GB2312" w:cs="仿宋_GB2312"/>
                <w:color w:val="auto"/>
                <w:sz w:val="24"/>
                <w:szCs w:val="24"/>
                <w:highlight w:val="none"/>
                <w:lang w:eastAsia="zh-CN"/>
              </w:rPr>
              <w:t>）</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p>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投标人自202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年1月1日至本项目投标截止日（以合同签订日期为准），</w:t>
            </w:r>
            <w:r>
              <w:rPr>
                <w:rFonts w:hint="eastAsia" w:ascii="仿宋_GB2312" w:hAnsi="仿宋_GB2312" w:eastAsia="仿宋_GB2312" w:cs="仿宋_GB2312"/>
                <w:color w:val="auto"/>
                <w:sz w:val="24"/>
                <w:szCs w:val="24"/>
                <w:highlight w:val="none"/>
                <w:lang w:val="en-US" w:eastAsia="zh-CN"/>
              </w:rPr>
              <w:t>每提供一项建筑类相关维保业绩</w:t>
            </w:r>
            <w:r>
              <w:rPr>
                <w:rFonts w:hint="eastAsia" w:ascii="仿宋_GB2312" w:hAnsi="仿宋_GB2312" w:eastAsia="仿宋_GB2312" w:cs="仿宋_GB2312"/>
                <w:color w:val="auto"/>
                <w:sz w:val="24"/>
                <w:szCs w:val="24"/>
                <w:highlight w:val="none"/>
                <w:lang w:eastAsia="zh-CN"/>
              </w:rPr>
              <w:t>得</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分，最高得</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lang w:eastAsia="zh-CN"/>
              </w:rPr>
              <w:t>分</w:t>
            </w:r>
            <w:r>
              <w:rPr>
                <w:rFonts w:hint="eastAsia" w:ascii="仿宋_GB2312" w:hAnsi="仿宋_GB2312" w:eastAsia="仿宋_GB2312" w:cs="仿宋_GB2312"/>
                <w:color w:val="auto"/>
                <w:sz w:val="24"/>
                <w:szCs w:val="24"/>
                <w:highlight w:val="none"/>
                <w:lang w:val="en-US" w:eastAsia="zh-CN"/>
              </w:rPr>
              <w:t>。</w:t>
            </w:r>
          </w:p>
          <w:p>
            <w:pPr>
              <w:topLinePunct/>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每项业绩按以下要求提供完整准确的证明文件，一个合同计算一个业绩，一年一签的续签合同只计算一个业绩：</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合同关键页（关键信息包括但不仅限于合同的项目名称、服务内容、合同服务的起止时间、合同双方的盖章、签订日期等）；</w:t>
            </w:r>
          </w:p>
          <w:p>
            <w:pPr>
              <w:topLinePunct/>
              <w:snapToGrid w:val="0"/>
              <w:spacing w:line="560" w:lineRule="exact"/>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未提供证明材料或者提供的证明材料不符合要求或提供的证明材料不清晰导致（临时）采购小组无法辨认的，不得分。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拟安排项目负责人</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（5分）</w:t>
            </w:r>
          </w:p>
        </w:tc>
        <w:tc>
          <w:tcPr>
            <w:tcW w:w="6143" w:type="dxa"/>
            <w:noWrap w:val="0"/>
            <w:vAlign w:val="center"/>
          </w:tcPr>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（一）评审内容</w:t>
            </w:r>
            <w:r>
              <w:rPr>
                <w:rFonts w:hint="eastAsia" w:ascii="仿宋_GB2312" w:hAnsi="仿宋_GB2312" w:eastAsia="仿宋_GB2312" w:cs="仿宋_GB2312"/>
                <w:color w:val="auto"/>
                <w:sz w:val="24"/>
                <w:szCs w:val="24"/>
                <w:highlight w:val="none"/>
                <w:lang w:eastAsia="zh-CN"/>
              </w:rPr>
              <w:t>拟安排的项目负责人情况：</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具有</w:t>
            </w:r>
            <w:r>
              <w:rPr>
                <w:rFonts w:hint="eastAsia" w:ascii="仿宋_GB2312" w:hAnsi="仿宋_GB2312" w:eastAsia="仿宋_GB2312" w:cs="仿宋_GB2312"/>
                <w:color w:val="auto"/>
                <w:sz w:val="24"/>
                <w:szCs w:val="24"/>
                <w:highlight w:val="none"/>
                <w:lang w:val="en-US" w:eastAsia="zh-CN"/>
              </w:rPr>
              <w:t>专业</w:t>
            </w:r>
            <w:r>
              <w:rPr>
                <w:rFonts w:hint="eastAsia" w:ascii="仿宋_GB2312" w:hAnsi="仿宋_GB2312" w:eastAsia="仿宋_GB2312" w:cs="仿宋_GB2312"/>
                <w:color w:val="auto"/>
                <w:sz w:val="24"/>
                <w:szCs w:val="24"/>
                <w:highlight w:val="none"/>
                <w:lang w:eastAsia="zh-CN"/>
              </w:rPr>
              <w:t>本科（或以上）学历的，得</w:t>
            </w:r>
            <w:r>
              <w:rPr>
                <w:rFonts w:hint="default"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分。</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eastAsia="zh-CN"/>
              </w:rPr>
              <w:t>具备建筑类维保</w:t>
            </w:r>
            <w:r>
              <w:rPr>
                <w:rFonts w:hint="eastAsia" w:ascii="仿宋_GB2312" w:hAnsi="仿宋_GB2312" w:eastAsia="仿宋_GB2312" w:cs="仿宋_GB2312"/>
                <w:color w:val="auto"/>
                <w:sz w:val="24"/>
                <w:szCs w:val="24"/>
                <w:highlight w:val="none"/>
                <w:lang w:val="en-US" w:eastAsia="zh-CN"/>
              </w:rPr>
              <w:t>相</w:t>
            </w:r>
            <w:r>
              <w:rPr>
                <w:rFonts w:hint="eastAsia" w:ascii="仿宋_GB2312" w:hAnsi="仿宋_GB2312" w:eastAsia="仿宋_GB2312" w:cs="仿宋_GB2312"/>
                <w:color w:val="auto"/>
                <w:sz w:val="24"/>
                <w:szCs w:val="24"/>
                <w:highlight w:val="none"/>
                <w:lang w:eastAsia="zh-CN"/>
              </w:rPr>
              <w:t>关工作经验的，得</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分。</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以上合计最高得</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分。</w:t>
            </w:r>
          </w:p>
          <w:p>
            <w:pPr>
              <w:pStyle w:val="11"/>
              <w:widowControl/>
              <w:topLinePunct w:val="0"/>
              <w:snapToGrid w:val="0"/>
              <w:spacing w:line="56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二</w:t>
            </w:r>
            <w:r>
              <w:rPr>
                <w:rFonts w:hint="eastAsia" w:ascii="仿宋_GB2312" w:hAnsi="仿宋_GB2312" w:eastAsia="仿宋_GB2312" w:cs="仿宋_GB2312"/>
                <w:b/>
                <w:bCs/>
                <w:color w:val="auto"/>
                <w:sz w:val="24"/>
                <w:szCs w:val="24"/>
                <w:highlight w:val="none"/>
                <w:lang w:eastAsia="zh-CN"/>
              </w:rPr>
              <w:t>）评审依据：</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提供毕业证书扫描件、学历信息在学信网查询结果截图，原件备查。</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工作经验</w:t>
            </w:r>
            <w:r>
              <w:rPr>
                <w:rFonts w:hint="eastAsia" w:ascii="仿宋_GB2312" w:hAnsi="仿宋_GB2312" w:eastAsia="仿宋_GB2312" w:cs="仿宋_GB2312"/>
                <w:color w:val="auto"/>
                <w:sz w:val="24"/>
                <w:szCs w:val="24"/>
                <w:highlight w:val="none"/>
              </w:rPr>
              <w:t>需提供合同关键页或其他可以证明的材料</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合同关键（关键信息包括但不仅限于合同的项目名称、</w:t>
            </w:r>
            <w:r>
              <w:rPr>
                <w:rFonts w:hint="eastAsia" w:ascii="仿宋_GB2312" w:hAnsi="仿宋_GB2312" w:eastAsia="仿宋_GB2312" w:cs="仿宋_GB2312"/>
                <w:color w:val="auto"/>
                <w:sz w:val="24"/>
                <w:szCs w:val="24"/>
                <w:highlight w:val="none"/>
                <w:lang w:val="en-US" w:eastAsia="zh-CN"/>
              </w:rPr>
              <w:t>项目负责人/团队成员名字、</w:t>
            </w:r>
            <w:r>
              <w:rPr>
                <w:rFonts w:hint="eastAsia" w:ascii="仿宋_GB2312" w:hAnsi="仿宋_GB2312" w:eastAsia="仿宋_GB2312" w:cs="仿宋_GB2312"/>
                <w:color w:val="auto"/>
                <w:sz w:val="24"/>
                <w:szCs w:val="24"/>
                <w:highlight w:val="none"/>
              </w:rPr>
              <w:t>服务内容、</w:t>
            </w:r>
            <w:r>
              <w:rPr>
                <w:rFonts w:hint="eastAsia" w:ascii="仿宋_GB2312" w:hAnsi="仿宋_GB2312" w:eastAsia="仿宋_GB2312" w:cs="仿宋_GB2312"/>
                <w:color w:val="auto"/>
                <w:sz w:val="24"/>
                <w:szCs w:val="24"/>
                <w:highlight w:val="none"/>
                <w:lang w:val="en-US" w:eastAsia="zh-CN"/>
              </w:rPr>
              <w:t>合同双方盖章页</w:t>
            </w:r>
            <w:r>
              <w:rPr>
                <w:rFonts w:hint="eastAsia" w:ascii="仿宋_GB2312" w:hAnsi="仿宋_GB2312" w:eastAsia="仿宋_GB2312" w:cs="仿宋_GB2312"/>
                <w:color w:val="auto"/>
                <w:sz w:val="24"/>
                <w:szCs w:val="24"/>
                <w:highlight w:val="none"/>
              </w:rPr>
              <w:t>），以及满足评分要求的服务内容。</w:t>
            </w:r>
          </w:p>
          <w:p>
            <w:pPr>
              <w:pStyle w:val="11"/>
              <w:widowControl/>
              <w:topLinePunct w:val="0"/>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4.以上人员近三个月社保缴纳记录。</w:t>
            </w:r>
          </w:p>
          <w:p>
            <w:pPr>
              <w:pStyle w:val="11"/>
              <w:widowControl/>
              <w:topLinePunct w:val="0"/>
              <w:snapToGrid/>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以上证明文件原件备查，</w:t>
            </w:r>
            <w:r>
              <w:rPr>
                <w:rFonts w:hint="eastAsia" w:ascii="仿宋_GB2312" w:hAnsi="仿宋_GB2312" w:eastAsia="仿宋_GB2312" w:cs="仿宋_GB2312"/>
                <w:color w:val="auto"/>
                <w:sz w:val="24"/>
                <w:szCs w:val="24"/>
                <w:highlight w:val="none"/>
                <w:lang w:eastAsia="zh-CN"/>
              </w:rPr>
              <w:t>未提供或未按要求提供或提供的不清晰导致（临时）采购小组无法判断的，不得分。</w:t>
            </w:r>
          </w:p>
          <w:p>
            <w:pPr>
              <w:pStyle w:val="11"/>
              <w:widowControl/>
              <w:topLinePunct w:val="0"/>
              <w:snapToGrid/>
              <w:spacing w:line="360" w:lineRule="exact"/>
              <w:jc w:val="both"/>
              <w:rPr>
                <w:rFonts w:hint="eastAsia"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9" w:hRule="atLeast"/>
        </w:trPr>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项目完成（服务期满）</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lang w:val="en-US" w:eastAsia="zh-CN"/>
              </w:rPr>
              <w:t>后的服务承诺（5分）</w:t>
            </w:r>
          </w:p>
        </w:tc>
        <w:tc>
          <w:tcPr>
            <w:tcW w:w="6143" w:type="dxa"/>
            <w:noWrap w:val="0"/>
            <w:vAlign w:val="center"/>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topLinePunct/>
              <w:adjustRightInd/>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numPr>
                <w:ilvl w:val="-1"/>
                <w:numId w:val="0"/>
              </w:numPr>
              <w:topLinePunct/>
              <w:adjustRightInd/>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numPr>
                <w:ilvl w:val="0"/>
                <w:numId w:val="0"/>
              </w:num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topLinePunct/>
              <w:snapToGrid w:val="0"/>
              <w:spacing w:line="5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提供</w:t>
            </w: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color w:val="auto"/>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center"/>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50</w:t>
            </w:r>
            <w:r>
              <w:rPr>
                <w:rFonts w:hint="eastAsia" w:ascii="仿宋_GB2312" w:hAnsi="仿宋_GB2312" w:eastAsia="仿宋_GB2312" w:cs="仿宋_GB2312"/>
                <w:color w:val="auto"/>
                <w:sz w:val="24"/>
                <w:szCs w:val="24"/>
                <w:highlight w:val="none"/>
                <w:vertAlign w:val="baseline"/>
                <w:lang w:val="en-US" w:eastAsia="zh-CN"/>
              </w:rPr>
              <w:t>分）</w:t>
            </w: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实</w:t>
            </w:r>
            <w:r>
              <w:rPr>
                <w:rFonts w:hint="eastAsia" w:ascii="仿宋_GB2312" w:hAnsi="仿宋_GB2312" w:eastAsia="仿宋_GB2312" w:cs="仿宋_GB2312"/>
                <w:color w:val="auto"/>
                <w:sz w:val="24"/>
                <w:szCs w:val="24"/>
                <w:highlight w:val="none"/>
                <w:lang w:val="en-US" w:eastAsia="zh-CN"/>
              </w:rPr>
              <w:t>施</w:t>
            </w:r>
          </w:p>
          <w:p>
            <w:pPr>
              <w:spacing w:line="560" w:lineRule="exact"/>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方案</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lang w:val="en-US" w:eastAsia="zh-CN"/>
              </w:rPr>
              <w:t>（30分）</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napToGrid/>
              <w:spacing w:line="560" w:lineRule="exact"/>
              <w:ind w:firstLine="0" w:firstLineChars="0"/>
              <w:jc w:val="both"/>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u w:val="none"/>
                <w:lang w:val="en-US" w:eastAsia="zh-CN"/>
              </w:rPr>
              <w:t>1.</w:t>
            </w:r>
            <w:r>
              <w:rPr>
                <w:rFonts w:hint="eastAsia" w:ascii="仿宋_GB2312" w:hAnsi="仿宋_GB2312" w:eastAsia="仿宋_GB2312" w:cs="仿宋_GB2312"/>
                <w:color w:val="auto"/>
                <w:sz w:val="24"/>
                <w:szCs w:val="24"/>
                <w:highlight w:val="none"/>
                <w:lang w:val="en-US" w:eastAsia="zh-CN"/>
              </w:rPr>
              <w:t>场馆无线设置实施方案；</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2.</w:t>
            </w:r>
            <w:r>
              <w:rPr>
                <w:rFonts w:hint="eastAsia" w:ascii="仿宋_GB2312" w:hAnsi="仿宋_GB2312" w:eastAsia="仿宋_GB2312" w:cs="仿宋_GB2312"/>
                <w:color w:val="auto"/>
                <w:sz w:val="24"/>
                <w:highlight w:val="none"/>
                <w:u w:val="none"/>
              </w:rPr>
              <w:t>服务组织架构与人员配置</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u w:val="none"/>
                <w:lang w:val="en-US" w:eastAsia="zh-CN"/>
              </w:rPr>
              <w:br w:type="textWrapping"/>
            </w:r>
            <w:r>
              <w:rPr>
                <w:rFonts w:hint="eastAsia" w:ascii="仿宋_GB2312" w:hAnsi="仿宋_GB2312" w:eastAsia="仿宋_GB2312" w:cs="仿宋_GB2312"/>
                <w:color w:val="auto"/>
                <w:sz w:val="24"/>
                <w:szCs w:val="24"/>
                <w:highlight w:val="none"/>
                <w:u w:val="none"/>
                <w:lang w:val="en-US" w:eastAsia="zh-CN"/>
              </w:rPr>
              <w:t>3.</w:t>
            </w:r>
            <w:r>
              <w:rPr>
                <w:rFonts w:hint="eastAsia" w:ascii="仿宋_GB2312" w:hAnsi="仿宋_GB2312" w:eastAsia="仿宋_GB2312" w:cs="仿宋_GB2312"/>
                <w:color w:val="auto"/>
                <w:sz w:val="24"/>
                <w:highlight w:val="none"/>
                <w:u w:val="none"/>
                <w:lang w:eastAsia="zh-CN"/>
              </w:rPr>
              <w:t>场馆</w:t>
            </w:r>
            <w:r>
              <w:rPr>
                <w:rFonts w:hint="eastAsia" w:ascii="仿宋_GB2312" w:hAnsi="仿宋_GB2312" w:eastAsia="仿宋_GB2312" w:cs="仿宋_GB2312"/>
                <w:color w:val="auto"/>
                <w:sz w:val="24"/>
                <w:highlight w:val="none"/>
                <w:u w:val="none"/>
              </w:rPr>
              <w:t>安全</w:t>
            </w:r>
            <w:r>
              <w:rPr>
                <w:rFonts w:hint="eastAsia" w:ascii="仿宋_GB2312" w:hAnsi="仿宋_GB2312" w:eastAsia="仿宋_GB2312" w:cs="仿宋_GB2312"/>
                <w:color w:val="auto"/>
                <w:sz w:val="24"/>
                <w:highlight w:val="none"/>
                <w:u w:val="none"/>
                <w:lang w:eastAsia="zh-CN"/>
              </w:rPr>
              <w:t>防护升级方案</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u w:val="none"/>
                <w:lang w:val="en-US" w:eastAsia="zh-CN"/>
              </w:rPr>
              <w:br w:type="textWrapping"/>
            </w:r>
            <w:r>
              <w:rPr>
                <w:rFonts w:hint="eastAsia" w:ascii="仿宋_GB2312" w:hAnsi="仿宋_GB2312" w:eastAsia="仿宋_GB2312" w:cs="仿宋_GB2312"/>
                <w:color w:val="auto"/>
                <w:sz w:val="24"/>
                <w:szCs w:val="24"/>
                <w:highlight w:val="none"/>
                <w:u w:val="none"/>
                <w:lang w:val="en-US" w:eastAsia="zh-CN"/>
              </w:rPr>
              <w:t>4.场馆</w:t>
            </w:r>
            <w:r>
              <w:rPr>
                <w:rFonts w:hint="eastAsia" w:ascii="仿宋_GB2312" w:hAnsi="仿宋_GB2312" w:eastAsia="仿宋_GB2312" w:cs="仿宋_GB2312"/>
                <w:color w:val="auto"/>
                <w:sz w:val="24"/>
                <w:highlight w:val="none"/>
                <w:u w:val="none"/>
                <w:lang w:eastAsia="zh-CN"/>
              </w:rPr>
              <w:t>设备检修能力</w:t>
            </w:r>
            <w:r>
              <w:rPr>
                <w:rFonts w:hint="eastAsia" w:ascii="仿宋_GB2312" w:hAnsi="仿宋_GB2312" w:eastAsia="仿宋_GB2312" w:cs="仿宋_GB2312"/>
                <w:color w:val="auto"/>
                <w:sz w:val="24"/>
                <w:szCs w:val="24"/>
                <w:highlight w:val="none"/>
                <w:u w:val="none"/>
                <w:lang w:val="en-US" w:eastAsia="zh-CN"/>
              </w:rPr>
              <w:t>；</w:t>
            </w:r>
            <w:r>
              <w:rPr>
                <w:rFonts w:hint="eastAsia" w:ascii="仿宋_GB2312" w:hAnsi="仿宋_GB2312" w:eastAsia="仿宋_GB2312" w:cs="仿宋_GB2312"/>
                <w:color w:val="auto"/>
                <w:sz w:val="24"/>
                <w:szCs w:val="24"/>
                <w:highlight w:val="none"/>
                <w:u w:val="none"/>
                <w:lang w:val="en-US" w:eastAsia="zh-CN"/>
              </w:rPr>
              <w:br w:type="textWrapping"/>
            </w:r>
            <w:r>
              <w:rPr>
                <w:rFonts w:hint="eastAsia" w:ascii="仿宋_GB2312" w:hAnsi="仿宋_GB2312" w:eastAsia="仿宋_GB2312" w:cs="仿宋_GB2312"/>
                <w:color w:val="auto"/>
                <w:sz w:val="24"/>
                <w:szCs w:val="24"/>
                <w:highlight w:val="none"/>
                <w:u w:val="none"/>
                <w:lang w:val="en-US" w:eastAsia="zh-CN"/>
              </w:rPr>
              <w:t>5.文物库房搭建实施能力。</w:t>
            </w:r>
          </w:p>
          <w:p>
            <w:pPr>
              <w:topLinePunct/>
              <w:snapToGrid w:val="0"/>
              <w:spacing w:line="560" w:lineRule="exact"/>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满足以上任意一项要求得4分，最高得20分，在此基础上，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1.优：项目实施方案内容全面、具体、针对性强、科学合理、可操作性强得10分；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2.良：项目实施方案内容较丰富、较具体、针对性较强、较科学合理、可操作性较强得7分；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3.中：项目实施方案内容、针对性、可操作性一般得4分；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both"/>
              <w:rPr>
                <w:rFonts w:hint="eastAsia" w:ascii="仿宋_GB2312" w:hAnsi="仿宋_GB2312" w:eastAsia="仿宋_GB2312" w:cs="仿宋_GB2312"/>
                <w:color w:val="auto"/>
                <w:sz w:val="24"/>
                <w:szCs w:val="24"/>
                <w:highlight w:val="none"/>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项目重点难点分析、应对措施及相关的合理化建议</w:t>
            </w:r>
          </w:p>
          <w:p>
            <w:pPr>
              <w:spacing w:line="560" w:lineRule="exact"/>
              <w:jc w:val="center"/>
              <w:rPr>
                <w:rFonts w:hint="eastAsia"/>
                <w:color w:val="auto"/>
                <w:highlight w:val="none"/>
                <w:lang w:eastAsia="zh-CN"/>
              </w:rPr>
            </w:pPr>
            <w:r>
              <w:rPr>
                <w:rFonts w:hint="eastAsia" w:ascii="仿宋_GB2312" w:hAnsi="仿宋_GB2312" w:eastAsia="仿宋_GB2312" w:cs="仿宋_GB2312"/>
                <w:color w:val="auto"/>
                <w:sz w:val="24"/>
                <w:szCs w:val="24"/>
                <w:highlight w:val="none"/>
                <w:vertAlign w:val="baseline"/>
                <w:lang w:val="en-US"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vertAlign w:val="baseline"/>
                <w:lang w:val="en-US" w:eastAsia="zh-CN"/>
              </w:rPr>
              <w:t>分）</w:t>
            </w:r>
          </w:p>
        </w:tc>
        <w:tc>
          <w:tcPr>
            <w:tcW w:w="6143" w:type="dxa"/>
            <w:noWrap w:val="0"/>
            <w:vAlign w:val="top"/>
          </w:tcPr>
          <w:p>
            <w:pPr>
              <w:topLinePunct/>
              <w:snapToGrid w:val="0"/>
              <w:spacing w:line="560" w:lineRule="exact"/>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（一）</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内容：</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考察对项目工作量、可完成度等重点难点问题的识别和分析能力，并就识别出的重点难点提出可行的应对措施及合理化建议。</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包括但不限于以下内容：</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1.详细阐述本项目存在的重难点问题；</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2.根据项目重难点，详细阐述对应的应对措施；</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3.向招标方提出项目实施具体建议。</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（二）</w:t>
            </w:r>
            <w:r>
              <w:rPr>
                <w:rFonts w:hint="eastAsia" w:ascii="仿宋_GB2312" w:hAnsi="仿宋_GB2312" w:eastAsia="仿宋_GB2312" w:cs="仿宋_GB2312"/>
                <w:b/>
                <w:bCs/>
                <w:color w:val="auto"/>
                <w:sz w:val="24"/>
                <w:szCs w:val="24"/>
                <w:highlight w:val="none"/>
                <w:lang w:eastAsia="zh-CN"/>
              </w:rPr>
              <w:t>评审</w:t>
            </w:r>
            <w:r>
              <w:rPr>
                <w:rFonts w:hint="eastAsia" w:ascii="仿宋_GB2312" w:hAnsi="仿宋_GB2312" w:eastAsia="仿宋_GB2312" w:cs="仿宋_GB2312"/>
                <w:b/>
                <w:bCs/>
                <w:color w:val="auto"/>
                <w:sz w:val="24"/>
                <w:szCs w:val="24"/>
                <w:highlight w:val="none"/>
              </w:rPr>
              <w:t>依据：</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color w:val="auto"/>
                <w:sz w:val="24"/>
                <w:szCs w:val="24"/>
                <w:highlight w:val="none"/>
              </w:rPr>
              <w:t>根据供应商的具体响应内容按照量化的评审因素指标进一步评审，设定优、良、中、差四个评分标准：</w:t>
            </w:r>
          </w:p>
          <w:p>
            <w:pPr>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分；</w:t>
            </w:r>
          </w:p>
          <w:p>
            <w:pPr>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良：以上项目重点难点分析、应对措施及相关的合理化建议的三点内容较</w:t>
            </w:r>
            <w:r>
              <w:rPr>
                <w:rFonts w:hint="eastAsia" w:ascii="仿宋_GB2312" w:hAnsi="仿宋_GB2312" w:eastAsia="仿宋_GB2312" w:cs="仿宋_GB2312"/>
                <w:color w:val="auto"/>
                <w:sz w:val="24"/>
                <w:szCs w:val="24"/>
                <w:highlight w:val="none"/>
                <w:lang w:eastAsia="zh-CN"/>
              </w:rPr>
              <w:t>丰富</w:t>
            </w:r>
            <w:r>
              <w:rPr>
                <w:rFonts w:hint="eastAsia" w:ascii="仿宋_GB2312" w:hAnsi="仿宋_GB2312" w:eastAsia="仿宋_GB2312" w:cs="仿宋_GB2312"/>
                <w:color w:val="auto"/>
                <w:sz w:val="24"/>
                <w:szCs w:val="24"/>
                <w:highlight w:val="none"/>
              </w:rPr>
              <w:t>、针对性较强、可操作性较强，加</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分；</w:t>
            </w:r>
          </w:p>
          <w:p>
            <w:pPr>
              <w:spacing w:line="5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分；</w:t>
            </w:r>
          </w:p>
          <w:p>
            <w:pPr>
              <w:keepNext w:val="0"/>
              <w:keepLines w:val="0"/>
              <w:pageBreakBefore w:val="0"/>
              <w:widowControl w:val="0"/>
              <w:snapToGrid/>
              <w:spacing w:line="560" w:lineRule="exact"/>
              <w:ind w:firstLine="0" w:firstLineChars="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7"/>
        <w:spacing w:line="560" w:lineRule="exact"/>
        <w:ind w:firstLine="640" w:firstLineChars="200"/>
        <w:jc w:val="both"/>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八、</w:t>
      </w:r>
      <w:r>
        <w:rPr>
          <w:rFonts w:hint="eastAsia" w:ascii="方正黑体_GBK" w:hAnsi="方正黑体_GBK" w:eastAsia="方正黑体_GBK" w:cs="方正黑体_GBK"/>
          <w:b w:val="0"/>
          <w:bCs/>
          <w:color w:val="auto"/>
          <w:sz w:val="32"/>
          <w:szCs w:val="32"/>
          <w:highlight w:val="none"/>
        </w:rPr>
        <w:t>供应商提供资料清单</w:t>
      </w:r>
    </w:p>
    <w:p>
      <w:pPr>
        <w:spacing w:line="560" w:lineRule="exact"/>
        <w:ind w:firstLine="642" w:firstLineChars="20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b/>
          <w:bCs/>
          <w:color w:val="FF0000"/>
          <w:sz w:val="32"/>
          <w:lang w:val="en-US" w:eastAsia="zh-CN"/>
        </w:rPr>
        <w:t>注：以下全部资料每页均须加盖单位公章；第1至5项为投标资格必备资料，第1至5项任意一项资料缺失、未按要求完整提交的，作无效投标处理。</w:t>
      </w:r>
    </w:p>
    <w:p>
      <w:pPr>
        <w:spacing w:line="560" w:lineRule="exact"/>
        <w:ind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1.营业执照、事业法人证书、社会团体法人登记证书</w:t>
      </w:r>
      <w:r>
        <w:rPr>
          <w:rFonts w:hint="eastAsia" w:ascii="仿宋_GB2312" w:hAnsi="仿宋" w:eastAsia="仿宋_GB2312" w:cs="Times New Roman"/>
          <w:color w:val="auto"/>
          <w:sz w:val="32"/>
          <w:highlight w:val="none"/>
          <w:lang w:eastAsia="zh-CN"/>
        </w:rPr>
        <w:t>、相关许可证书</w:t>
      </w:r>
      <w:r>
        <w:rPr>
          <w:rFonts w:hint="eastAsia" w:ascii="仿宋_GB2312" w:hAnsi="仿宋" w:eastAsia="仿宋_GB2312" w:cs="Times New Roman"/>
          <w:color w:val="auto"/>
          <w:sz w:val="32"/>
          <w:highlight w:val="none"/>
        </w:rPr>
        <w:t>；</w:t>
      </w:r>
    </w:p>
    <w:p>
      <w:pPr>
        <w:spacing w:line="560" w:lineRule="exact"/>
        <w:ind w:firstLine="640" w:firstLineChars="200"/>
        <w:jc w:val="both"/>
        <w:rPr>
          <w:color w:val="auto"/>
          <w:sz w:val="32"/>
          <w:szCs w:val="32"/>
          <w:highlight w:val="none"/>
        </w:rPr>
      </w:pPr>
      <w:r>
        <w:rPr>
          <w:rFonts w:hint="eastAsia" w:ascii="仿宋_GB2312" w:hAnsi="仿宋" w:eastAsia="仿宋_GB2312" w:cs="Times New Roman"/>
          <w:color w:val="auto"/>
          <w:sz w:val="32"/>
          <w:szCs w:val="32"/>
          <w:highlight w:val="none"/>
        </w:rPr>
        <w:t>2.法定代表人身份证复印件；</w:t>
      </w:r>
    </w:p>
    <w:p>
      <w:pPr>
        <w:pStyle w:val="8"/>
        <w:spacing w:after="0" w:line="560" w:lineRule="exact"/>
        <w:ind w:left="0" w:leftChars="0" w:right="0" w:rightChars="0" w:firstLine="640"/>
        <w:jc w:val="both"/>
        <w:rPr>
          <w:rFonts w:hint="eastAsia"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3.项目报价</w:t>
      </w:r>
      <w:r>
        <w:rPr>
          <w:rFonts w:hint="eastAsia" w:ascii="仿宋_GB2312" w:hAnsi="仿宋" w:eastAsia="仿宋_GB2312" w:cs="Times New Roman"/>
          <w:color w:val="auto"/>
          <w:sz w:val="32"/>
          <w:highlight w:val="none"/>
          <w:lang w:eastAsia="zh-CN"/>
        </w:rPr>
        <w:t>表</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b/>
          <w:bCs/>
          <w:color w:val="FF0000"/>
          <w:sz w:val="32"/>
          <w:highlight w:val="none"/>
          <w:lang w:eastAsia="zh-CN"/>
        </w:rPr>
        <w:t>需按格式提供</w:t>
      </w:r>
      <w:r>
        <w:rPr>
          <w:rFonts w:hint="eastAsia" w:ascii="仿宋_GB2312" w:hAnsi="仿宋" w:eastAsia="仿宋_GB2312" w:cs="Times New Roman"/>
          <w:b/>
          <w:bCs/>
          <w:color w:val="auto"/>
          <w:sz w:val="32"/>
          <w:highlight w:val="none"/>
          <w:lang w:eastAsia="zh-CN"/>
        </w:rPr>
        <w:t>）</w:t>
      </w:r>
      <w:r>
        <w:rPr>
          <w:rFonts w:hint="eastAsia" w:ascii="仿宋_GB2312" w:hAnsi="仿宋" w:eastAsia="仿宋_GB2312" w:cs="Times New Roman"/>
          <w:color w:val="auto"/>
          <w:sz w:val="32"/>
          <w:highlight w:val="none"/>
        </w:rPr>
        <w:t>；</w:t>
      </w:r>
    </w:p>
    <w:p>
      <w:pPr>
        <w:pStyle w:val="8"/>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4.诚信承诺书（详见附件1）；</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kern w:val="2"/>
          <w:sz w:val="32"/>
          <w:szCs w:val="24"/>
          <w:highlight w:val="none"/>
          <w:lang w:val="en-US" w:eastAsia="zh-CN" w:bidi="ar-SA"/>
        </w:rPr>
        <w:t>5.填写《供应商基本情况表》（加盖单位公章，详见附件2），</w:t>
      </w:r>
      <w:r>
        <w:rPr>
          <w:rFonts w:hint="eastAsia" w:ascii="仿宋_GB2312" w:hAnsi="仿宋" w:eastAsia="仿宋_GB2312" w:cs="Times New Roman"/>
          <w:b/>
          <w:bCs/>
          <w:color w:val="auto"/>
          <w:kern w:val="2"/>
          <w:sz w:val="32"/>
          <w:szCs w:val="24"/>
          <w:highlight w:val="none"/>
          <w:lang w:val="en-US" w:eastAsia="zh-CN" w:bidi="ar-SA"/>
        </w:rPr>
        <w:t>并完整提交表格列明的供应商相关人员近</w:t>
      </w:r>
      <w:r>
        <w:rPr>
          <w:rFonts w:hint="eastAsia" w:ascii="仿宋_GB2312" w:hAnsi="仿宋" w:eastAsia="仿宋_GB2312" w:cs="Times New Roman"/>
          <w:b/>
          <w:bCs/>
          <w:color w:val="FF0000"/>
          <w:kern w:val="2"/>
          <w:sz w:val="32"/>
          <w:szCs w:val="24"/>
          <w:highlight w:val="none"/>
          <w:lang w:val="en-US" w:eastAsia="zh-CN" w:bidi="ar-SA"/>
        </w:rPr>
        <w:t>三</w:t>
      </w:r>
      <w:r>
        <w:rPr>
          <w:rFonts w:hint="eastAsia" w:ascii="仿宋_GB2312" w:hAnsi="仿宋" w:eastAsia="仿宋_GB2312" w:cs="Times New Roman"/>
          <w:b/>
          <w:bCs/>
          <w:color w:val="auto"/>
          <w:kern w:val="2"/>
          <w:sz w:val="32"/>
          <w:szCs w:val="24"/>
          <w:highlight w:val="none"/>
          <w:lang w:val="en-US" w:eastAsia="zh-CN" w:bidi="ar-SA"/>
        </w:rPr>
        <w:t>个月社保缴纳证明</w:t>
      </w:r>
      <w:r>
        <w:rPr>
          <w:rFonts w:hint="eastAsia" w:ascii="仿宋_GB2312" w:hAnsi="仿宋" w:eastAsia="仿宋_GB2312" w:cs="Times New Roman"/>
          <w:color w:val="auto"/>
          <w:kern w:val="2"/>
          <w:sz w:val="32"/>
          <w:szCs w:val="24"/>
          <w:highlight w:val="none"/>
          <w:lang w:val="en-US" w:eastAsia="zh-CN" w:bidi="ar-SA"/>
        </w:rPr>
        <w:t>；法定代表人社保缴纳单位与本单位不一致的，需一并提供对应社保凭证，法定代表人已退休的应出具加盖公章的情况说明；当月社保凭证暂无法出具的，社保材料可整体往前顺延一个月；成立未满3个月的新设企业，可提交加盖公章的情况说明或其他有效佐证材料。</w:t>
      </w:r>
      <w:r>
        <w:rPr>
          <w:rFonts w:hint="eastAsia" w:ascii="仿宋_GB2312" w:hAnsi="仿宋" w:eastAsia="仿宋_GB2312" w:cs="Times New Roman"/>
          <w:b/>
          <w:bCs/>
          <w:color w:val="FF0000"/>
          <w:kern w:val="2"/>
          <w:sz w:val="32"/>
          <w:szCs w:val="24"/>
          <w:highlight w:val="none"/>
          <w:lang w:val="en-US" w:eastAsia="zh-CN" w:bidi="ar-SA"/>
        </w:rPr>
        <w:t>投标人未完整按要求提供对应人员社保材料的，将作投标无效处理。</w:t>
      </w:r>
    </w:p>
    <w:p>
      <w:pPr>
        <w:widowControl/>
        <w:spacing w:after="0" w:line="560" w:lineRule="exact"/>
        <w:ind w:left="0" w:leftChars="0" w:right="0" w:rightChars="0" w:firstLine="640" w:firstLineChars="200"/>
        <w:jc w:val="both"/>
        <w:rPr>
          <w:rFonts w:hint="eastAsia" w:ascii="仿宋_GB2312" w:hAnsi="仿宋" w:eastAsia="仿宋_GB2312" w:cs="Times New Roman"/>
          <w:b/>
          <w:bCs/>
          <w:color w:val="FF0000"/>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6</w:t>
      </w:r>
      <w:r>
        <w:rPr>
          <w:rFonts w:hint="eastAsia" w:ascii="仿宋_GB2312" w:hAnsi="仿宋" w:eastAsia="仿宋_GB2312" w:cs="Times New Roman"/>
          <w:color w:val="auto"/>
          <w:sz w:val="32"/>
          <w:highlight w:val="none"/>
        </w:rPr>
        <w:t>.评分规则所需资料（同类业绩证明、方案等）；</w:t>
      </w:r>
    </w:p>
    <w:p>
      <w:pPr>
        <w:pStyle w:val="8"/>
        <w:spacing w:after="0" w:line="560" w:lineRule="exact"/>
        <w:ind w:left="0" w:leftChars="0" w:right="0" w:rightChars="0" w:firstLine="640"/>
        <w:jc w:val="both"/>
        <w:rPr>
          <w:rFonts w:hint="eastAsia" w:ascii="方正黑体_GBK" w:hAnsi="方正黑体_GBK" w:eastAsia="方正黑体_GBK" w:cs="方正黑体_GBK"/>
          <w:color w:val="auto"/>
          <w:sz w:val="32"/>
          <w:highlight w:val="none"/>
          <w:lang w:val="en-US" w:eastAsia="zh-CN"/>
        </w:rPr>
      </w:pPr>
      <w:r>
        <w:rPr>
          <w:rFonts w:hint="eastAsia" w:ascii="方正黑体_GBK" w:hAnsi="方正黑体_GBK" w:eastAsia="方正黑体_GBK" w:cs="方正黑体_GBK"/>
          <w:color w:val="auto"/>
          <w:sz w:val="32"/>
          <w:highlight w:val="none"/>
          <w:lang w:val="en-US" w:eastAsia="zh-CN"/>
        </w:rPr>
        <w:t>九、其他注意事项</w:t>
      </w:r>
    </w:p>
    <w:p>
      <w:pPr>
        <w:keepNext w:val="0"/>
        <w:keepLines w:val="0"/>
        <w:widowControl/>
        <w:suppressLineNumbers w:val="0"/>
        <w:spacing w:line="560" w:lineRule="exact"/>
        <w:ind w:firstLine="640" w:firstLineChars="200"/>
        <w:jc w:val="both"/>
        <w:rPr>
          <w:rFonts w:hint="eastAsia" w:ascii="仿宋_GB2312" w:hAnsi="仿宋" w:eastAsia="仿宋_GB2312" w:cs="Times New Roman"/>
          <w:color w:val="auto"/>
          <w:kern w:val="2"/>
          <w:sz w:val="32"/>
          <w:szCs w:val="24"/>
          <w:highlight w:val="none"/>
          <w:lang w:val="en-US" w:eastAsia="zh-CN" w:bidi="ar-SA"/>
        </w:rPr>
      </w:pPr>
      <w:r>
        <w:rPr>
          <w:rFonts w:hint="eastAsia" w:ascii="仿宋_GB2312" w:hAnsi="仿宋" w:eastAsia="仿宋_GB2312" w:cs="Times New Roman"/>
          <w:color w:val="auto"/>
          <w:sz w:val="32"/>
          <w:highlight w:val="none"/>
          <w:lang w:val="en-US" w:eastAsia="zh-CN"/>
        </w:rPr>
        <w:t>1.供应商须在</w:t>
      </w:r>
      <w:r>
        <w:rPr>
          <w:rFonts w:hint="default" w:ascii="仿宋_GB2312" w:hAnsi="仿宋" w:eastAsia="仿宋_GB2312" w:cs="Times New Roman"/>
          <w:color w:val="auto"/>
          <w:sz w:val="32"/>
          <w:highlight w:val="none"/>
          <w:lang w:val="en-US" w:eastAsia="zh-CN"/>
        </w:rPr>
        <w:t>深圳政府采购自行采购系统</w:t>
      </w:r>
      <w:r>
        <w:rPr>
          <w:rFonts w:hint="eastAsia" w:ascii="仿宋_GB2312" w:hAnsi="仿宋" w:eastAsia="仿宋_GB2312" w:cs="Times New Roman"/>
          <w:color w:val="auto"/>
          <w:kern w:val="2"/>
          <w:sz w:val="32"/>
          <w:szCs w:val="24"/>
          <w:highlight w:val="none"/>
          <w:lang w:val="en-US" w:eastAsia="zh-CN" w:bidi="ar-SA"/>
        </w:rPr>
        <w:t>完成注册（网址：https://zxcg.szggzy.com/home/index.html），请于本项目投标截止时间前完成注册，否则如中标/成交，可能影响采购结果的发布。</w:t>
      </w:r>
    </w:p>
    <w:p>
      <w:pPr>
        <w:pStyle w:val="8"/>
        <w:spacing w:after="0" w:line="560" w:lineRule="exact"/>
        <w:ind w:left="0" w:leftChars="0" w:right="0" w:rightChars="0" w:firstLine="640"/>
        <w:jc w:val="both"/>
        <w:rPr>
          <w:rFonts w:hint="default"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lang w:val="en-US" w:eastAsia="zh-CN"/>
        </w:rPr>
        <w:t>2.</w:t>
      </w:r>
      <w:r>
        <w:rPr>
          <w:rFonts w:hint="eastAsia" w:ascii="仿宋_GB2312" w:hAnsi="仿宋" w:eastAsia="仿宋_GB2312" w:cs="Times New Roman"/>
          <w:color w:val="auto"/>
          <w:sz w:val="32"/>
          <w:highlight w:val="none"/>
        </w:rPr>
        <w:t>供应商需</w:t>
      </w:r>
      <w:r>
        <w:rPr>
          <w:rFonts w:hint="eastAsia" w:ascii="仿宋_GB2312" w:hAnsi="仿宋" w:eastAsia="仿宋_GB2312" w:cs="Times New Roman"/>
          <w:color w:val="auto"/>
          <w:sz w:val="32"/>
          <w:highlight w:val="none"/>
          <w:lang w:val="en-US" w:eastAsia="zh-CN"/>
        </w:rPr>
        <w:t>以</w:t>
      </w:r>
      <w:r>
        <w:rPr>
          <w:rFonts w:hint="eastAsia" w:ascii="仿宋_GB2312" w:hAnsi="仿宋" w:eastAsia="仿宋_GB2312" w:cs="Times New Roman"/>
          <w:color w:val="auto"/>
          <w:sz w:val="32"/>
          <w:highlight w:val="none"/>
        </w:rPr>
        <w:t>邮寄</w:t>
      </w:r>
      <w:r>
        <w:rPr>
          <w:rFonts w:hint="eastAsia" w:ascii="仿宋_GB2312" w:hAnsi="仿宋" w:eastAsia="仿宋_GB2312" w:cs="Times New Roman"/>
          <w:color w:val="auto"/>
          <w:sz w:val="32"/>
          <w:highlight w:val="none"/>
          <w:lang w:val="en-US" w:eastAsia="zh-CN"/>
        </w:rPr>
        <w:t>方式提供5</w:t>
      </w:r>
      <w:r>
        <w:rPr>
          <w:rFonts w:hint="eastAsia" w:ascii="仿宋_GB2312" w:hAnsi="仿宋" w:eastAsia="仿宋_GB2312" w:cs="Times New Roman"/>
          <w:color w:val="auto"/>
          <w:sz w:val="32"/>
          <w:highlight w:val="none"/>
        </w:rPr>
        <w:t>份密封纸质版投标资料至本单位</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highlight w:val="none"/>
          <w:lang w:val="en-US" w:eastAsia="zh-CN"/>
        </w:rPr>
        <w:t>并在封面备注“</w:t>
      </w:r>
      <w:r>
        <w:rPr>
          <w:rFonts w:hint="default" w:ascii="仿宋_GB2312" w:hAnsi="仿宋_GB2312" w:eastAsia="仿宋_GB2312" w:cs="仿宋_GB2312"/>
          <w:color w:val="auto"/>
          <w:kern w:val="0"/>
          <w:sz w:val="32"/>
          <w:szCs w:val="32"/>
          <w:highlight w:val="none"/>
          <w:lang w:val="en-US"/>
        </w:rPr>
        <w:t>2026年中国文化名人大营救纪念馆基础运维设施类维护</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项目+公司全称+日期+联系人+联系方式”。</w:t>
      </w:r>
    </w:p>
    <w:p>
      <w:pPr>
        <w:pStyle w:val="8"/>
        <w:spacing w:after="0" w:line="560" w:lineRule="exact"/>
        <w:ind w:left="0" w:leftChars="0" w:right="0" w:rightChars="0" w:firstLine="640" w:firstLineChars="200"/>
        <w:jc w:val="both"/>
        <w:rPr>
          <w:rFonts w:ascii="仿宋_GB2312" w:hAnsi="仿宋" w:eastAsia="仿宋_GB2312" w:cs="Times New Roman"/>
          <w:color w:val="auto"/>
          <w:sz w:val="32"/>
          <w:highlight w:val="none"/>
        </w:rPr>
      </w:pPr>
      <w:r>
        <w:rPr>
          <w:rFonts w:hint="eastAsia" w:ascii="仿宋_GB2312" w:hAnsi="仿宋" w:eastAsia="仿宋_GB2312" w:cs="Times New Roman"/>
          <w:color w:val="auto"/>
          <w:sz w:val="32"/>
          <w:highlight w:val="none"/>
        </w:rPr>
        <w:t>地址：</w:t>
      </w:r>
      <w:bookmarkStart w:id="1" w:name="OLE_LINK5"/>
      <w:r>
        <w:rPr>
          <w:rFonts w:hint="eastAsia" w:ascii="仿宋_GB2312" w:hAnsi="仿宋" w:eastAsia="仿宋_GB2312" w:cs="Times New Roman"/>
          <w:color w:val="auto"/>
          <w:sz w:val="32"/>
          <w:highlight w:val="none"/>
        </w:rPr>
        <w:t>深圳市龙华区</w:t>
      </w:r>
      <w:r>
        <w:rPr>
          <w:rFonts w:hint="eastAsia" w:ascii="仿宋_GB2312" w:hAnsi="仿宋" w:eastAsia="仿宋_GB2312" w:cs="Times New Roman"/>
          <w:color w:val="auto"/>
          <w:sz w:val="32"/>
          <w:highlight w:val="none"/>
          <w:lang w:val="en-US" w:eastAsia="zh-CN"/>
        </w:rPr>
        <w:t>龙华街道</w:t>
      </w:r>
      <w:r>
        <w:rPr>
          <w:rFonts w:hint="eastAsia" w:ascii="仿宋_GB2312" w:hAnsi="仿宋" w:eastAsia="仿宋_GB2312" w:cs="Times New Roman"/>
          <w:color w:val="auto"/>
          <w:sz w:val="32"/>
          <w:highlight w:val="none"/>
        </w:rPr>
        <w:t>富康行政</w:t>
      </w:r>
      <w:r>
        <w:rPr>
          <w:rFonts w:hint="eastAsia" w:ascii="仿宋_GB2312" w:hAnsi="仿宋" w:eastAsia="仿宋_GB2312" w:cs="Times New Roman"/>
          <w:color w:val="auto"/>
          <w:sz w:val="32"/>
          <w:highlight w:val="none"/>
          <w:lang w:val="en-US" w:eastAsia="zh-CN"/>
        </w:rPr>
        <w:t>服务</w:t>
      </w:r>
      <w:r>
        <w:rPr>
          <w:rFonts w:hint="eastAsia" w:ascii="仿宋_GB2312" w:hAnsi="仿宋" w:eastAsia="仿宋_GB2312" w:cs="Times New Roman"/>
          <w:color w:val="auto"/>
          <w:sz w:val="32"/>
          <w:highlight w:val="none"/>
        </w:rPr>
        <w:t>办公区</w:t>
      </w:r>
      <w:bookmarkEnd w:id="1"/>
    </w:p>
    <w:p>
      <w:pPr>
        <w:pStyle w:val="18"/>
        <w:spacing w:line="560" w:lineRule="exact"/>
        <w:jc w:val="both"/>
        <w:rPr>
          <w:rFonts w:hint="eastAsia" w:ascii="仿宋_GB2312" w:hAnsi="仿宋" w:eastAsia="仿宋_GB2312" w:cs="Times New Roman"/>
          <w:color w:val="auto"/>
          <w:sz w:val="32"/>
          <w:highlight w:val="none"/>
          <w:lang w:val="en-US" w:eastAsia="zh-CN"/>
        </w:rPr>
      </w:pPr>
      <w:r>
        <w:rPr>
          <w:rFonts w:hint="eastAsia" w:ascii="仿宋_GB2312" w:hAnsi="仿宋" w:eastAsia="仿宋_GB2312" w:cs="Times New Roman"/>
          <w:color w:val="auto"/>
          <w:sz w:val="32"/>
          <w:highlight w:val="none"/>
        </w:rPr>
        <w:t>收件人：吴先生</w:t>
      </w:r>
      <w:bookmarkStart w:id="2" w:name="_GoBack"/>
      <w:bookmarkEnd w:id="2"/>
    </w:p>
    <w:p>
      <w:pPr>
        <w:spacing w:line="560" w:lineRule="exact"/>
        <w:ind w:firstLine="640" w:firstLineChars="200"/>
        <w:jc w:val="both"/>
        <w:rPr>
          <w:rFonts w:hint="default" w:ascii="仿宋_GB2312" w:hAnsi="仿宋" w:eastAsia="仿宋_GB2312" w:cs="Times New Roman"/>
          <w:color w:val="auto"/>
          <w:sz w:val="32"/>
          <w:szCs w:val="22"/>
          <w:highlight w:val="none"/>
          <w:lang w:val="en-US"/>
        </w:rPr>
      </w:pPr>
      <w:r>
        <w:rPr>
          <w:rFonts w:hint="eastAsia" w:ascii="仿宋_GB2312" w:hAnsi="仿宋" w:eastAsia="仿宋_GB2312" w:cs="Times New Roman"/>
          <w:color w:val="auto"/>
          <w:sz w:val="32"/>
          <w:highlight w:val="none"/>
        </w:rPr>
        <w:t>联系方式</w:t>
      </w:r>
      <w:r>
        <w:rPr>
          <w:rFonts w:hint="eastAsia" w:ascii="仿宋_GB2312" w:hAnsi="仿宋" w:eastAsia="仿宋_GB2312" w:cs="Times New Roman"/>
          <w:color w:val="auto"/>
          <w:sz w:val="32"/>
          <w:highlight w:val="none"/>
          <w:lang w:eastAsia="zh-CN"/>
        </w:rPr>
        <w:t>：</w:t>
      </w:r>
      <w:r>
        <w:rPr>
          <w:rFonts w:hint="eastAsia" w:ascii="仿宋_GB2312" w:hAnsi="仿宋" w:eastAsia="仿宋_GB2312" w:cs="Times New Roman"/>
          <w:color w:val="auto"/>
          <w:sz w:val="32"/>
          <w:szCs w:val="22"/>
          <w:highlight w:val="none"/>
        </w:rPr>
        <w:t>0755-23338</w:t>
      </w:r>
      <w:r>
        <w:rPr>
          <w:rFonts w:hint="default" w:ascii="仿宋_GB2312" w:hAnsi="仿宋" w:eastAsia="仿宋_GB2312" w:cs="Times New Roman"/>
          <w:color w:val="auto"/>
          <w:sz w:val="32"/>
          <w:szCs w:val="22"/>
          <w:highlight w:val="none"/>
          <w:lang w:val="en-US"/>
        </w:rPr>
        <w:t>032</w:t>
      </w:r>
    </w:p>
    <w:p>
      <w:pPr>
        <w:pStyle w:val="18"/>
        <w:spacing w:line="560" w:lineRule="exact"/>
        <w:ind w:firstLine="0" w:firstLineChars="0"/>
        <w:jc w:val="both"/>
        <w:rPr>
          <w:rFonts w:hint="default" w:ascii="黑体" w:hAnsi="黑体" w:eastAsia="黑体" w:cs="黑体"/>
          <w:color w:val="auto"/>
          <w:sz w:val="32"/>
          <w:szCs w:val="32"/>
          <w:highlight w:val="none"/>
          <w:lang w:val="en-US" w:eastAsia="zh-CN"/>
        </w:rPr>
      </w:pPr>
      <w:r>
        <w:rPr>
          <w:rFonts w:ascii="仿宋_GB2312" w:hAnsi="仿宋" w:eastAsia="仿宋_GB2312" w:cs="Times New Roman"/>
          <w:color w:val="auto"/>
          <w:sz w:val="32"/>
          <w:highlight w:val="none"/>
        </w:rPr>
        <w:br w:type="page"/>
      </w:r>
      <w:r>
        <w:rPr>
          <w:rFonts w:hint="eastAsia" w:ascii="黑体" w:hAnsi="黑体" w:eastAsia="黑体" w:cs="黑体"/>
          <w:color w:val="auto"/>
          <w:sz w:val="32"/>
          <w:szCs w:val="32"/>
          <w:highlight w:val="none"/>
          <w:lang w:eastAsia="zh-CN"/>
        </w:rPr>
        <w:t>附件</w:t>
      </w:r>
      <w:r>
        <w:rPr>
          <w:rFonts w:hint="eastAsia" w:ascii="黑体" w:hAnsi="黑体" w:eastAsia="黑体" w:cs="黑体"/>
          <w:color w:val="auto"/>
          <w:sz w:val="32"/>
          <w:szCs w:val="32"/>
          <w:highlight w:val="none"/>
          <w:lang w:val="en-US" w:eastAsia="zh-CN"/>
        </w:rPr>
        <w:t>1</w:t>
      </w:r>
    </w:p>
    <w:p>
      <w:pPr>
        <w:pStyle w:val="5"/>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color w:val="auto"/>
          <w:highlight w:val="none"/>
          <w:lang w:val="en-US" w:eastAsia="zh-CN"/>
        </w:rPr>
      </w:pPr>
    </w:p>
    <w:p>
      <w:pPr>
        <w:pStyle w:val="2"/>
        <w:rPr>
          <w:rFonts w:hint="default"/>
          <w:color w:val="auto"/>
          <w:highlight w:val="none"/>
          <w:lang w:val="en-US" w:eastAsia="zh-CN"/>
        </w:rPr>
      </w:pPr>
    </w:p>
    <w:p>
      <w:pPr>
        <w:rPr>
          <w:rFonts w:hint="default"/>
          <w:color w:val="auto"/>
          <w:highlight w:val="none"/>
          <w:lang w:val="en-US" w:eastAsia="zh-CN"/>
        </w:rPr>
      </w:pPr>
    </w:p>
    <w:p>
      <w:pPr>
        <w:rPr>
          <w:rFonts w:hint="default"/>
          <w:color w:val="auto"/>
          <w:highlight w:val="none"/>
          <w:lang w:val="en-US" w:eastAsia="zh-CN"/>
        </w:rPr>
      </w:pPr>
    </w:p>
    <w:p>
      <w:pPr>
        <w:rPr>
          <w:rFonts w:hint="default"/>
          <w:color w:val="auto"/>
          <w:highlight w:val="none"/>
          <w:lang w:val="en-US" w:eastAsia="zh-CN"/>
        </w:rPr>
      </w:pPr>
    </w:p>
    <w:p>
      <w:pPr>
        <w:rPr>
          <w:rFonts w:hint="default"/>
          <w:color w:val="auto"/>
          <w:highlight w:val="none"/>
          <w:lang w:val="en-US" w:eastAsia="zh-CN"/>
        </w:rPr>
      </w:pPr>
    </w:p>
    <w:p>
      <w:pPr>
        <w:pStyle w:val="18"/>
        <w:spacing w:line="560" w:lineRule="exact"/>
        <w:ind w:firstLine="0" w:firstLineChars="0"/>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pPr>
        <w:pStyle w:val="3"/>
        <w:snapToGrid w:val="0"/>
        <w:spacing w:before="0" w:after="0" w:line="560" w:lineRule="exact"/>
        <w:jc w:val="center"/>
        <w:rPr>
          <w:rFonts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供应商基本情况表</w:t>
      </w:r>
    </w:p>
    <w:p>
      <w:pPr>
        <w:spacing w:line="560" w:lineRule="exact"/>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填表单位：（加盖单位公章）</w:t>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ab/>
      </w:r>
      <w:r>
        <w:rPr>
          <w:rFonts w:hint="eastAsia" w:ascii="方正仿宋_GBK" w:hAnsi="方正仿宋_GBK" w:eastAsia="方正仿宋_GBK" w:cs="方正仿宋_GBK"/>
          <w:color w:val="auto"/>
          <w:sz w:val="28"/>
          <w:szCs w:val="28"/>
          <w:highlight w:val="none"/>
        </w:rPr>
        <w:t xml:space="preserve">   填表日期：    年   月   日</w:t>
      </w:r>
    </w:p>
    <w:tbl>
      <w:tblPr>
        <w:tblStyle w:val="13"/>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采购人</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项目名称</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投标（响应）供应商</w:t>
            </w:r>
          </w:p>
        </w:tc>
        <w:tc>
          <w:tcPr>
            <w:tcW w:w="2553" w:type="dxa"/>
            <w:gridSpan w:val="2"/>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供应商统一社会信用代码</w:t>
            </w:r>
          </w:p>
        </w:tc>
        <w:tc>
          <w:tcPr>
            <w:tcW w:w="3645" w:type="dxa"/>
            <w:gridSpan w:val="2"/>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职务</w:t>
            </w:r>
          </w:p>
        </w:tc>
        <w:tc>
          <w:tcPr>
            <w:tcW w:w="1270"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姓名</w:t>
            </w:r>
          </w:p>
        </w:tc>
        <w:tc>
          <w:tcPr>
            <w:tcW w:w="199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身份证号码</w:t>
            </w:r>
          </w:p>
        </w:tc>
        <w:tc>
          <w:tcPr>
            <w:tcW w:w="1500"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劳动合同</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关系单位</w:t>
            </w:r>
          </w:p>
        </w:tc>
        <w:tc>
          <w:tcPr>
            <w:tcW w:w="2145" w:type="dxa"/>
            <w:tcBorders>
              <w:bottom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缴纳社会</w:t>
            </w:r>
          </w:p>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2"/>
                <w:szCs w:val="22"/>
                <w:highlight w:val="none"/>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3</w:t>
            </w:r>
          </w:p>
        </w:tc>
        <w:tc>
          <w:tcPr>
            <w:tcW w:w="2345"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项目负责人</w:t>
            </w:r>
          </w:p>
        </w:tc>
        <w:tc>
          <w:tcPr>
            <w:tcW w:w="127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991" w:type="dxa"/>
            <w:gridSpan w:val="2"/>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1500"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2145" w:type="dxa"/>
            <w:tcBorders>
              <w:top w:val="single" w:color="auto" w:sz="4" w:space="0"/>
            </w:tcBorders>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4</w:t>
            </w:r>
          </w:p>
        </w:tc>
        <w:tc>
          <w:tcPr>
            <w:tcW w:w="2345" w:type="dxa"/>
            <w:gridSpan w:val="2"/>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主要技术人员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5</w:t>
            </w:r>
          </w:p>
        </w:tc>
        <w:tc>
          <w:tcPr>
            <w:tcW w:w="2345" w:type="dxa"/>
            <w:gridSpan w:val="2"/>
            <w:noWrap w:val="0"/>
            <w:vAlign w:val="center"/>
          </w:tcPr>
          <w:p>
            <w:pPr>
              <w:pStyle w:val="6"/>
              <w:snapToGrid w:val="0"/>
              <w:spacing w:line="240" w:lineRule="auto"/>
              <w:ind w:firstLine="0" w:firstLineChars="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投标文件编制人员</w:t>
            </w:r>
          </w:p>
        </w:tc>
        <w:tc>
          <w:tcPr>
            <w:tcW w:w="1270" w:type="dxa"/>
            <w:noWrap w:val="0"/>
            <w:vAlign w:val="center"/>
          </w:tcPr>
          <w:p>
            <w:pPr>
              <w:jc w:val="both"/>
              <w:rPr>
                <w:rFonts w:ascii="方正仿宋_GBK" w:hAnsi="方正仿宋_GBK" w:eastAsia="方正仿宋_GBK" w:cs="方正仿宋_GBK"/>
                <w:color w:val="auto"/>
                <w:sz w:val="24"/>
                <w:highlight w:val="none"/>
              </w:rPr>
            </w:pPr>
          </w:p>
        </w:tc>
        <w:tc>
          <w:tcPr>
            <w:tcW w:w="1991" w:type="dxa"/>
            <w:gridSpan w:val="2"/>
            <w:noWrap w:val="0"/>
            <w:vAlign w:val="center"/>
          </w:tcPr>
          <w:p>
            <w:pPr>
              <w:jc w:val="both"/>
              <w:rPr>
                <w:rFonts w:ascii="方正仿宋_GBK" w:hAnsi="方正仿宋_GBK" w:eastAsia="方正仿宋_GBK" w:cs="方正仿宋_GBK"/>
                <w:color w:val="auto"/>
                <w:sz w:val="24"/>
                <w:highlight w:val="none"/>
              </w:rPr>
            </w:pPr>
          </w:p>
        </w:tc>
        <w:tc>
          <w:tcPr>
            <w:tcW w:w="1500" w:type="dxa"/>
            <w:noWrap w:val="0"/>
            <w:vAlign w:val="center"/>
          </w:tcPr>
          <w:p>
            <w:pPr>
              <w:jc w:val="both"/>
              <w:rPr>
                <w:rFonts w:ascii="方正仿宋_GBK" w:hAnsi="方正仿宋_GBK" w:eastAsia="方正仿宋_GBK" w:cs="方正仿宋_GBK"/>
                <w:color w:val="auto"/>
                <w:sz w:val="24"/>
                <w:highlight w:val="none"/>
              </w:rPr>
            </w:pPr>
          </w:p>
        </w:tc>
        <w:tc>
          <w:tcPr>
            <w:tcW w:w="2145" w:type="dxa"/>
            <w:noWrap w:val="0"/>
            <w:vAlign w:val="center"/>
          </w:tcPr>
          <w:p>
            <w:pPr>
              <w:jc w:val="both"/>
              <w:rPr>
                <w:rFonts w:ascii="方正仿宋_GBK" w:hAnsi="方正仿宋_GBK" w:eastAsia="方正仿宋_GBK" w:cs="方正仿宋_GBK"/>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both"/>
              <w:rPr>
                <w:rFonts w:ascii="方正仿宋_GBK" w:hAnsi="方正仿宋_GBK" w:eastAsia="方正仿宋_GBK" w:cs="方正仿宋_GBK"/>
                <w:b/>
                <w:bCs/>
                <w:color w:val="auto"/>
                <w:sz w:val="24"/>
                <w:highlight w:val="none"/>
              </w:rPr>
            </w:pPr>
            <w:r>
              <w:rPr>
                <w:rFonts w:hint="eastAsia" w:ascii="方正仿宋_GBK" w:hAnsi="方正仿宋_GBK" w:eastAsia="方正仿宋_GBK" w:cs="方正仿宋_GBK"/>
                <w:b/>
                <w:bCs/>
                <w:color w:val="auto"/>
                <w:sz w:val="24"/>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序号</w:t>
            </w:r>
          </w:p>
        </w:tc>
        <w:tc>
          <w:tcPr>
            <w:tcW w:w="2345"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关联关系类型</w:t>
            </w:r>
          </w:p>
        </w:tc>
        <w:tc>
          <w:tcPr>
            <w:tcW w:w="2061" w:type="dxa"/>
            <w:gridSpan w:val="2"/>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关联主体名称</w:t>
            </w:r>
          </w:p>
        </w:tc>
        <w:tc>
          <w:tcPr>
            <w:tcW w:w="4845" w:type="dxa"/>
            <w:gridSpan w:val="3"/>
            <w:tcBorders>
              <w:bottom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18"/>
                <w:szCs w:val="18"/>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both"/>
              <w:rPr>
                <w:rFonts w:ascii="方正仿宋_GBK" w:hAnsi="方正仿宋_GBK" w:eastAsia="方正仿宋_GBK" w:cs="方正仿宋_GBK"/>
                <w:color w:val="auto"/>
                <w:sz w:val="24"/>
                <w:highlight w:val="none"/>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color w:val="auto"/>
                <w:sz w:val="24"/>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both"/>
              <w:rPr>
                <w:rFonts w:ascii="方正仿宋_GBK" w:hAnsi="方正仿宋_GBK" w:eastAsia="方正仿宋_GBK" w:cs="方正仿宋_GBK"/>
                <w:color w:val="auto"/>
                <w:sz w:val="24"/>
                <w:highlight w:val="none"/>
              </w:rPr>
            </w:pPr>
            <w:r>
              <w:rPr>
                <w:rFonts w:hint="eastAsia" w:ascii="方正仿宋_GBK" w:hAnsi="方正仿宋_GBK" w:eastAsia="方正仿宋_GBK" w:cs="方正仿宋_GBK"/>
                <w:b/>
                <w:bCs/>
                <w:color w:val="auto"/>
                <w:sz w:val="24"/>
                <w:highlight w:val="none"/>
              </w:rPr>
              <w:t>说明：同一关联关系类型有多个主体的，应分行填写。</w:t>
            </w:r>
          </w:p>
        </w:tc>
      </w:tr>
    </w:tbl>
    <w:p>
      <w:pPr>
        <w:rPr>
          <w:rFonts w:hint="default"/>
          <w:color w:val="auto"/>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76E1AF"/>
    <w:rsid w:val="0C871352"/>
    <w:rsid w:val="16EB8C75"/>
    <w:rsid w:val="1BFABADF"/>
    <w:rsid w:val="1EEFE0EE"/>
    <w:rsid w:val="3BDFFA67"/>
    <w:rsid w:val="3D5FDCFC"/>
    <w:rsid w:val="3E17024A"/>
    <w:rsid w:val="3F1F3B18"/>
    <w:rsid w:val="3F7D16C5"/>
    <w:rsid w:val="4B002686"/>
    <w:rsid w:val="4D6BB8A3"/>
    <w:rsid w:val="4DFB87B1"/>
    <w:rsid w:val="57F689EF"/>
    <w:rsid w:val="5DD84F45"/>
    <w:rsid w:val="5F2BE56A"/>
    <w:rsid w:val="5F7AA0D9"/>
    <w:rsid w:val="6CFFD566"/>
    <w:rsid w:val="6EF0FF6A"/>
    <w:rsid w:val="6FC122F1"/>
    <w:rsid w:val="6FC72380"/>
    <w:rsid w:val="73FB884D"/>
    <w:rsid w:val="75ADC840"/>
    <w:rsid w:val="773E6F28"/>
    <w:rsid w:val="77FABDDE"/>
    <w:rsid w:val="79764DE4"/>
    <w:rsid w:val="79CDC02A"/>
    <w:rsid w:val="7B7D34E9"/>
    <w:rsid w:val="7BCA33F2"/>
    <w:rsid w:val="7BD3E33C"/>
    <w:rsid w:val="7BF7E217"/>
    <w:rsid w:val="7D9F3A20"/>
    <w:rsid w:val="7DBF45F0"/>
    <w:rsid w:val="7DCAB5DF"/>
    <w:rsid w:val="7DD39989"/>
    <w:rsid w:val="7DDDFA21"/>
    <w:rsid w:val="7DFFFCB0"/>
    <w:rsid w:val="7E22E0D3"/>
    <w:rsid w:val="7E9F479A"/>
    <w:rsid w:val="7EF91EC5"/>
    <w:rsid w:val="7F77B839"/>
    <w:rsid w:val="7F9D08FC"/>
    <w:rsid w:val="7FBBE55B"/>
    <w:rsid w:val="7FEBD92F"/>
    <w:rsid w:val="7FED79C5"/>
    <w:rsid w:val="935DE5B1"/>
    <w:rsid w:val="9EFFBBA7"/>
    <w:rsid w:val="9FCDB0F8"/>
    <w:rsid w:val="9FF753B3"/>
    <w:rsid w:val="9FF76098"/>
    <w:rsid w:val="BBC70BF7"/>
    <w:rsid w:val="BBFF548B"/>
    <w:rsid w:val="CB3749E5"/>
    <w:rsid w:val="CEAEA899"/>
    <w:rsid w:val="CF5F878D"/>
    <w:rsid w:val="DEB7FE68"/>
    <w:rsid w:val="DFFF69F1"/>
    <w:rsid w:val="E376E1AF"/>
    <w:rsid w:val="E77E6E49"/>
    <w:rsid w:val="EEFF57EA"/>
    <w:rsid w:val="EFEEAA5D"/>
    <w:rsid w:val="EFF64497"/>
    <w:rsid w:val="EFFBB246"/>
    <w:rsid w:val="F99FA8D5"/>
    <w:rsid w:val="FDFFDEC4"/>
    <w:rsid w:val="FF5D0031"/>
    <w:rsid w:val="FFBFB86A"/>
    <w:rsid w:val="FFE7F9CE"/>
    <w:rsid w:val="FFEF2FC6"/>
    <w:rsid w:val="FFF8E153"/>
    <w:rsid w:val="FFFB35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paragraph" w:styleId="6">
    <w:name w:val="Normal Indent"/>
    <w:basedOn w:val="1"/>
    <w:qFormat/>
    <w:uiPriority w:val="0"/>
    <w:pPr>
      <w:ind w:firstLine="420"/>
    </w:pPr>
    <w:rPr>
      <w:szCs w:val="20"/>
    </w:rPr>
  </w:style>
  <w:style w:type="paragraph" w:styleId="7">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8">
    <w:name w:val="Block Text"/>
    <w:basedOn w:val="1"/>
    <w:qFormat/>
    <w:uiPriority w:val="0"/>
    <w:pPr>
      <w:tabs>
        <w:tab w:val="left" w:pos="426"/>
      </w:tabs>
      <w:spacing w:after="120"/>
      <w:ind w:left="1440" w:leftChars="700" w:right="1440" w:rightChars="700"/>
    </w:pPr>
  </w:style>
  <w:style w:type="paragraph" w:styleId="9">
    <w:name w:val="Plain Text"/>
    <w:basedOn w:val="1"/>
    <w:unhideWhenUsed/>
    <w:qFormat/>
    <w:uiPriority w:val="99"/>
    <w:rPr>
      <w:rFonts w:ascii="宋体" w:hAnsi="Calibri" w:cs="Courier New"/>
      <w:szCs w:val="21"/>
    </w:rPr>
  </w:style>
  <w:style w:type="paragraph" w:styleId="10">
    <w:name w:val="Body Text 2"/>
    <w:basedOn w:val="1"/>
    <w:qFormat/>
    <w:uiPriority w:val="0"/>
    <w:pPr>
      <w:spacing w:line="360" w:lineRule="auto"/>
    </w:pPr>
    <w:rPr>
      <w:sz w:val="24"/>
    </w:rPr>
  </w:style>
  <w:style w:type="paragraph" w:styleId="11">
    <w:name w:val="Normal (Web)"/>
    <w:basedOn w:val="1"/>
    <w:qFormat/>
    <w:uiPriority w:val="99"/>
    <w:rPr>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6"/>
    <w:qFormat/>
    <w:uiPriority w:val="34"/>
    <w:pPr>
      <w:ind w:firstLine="420" w:firstLineChars="200"/>
    </w:pPr>
  </w:style>
  <w:style w:type="paragraph" w:customStyle="1" w:styleId="16">
    <w:name w:val="星耀正文"/>
    <w:basedOn w:val="1"/>
    <w:qFormat/>
    <w:uiPriority w:val="3"/>
    <w:pPr>
      <w:ind w:firstLine="422" w:firstLineChars="200"/>
    </w:pPr>
    <w:rPr>
      <w:rFonts w:ascii="宋体" w:hAnsi="宋体" w:eastAsia="仿宋_GB2312"/>
      <w:bCs/>
    </w:rPr>
  </w:style>
  <w:style w:type="paragraph" w:customStyle="1" w:styleId="17">
    <w:name w:val="USE 1"/>
    <w:basedOn w:val="1"/>
    <w:qFormat/>
    <w:uiPriority w:val="0"/>
    <w:pPr>
      <w:spacing w:line="200" w:lineRule="atLeast"/>
      <w:jc w:val="left"/>
    </w:pPr>
    <w:rPr>
      <w:rFonts w:ascii="宋体" w:hAnsi="宋体"/>
      <w:b/>
      <w:sz w:val="24"/>
      <w:szCs w:val="28"/>
    </w:rPr>
  </w:style>
  <w:style w:type="paragraph" w:customStyle="1" w:styleId="18">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19">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4468</Words>
  <Characters>4608</Characters>
  <Lines>0</Lines>
  <Paragraphs>0</Paragraphs>
  <TotalTime>222</TotalTime>
  <ScaleCrop>false</ScaleCrop>
  <LinksUpToDate>false</LinksUpToDate>
  <CharactersWithSpaces>4730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2025-04-28T17:16:00Z</dcterms:created>
  <dc:creator>yang</dc:creator>
  <cp:lastModifiedBy>lxy</cp:lastModifiedBy>
  <cp:lastPrinted>2026-08-15T06:56:00Z</cp:lastPrinted>
  <dcterms:modified xsi:type="dcterms:W3CDTF">2026-08-18T17:31:40Z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94503D16F25F368974F46A6A54440B75</vt:lpwstr>
  </property>
</Properties>
</file>