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2026年中国文化名人大营救纪念馆云端</w:t>
      </w:r>
    </w:p>
    <w:p>
      <w:pPr>
        <w:spacing w:line="5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数字化展陈项目需求书</w:t>
      </w:r>
    </w:p>
    <w:p>
      <w:pPr>
        <w:pStyle w:val="9"/>
        <w:spacing w:line="560" w:lineRule="exact"/>
        <w:jc w:val="both"/>
        <w:rPr>
          <w:rFonts w:ascii="方正小标宋简体" w:hAnsi="方正小标宋简体" w:eastAsia="方正小标宋简体" w:cs="方正小标宋简体"/>
          <w:color w:val="auto"/>
          <w:spacing w:val="17"/>
          <w:sz w:val="44"/>
          <w:szCs w:val="44"/>
          <w:highlight w:val="none"/>
        </w:rPr>
      </w:pPr>
    </w:p>
    <w:p>
      <w:pPr>
        <w:numPr>
          <w:ilvl w:val="0"/>
          <w:numId w:val="1"/>
        </w:num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项目目标</w:t>
      </w:r>
    </w:p>
    <w:p>
      <w:pPr>
        <w:keepNext w:val="0"/>
        <w:keepLines w:val="0"/>
        <w:widowControl/>
        <w:suppressLineNumbers w:val="0"/>
        <w:tabs>
          <w:tab w:val="left" w:pos="1820"/>
        </w:tabs>
        <w:snapToGrid w:val="0"/>
        <w:spacing w:line="560" w:lineRule="exact"/>
        <w:ind w:firstLine="640" w:firstLineChars="200"/>
        <w:jc w:val="both"/>
        <w:rPr>
          <w:rFonts w:hint="eastAsia" w:ascii="仿宋_GB2312" w:hAnsi="仿宋_GB2312" w:eastAsia="仿宋_GB2312" w:cs="仿宋_GB2312"/>
          <w:color w:val="auto"/>
          <w:sz w:val="32"/>
          <w:szCs w:val="36"/>
          <w:highlight w:val="none"/>
        </w:rPr>
      </w:pPr>
      <w:r>
        <w:rPr>
          <w:rFonts w:hint="eastAsia" w:ascii="仿宋_GB2312" w:hAnsi="仿宋_GB2312" w:eastAsia="仿宋_GB2312" w:cs="仿宋_GB2312"/>
          <w:color w:val="auto"/>
          <w:kern w:val="2"/>
          <w:sz w:val="32"/>
          <w:szCs w:val="36"/>
          <w:highlight w:val="none"/>
          <w:lang w:val="en-US" w:eastAsia="zh-CN" w:bidi="ar"/>
        </w:rPr>
        <w:t>本项目通过激光三维数据采集、三维模型重建、基础虚拟漫游功能开发、系统程序代码嵌入集成及二维码语音导览讲解服务建设，打造集全景导览、文物数字化展示、互动学习及影音资料于一体的“数字记忆”线上主题馆，实现红色资源的数字化保存与沉浸式传播，全面提升纪念馆云端服务水平，增强爱国主义教育的吸引力与感染力，切实发挥红色教育阵地功能。</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服务时间</w:t>
      </w:r>
    </w:p>
    <w:p>
      <w:pPr>
        <w:pStyle w:val="8"/>
        <w:spacing w:after="0" w:line="560" w:lineRule="exact"/>
        <w:ind w:left="0" w:leftChars="0" w:right="0" w:rightChars="0" w:firstLine="640" w:firstLineChars="200"/>
        <w:jc w:val="both"/>
        <w:rPr>
          <w:rFonts w:ascii="仿宋_GB2312" w:hAnsi="仿宋_GB2312" w:eastAsia="仿宋_GB2312" w:cs="仿宋_GB2312"/>
          <w:color w:val="auto"/>
          <w:sz w:val="32"/>
          <w:szCs w:val="36"/>
          <w:highlight w:val="none"/>
        </w:rPr>
      </w:pPr>
      <w:r>
        <w:rPr>
          <w:rFonts w:hint="eastAsia" w:ascii="仿宋_GB2312" w:hAnsi="仿宋_GB2312" w:eastAsia="仿宋_GB2312" w:cs="仿宋_GB2312"/>
          <w:color w:val="auto"/>
          <w:sz w:val="32"/>
          <w:szCs w:val="36"/>
          <w:highlight w:val="none"/>
          <w:lang w:val="en-US" w:eastAsia="zh-CN"/>
        </w:rPr>
        <w:t>2026</w:t>
      </w:r>
      <w:r>
        <w:rPr>
          <w:rFonts w:hint="eastAsia" w:ascii="仿宋_GB2312" w:hAnsi="仿宋_GB2312" w:eastAsia="仿宋_GB2312" w:cs="仿宋_GB2312"/>
          <w:color w:val="auto"/>
          <w:sz w:val="32"/>
          <w:szCs w:val="36"/>
          <w:highlight w:val="none"/>
        </w:rPr>
        <w:t>年</w:t>
      </w:r>
      <w:r>
        <w:rPr>
          <w:rFonts w:hint="eastAsia" w:ascii="仿宋_GB2312" w:hAnsi="仿宋_GB2312" w:eastAsia="仿宋_GB2312" w:cs="仿宋_GB2312"/>
          <w:color w:val="auto"/>
          <w:sz w:val="32"/>
          <w:szCs w:val="36"/>
          <w:highlight w:val="none"/>
          <w:lang w:val="en-US" w:eastAsia="zh-CN"/>
        </w:rPr>
        <w:t>8</w:t>
      </w:r>
      <w:r>
        <w:rPr>
          <w:rFonts w:hint="eastAsia" w:ascii="仿宋_GB2312" w:hAnsi="仿宋_GB2312" w:eastAsia="仿宋_GB2312" w:cs="仿宋_GB2312"/>
          <w:color w:val="auto"/>
          <w:sz w:val="32"/>
          <w:szCs w:val="36"/>
          <w:highlight w:val="none"/>
        </w:rPr>
        <w:t>月-</w:t>
      </w:r>
      <w:r>
        <w:rPr>
          <w:rFonts w:hint="eastAsia" w:ascii="仿宋_GB2312" w:hAnsi="仿宋_GB2312" w:eastAsia="仿宋_GB2312" w:cs="仿宋_GB2312"/>
          <w:color w:val="auto"/>
          <w:sz w:val="32"/>
          <w:szCs w:val="36"/>
          <w:highlight w:val="none"/>
          <w:lang w:val="en-US" w:eastAsia="zh-CN"/>
        </w:rPr>
        <w:t>2026年10</w:t>
      </w:r>
      <w:r>
        <w:rPr>
          <w:rFonts w:hint="eastAsia" w:ascii="仿宋_GB2312" w:hAnsi="仿宋_GB2312" w:eastAsia="仿宋_GB2312" w:cs="仿宋_GB2312"/>
          <w:color w:val="auto"/>
          <w:sz w:val="32"/>
          <w:szCs w:val="36"/>
          <w:highlight w:val="none"/>
        </w:rPr>
        <w:t>月（暂定）</w:t>
      </w:r>
    </w:p>
    <w:p>
      <w:pPr>
        <w:tabs>
          <w:tab w:val="left" w:pos="1820"/>
        </w:tabs>
        <w:snapToGrid w:val="0"/>
        <w:spacing w:line="560" w:lineRule="exact"/>
        <w:ind w:firstLine="640" w:firstLineChars="200"/>
        <w:jc w:val="both"/>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w:t>
      </w:r>
      <w:bookmarkStart w:id="0" w:name="OLE_LINK2"/>
      <w:r>
        <w:rPr>
          <w:rFonts w:hint="eastAsia" w:ascii="黑体" w:hAnsi="黑体" w:eastAsia="黑体" w:cs="黑体"/>
          <w:bCs/>
          <w:color w:val="auto"/>
          <w:sz w:val="32"/>
          <w:szCs w:val="32"/>
          <w:highlight w:val="none"/>
        </w:rPr>
        <w:t>项目内容及要求</w:t>
      </w:r>
      <w:bookmarkEnd w:id="0"/>
    </w:p>
    <w:p>
      <w:pPr>
        <w:spacing w:line="560" w:lineRule="exact"/>
        <w:ind w:firstLine="640" w:firstLineChars="200"/>
        <w:jc w:val="both"/>
        <w:rPr>
          <w:rFonts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（一）</w:t>
      </w:r>
      <w:r>
        <w:rPr>
          <w:rFonts w:hint="eastAsia" w:ascii="楷体_GB2312" w:hAnsi="楷体_GB2312" w:eastAsia="楷体_GB2312" w:cs="楷体_GB2312"/>
          <w:color w:val="auto"/>
          <w:sz w:val="32"/>
          <w:szCs w:val="32"/>
          <w:highlight w:val="none"/>
        </w:rPr>
        <w:t>项目内容</w:t>
      </w:r>
    </w:p>
    <w:p>
      <w:pPr>
        <w:keepNext w:val="0"/>
        <w:keepLines w:val="0"/>
        <w:widowControl/>
        <w:suppressLineNumbers w:val="0"/>
        <w:tabs>
          <w:tab w:val="left" w:pos="1820"/>
        </w:tabs>
        <w:snapToGrid w:val="0"/>
        <w:spacing w:line="560" w:lineRule="exact"/>
        <w:ind w:firstLine="640" w:firstLineChars="200"/>
        <w:jc w:val="both"/>
        <w:rPr>
          <w:rFonts w:hint="eastAsia" w:ascii="仿宋_GB2312" w:hAnsi="仿宋_GB2312" w:eastAsia="仿宋_GB2312" w:cs="仿宋_GB2312"/>
          <w:color w:val="auto"/>
          <w:sz w:val="32"/>
          <w:szCs w:val="36"/>
          <w:highlight w:val="none"/>
          <w:lang w:bidi="ar"/>
        </w:rPr>
      </w:pPr>
      <w:r>
        <w:rPr>
          <w:rFonts w:hint="eastAsia" w:ascii="仿宋_GB2312" w:hAnsi="仿宋_GB2312" w:eastAsia="仿宋_GB2312" w:cs="仿宋_GB2312"/>
          <w:color w:val="auto"/>
          <w:kern w:val="2"/>
          <w:sz w:val="32"/>
          <w:szCs w:val="36"/>
          <w:highlight w:val="none"/>
          <w:lang w:val="en-US" w:eastAsia="zh-CN" w:bidi="ar"/>
        </w:rPr>
        <w:t>本项目围绕纪念馆云端数字化展陈系统升级，开展五大类核心工作：激光三维数据采集、三维模型重建处理、基础虚拟漫游功能开发、系统程序代码嵌入集成、二维码语音导览讲解服务，最终形成可落地、可迭代的线上数字展馆成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lang w:val="en-US" w:eastAsia="zh-CN"/>
        </w:rPr>
        <w:t>二</w:t>
      </w:r>
      <w:r>
        <w:rPr>
          <w:rFonts w:hint="eastAsia" w:ascii="仿宋_GB2312" w:hAnsi="仿宋" w:eastAsia="仿宋_GB2312" w:cs="仿宋"/>
          <w:color w:val="auto"/>
          <w:sz w:val="32"/>
          <w:szCs w:val="32"/>
          <w:highlight w:val="none"/>
          <w:lang w:eastAsia="zh-CN"/>
        </w:rPr>
        <w:t>）</w:t>
      </w:r>
      <w:r>
        <w:rPr>
          <w:rFonts w:hint="eastAsia" w:ascii="仿宋_GB2312" w:hAnsi="仿宋" w:eastAsia="仿宋_GB2312" w:cs="仿宋"/>
          <w:color w:val="auto"/>
          <w:sz w:val="32"/>
          <w:szCs w:val="32"/>
          <w:highlight w:val="none"/>
          <w:lang w:val="en-US" w:eastAsia="zh-CN"/>
        </w:rPr>
        <w:t>具体要求</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043"/>
        <w:gridCol w:w="1948"/>
        <w:gridCol w:w="6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shd w:val="clear" w:color="auto" w:fill="auto"/>
            <w:noWrap/>
            <w:tcMar>
              <w:top w:w="180" w:type="dxa"/>
              <w:left w:w="240" w:type="dxa"/>
              <w:bottom w:w="180" w:type="dxa"/>
              <w:right w:w="240" w:type="dxa"/>
            </w:tcMar>
            <w:vAlign w:val="center"/>
          </w:tcPr>
          <w:p>
            <w:pPr>
              <w:keepNext w:val="0"/>
              <w:keepLines w:val="0"/>
              <w:widowControl/>
              <w:suppressLineNumbers w:val="0"/>
              <w:spacing w:before="0" w:beforeAutospacing="0" w:after="0" w:afterAutospacing="0"/>
              <w:ind w:left="0" w:right="0"/>
              <w:jc w:val="center"/>
              <w:rPr>
                <w:rFonts w:hint="eastAsia" w:ascii="仿宋" w:hAnsi="仿宋" w:eastAsia="仿宋" w:cs="仿宋"/>
                <w:b/>
                <w:bCs/>
                <w:i w:val="0"/>
                <w:iCs w:val="0"/>
                <w:caps w:val="0"/>
                <w:color w:val="auto"/>
                <w:spacing w:val="0"/>
                <w:sz w:val="28"/>
                <w:szCs w:val="28"/>
              </w:rPr>
            </w:pPr>
            <w:r>
              <w:rPr>
                <w:rFonts w:hint="eastAsia" w:ascii="仿宋" w:hAnsi="仿宋" w:eastAsia="仿宋" w:cs="仿宋"/>
                <w:b/>
                <w:bCs/>
                <w:i w:val="0"/>
                <w:iCs w:val="0"/>
                <w:caps w:val="0"/>
                <w:color w:val="auto"/>
                <w:spacing w:val="0"/>
                <w:kern w:val="0"/>
                <w:sz w:val="28"/>
                <w:szCs w:val="28"/>
                <w:lang w:val="en-US" w:eastAsia="zh-CN" w:bidi="ar"/>
              </w:rPr>
              <w:t>序号</w:t>
            </w:r>
          </w:p>
        </w:tc>
        <w:tc>
          <w:tcPr>
            <w:tcW w:w="0" w:type="auto"/>
            <w:shd w:val="clear" w:color="auto" w:fill="auto"/>
            <w:noWrap/>
            <w:tcMar>
              <w:top w:w="180" w:type="dxa"/>
              <w:left w:w="240" w:type="dxa"/>
              <w:bottom w:w="180" w:type="dxa"/>
              <w:right w:w="240" w:type="dxa"/>
            </w:tcMar>
            <w:vAlign w:val="center"/>
          </w:tcPr>
          <w:p>
            <w:pPr>
              <w:keepNext w:val="0"/>
              <w:keepLines w:val="0"/>
              <w:widowControl/>
              <w:suppressLineNumbers w:val="0"/>
              <w:spacing w:before="0" w:beforeAutospacing="0" w:after="0" w:afterAutospacing="0"/>
              <w:ind w:left="0" w:right="0"/>
              <w:jc w:val="center"/>
              <w:rPr>
                <w:rFonts w:hint="eastAsia" w:ascii="仿宋" w:hAnsi="仿宋" w:eastAsia="仿宋" w:cs="仿宋"/>
                <w:b/>
                <w:bCs/>
                <w:i w:val="0"/>
                <w:iCs w:val="0"/>
                <w:caps w:val="0"/>
                <w:color w:val="auto"/>
                <w:spacing w:val="0"/>
                <w:sz w:val="28"/>
                <w:szCs w:val="28"/>
              </w:rPr>
            </w:pPr>
            <w:r>
              <w:rPr>
                <w:rFonts w:hint="eastAsia" w:ascii="仿宋" w:hAnsi="仿宋" w:eastAsia="仿宋" w:cs="仿宋"/>
                <w:b/>
                <w:bCs/>
                <w:i w:val="0"/>
                <w:iCs w:val="0"/>
                <w:caps w:val="0"/>
                <w:color w:val="auto"/>
                <w:spacing w:val="0"/>
                <w:kern w:val="0"/>
                <w:sz w:val="28"/>
                <w:szCs w:val="28"/>
                <w:lang w:val="en-US" w:eastAsia="zh-CN" w:bidi="ar"/>
              </w:rPr>
              <w:t>技术指标</w:t>
            </w:r>
          </w:p>
        </w:tc>
        <w:tc>
          <w:tcPr>
            <w:tcW w:w="0" w:type="auto"/>
            <w:shd w:val="clear" w:color="auto" w:fill="auto"/>
            <w:noWrap/>
            <w:tcMar>
              <w:top w:w="180" w:type="dxa"/>
              <w:left w:w="240" w:type="dxa"/>
              <w:bottom w:w="180" w:type="dxa"/>
              <w:right w:w="240" w:type="dxa"/>
            </w:tcMar>
            <w:vAlign w:val="center"/>
          </w:tcPr>
          <w:p>
            <w:pPr>
              <w:keepNext w:val="0"/>
              <w:keepLines w:val="0"/>
              <w:widowControl/>
              <w:suppressLineNumbers w:val="0"/>
              <w:spacing w:before="0" w:beforeAutospacing="0" w:after="0" w:afterAutospacing="0"/>
              <w:ind w:left="0" w:right="0"/>
              <w:jc w:val="center"/>
              <w:rPr>
                <w:rFonts w:hint="eastAsia" w:ascii="仿宋" w:hAnsi="仿宋" w:eastAsia="仿宋" w:cs="仿宋"/>
                <w:b/>
                <w:bCs/>
                <w:i w:val="0"/>
                <w:iCs w:val="0"/>
                <w:caps w:val="0"/>
                <w:color w:val="auto"/>
                <w:spacing w:val="0"/>
                <w:sz w:val="28"/>
                <w:szCs w:val="28"/>
              </w:rPr>
            </w:pPr>
            <w:r>
              <w:rPr>
                <w:rFonts w:hint="eastAsia" w:ascii="仿宋" w:hAnsi="仿宋" w:eastAsia="仿宋" w:cs="仿宋"/>
                <w:b/>
                <w:bCs/>
                <w:i w:val="0"/>
                <w:iCs w:val="0"/>
                <w:caps w:val="0"/>
                <w:color w:val="auto"/>
                <w:spacing w:val="0"/>
                <w:kern w:val="0"/>
                <w:sz w:val="28"/>
                <w:szCs w:val="28"/>
                <w:lang w:val="en-US" w:eastAsia="zh-CN" w:bidi="ar"/>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1</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三维激光数据采集</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both"/>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采用专业3D激光扫描仪进行数据采集，生成3D漫游（裸眼3D）；采集点位密度≥ </w:t>
            </w:r>
            <w:r>
              <w:rPr>
                <w:rStyle w:val="14"/>
                <w:rFonts w:hint="eastAsia" w:ascii="仿宋" w:hAnsi="仿宋" w:eastAsia="仿宋" w:cs="仿宋"/>
                <w:i w:val="0"/>
                <w:iCs w:val="0"/>
                <w:caps w:val="0"/>
                <w:color w:val="auto"/>
                <w:spacing w:val="0"/>
                <w:kern w:val="0"/>
                <w:sz w:val="28"/>
                <w:szCs w:val="28"/>
                <w:lang w:val="en-US" w:eastAsia="zh-CN" w:bidi="ar"/>
              </w:rPr>
              <w:t>15个</w:t>
            </w:r>
            <w:r>
              <w:rPr>
                <w:rFonts w:hint="eastAsia" w:ascii="仿宋" w:hAnsi="仿宋" w:eastAsia="仿宋" w:cs="仿宋"/>
                <w:i w:val="0"/>
                <w:iCs w:val="0"/>
                <w:caps w:val="0"/>
                <w:color w:val="auto"/>
                <w:spacing w:val="0"/>
                <w:kern w:val="0"/>
                <w:sz w:val="28"/>
                <w:szCs w:val="28"/>
                <w:lang w:val="en-US" w:eastAsia="zh-CN" w:bidi="ar"/>
              </w:rPr>
              <w:t>/100㎡，保证现场信息清晰可见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2</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三维模型重建与展品数字化交互</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both"/>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展品展示交互热点≥ </w:t>
            </w:r>
            <w:r>
              <w:rPr>
                <w:rStyle w:val="14"/>
                <w:rFonts w:hint="eastAsia" w:ascii="仿宋" w:hAnsi="仿宋" w:eastAsia="仿宋" w:cs="仿宋"/>
                <w:i w:val="0"/>
                <w:iCs w:val="0"/>
                <w:caps w:val="0"/>
                <w:color w:val="auto"/>
                <w:spacing w:val="0"/>
                <w:kern w:val="0"/>
                <w:sz w:val="28"/>
                <w:szCs w:val="28"/>
                <w:lang w:val="en-US" w:eastAsia="zh-CN" w:bidi="ar"/>
              </w:rPr>
              <w:t>100个</w:t>
            </w:r>
            <w:r>
              <w:rPr>
                <w:rFonts w:hint="eastAsia" w:ascii="仿宋" w:hAnsi="仿宋" w:eastAsia="仿宋" w:cs="仿宋"/>
                <w:i w:val="0"/>
                <w:iCs w:val="0"/>
                <w:caps w:val="0"/>
                <w:color w:val="auto"/>
                <w:spacing w:val="0"/>
                <w:kern w:val="0"/>
                <w:sz w:val="28"/>
                <w:szCs w:val="28"/>
                <w:lang w:val="en-US" w:eastAsia="zh-CN" w:bidi="ar"/>
              </w:rPr>
              <w:t>，支持文字、音频、图片、视频等交互方式；多模态导览（模型态视角、参观路线、核心看点导览、重点展品列表）；智能讲解（从整体空间视角出发，对展馆整体结构、功能布局及核心亮点进行讲解）；支持为展品绑定定制化人声讲解，通过二维码扫码触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3</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基础虚拟漫游功能开发与部署</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both"/>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提供3D步进式漫游视效，有方向感、全局感和参观逻辑顺序；全景图像分辨率≥ </w:t>
            </w:r>
            <w:r>
              <w:rPr>
                <w:rStyle w:val="14"/>
                <w:rFonts w:hint="eastAsia" w:ascii="仿宋" w:hAnsi="仿宋" w:eastAsia="仿宋" w:cs="仿宋"/>
                <w:i w:val="0"/>
                <w:iCs w:val="0"/>
                <w:caps w:val="0"/>
                <w:color w:val="auto"/>
                <w:spacing w:val="0"/>
                <w:kern w:val="0"/>
                <w:sz w:val="28"/>
                <w:szCs w:val="28"/>
                <w:lang w:val="en-US" w:eastAsia="zh-CN" w:bidi="ar"/>
              </w:rPr>
              <w:t>24000×16000</w:t>
            </w:r>
            <w:r>
              <w:rPr>
                <w:rFonts w:hint="eastAsia" w:ascii="仿宋" w:hAnsi="仿宋" w:eastAsia="仿宋" w:cs="仿宋"/>
                <w:i w:val="0"/>
                <w:iCs w:val="0"/>
                <w:caps w:val="0"/>
                <w:color w:val="auto"/>
                <w:spacing w:val="0"/>
                <w:kern w:val="0"/>
                <w:sz w:val="28"/>
                <w:szCs w:val="28"/>
                <w:lang w:val="en-US" w:eastAsia="zh-CN" w:bidi="ar"/>
              </w:rPr>
              <w:t>，可达3亿像素超高清全景画质，支持 </w:t>
            </w:r>
            <w:r>
              <w:rPr>
                <w:rStyle w:val="14"/>
                <w:rFonts w:hint="eastAsia" w:ascii="仿宋" w:hAnsi="仿宋" w:eastAsia="仿宋" w:cs="仿宋"/>
                <w:i w:val="0"/>
                <w:iCs w:val="0"/>
                <w:caps w:val="0"/>
                <w:color w:val="auto"/>
                <w:spacing w:val="0"/>
                <w:kern w:val="0"/>
                <w:sz w:val="28"/>
                <w:szCs w:val="28"/>
                <w:lang w:val="en-US" w:eastAsia="zh-CN" w:bidi="ar"/>
              </w:rPr>
              <w:t>8倍</w:t>
            </w:r>
            <w:r>
              <w:rPr>
                <w:rFonts w:hint="eastAsia" w:ascii="仿宋" w:hAnsi="仿宋" w:eastAsia="仿宋" w:cs="仿宋"/>
                <w:i w:val="0"/>
                <w:iCs w:val="0"/>
                <w:caps w:val="0"/>
                <w:color w:val="auto"/>
                <w:spacing w:val="0"/>
                <w:kern w:val="0"/>
                <w:sz w:val="28"/>
                <w:szCs w:val="28"/>
                <w:lang w:val="en-US" w:eastAsia="zh-CN" w:bidi="ar"/>
              </w:rPr>
              <w:t> 放缩；全景拼接</w:t>
            </w:r>
            <w:r>
              <w:rPr>
                <w:rStyle w:val="14"/>
                <w:rFonts w:hint="eastAsia" w:ascii="仿宋" w:hAnsi="仿宋" w:eastAsia="仿宋" w:cs="仿宋"/>
                <w:i w:val="0"/>
                <w:iCs w:val="0"/>
                <w:caps w:val="0"/>
                <w:color w:val="auto"/>
                <w:spacing w:val="0"/>
                <w:kern w:val="0"/>
                <w:sz w:val="28"/>
                <w:szCs w:val="28"/>
                <w:lang w:val="en-US" w:eastAsia="zh-CN" w:bidi="ar"/>
              </w:rPr>
              <w:t>无错位、无鬼影</w:t>
            </w:r>
            <w:r>
              <w:rPr>
                <w:rFonts w:hint="eastAsia" w:ascii="仿宋" w:hAnsi="仿宋" w:eastAsia="仿宋" w:cs="仿宋"/>
                <w:i w:val="0"/>
                <w:iCs w:val="0"/>
                <w:caps w:val="0"/>
                <w:color w:val="auto"/>
                <w:spacing w:val="0"/>
                <w:kern w:val="0"/>
                <w:sz w:val="28"/>
                <w:szCs w:val="28"/>
                <w:lang w:val="en-US" w:eastAsia="zh-CN" w:bidi="ar"/>
              </w:rPr>
              <w:t>；色彩还原符合文物真实色彩，</w:t>
            </w:r>
            <w:r>
              <w:rPr>
                <w:rStyle w:val="14"/>
                <w:rFonts w:hint="eastAsia" w:ascii="仿宋" w:hAnsi="仿宋" w:eastAsia="仿宋" w:cs="仿宋"/>
                <w:i w:val="0"/>
                <w:iCs w:val="0"/>
                <w:caps w:val="0"/>
                <w:color w:val="auto"/>
                <w:spacing w:val="0"/>
                <w:kern w:val="0"/>
                <w:sz w:val="28"/>
                <w:szCs w:val="28"/>
                <w:lang w:val="en-US" w:eastAsia="zh-CN" w:bidi="ar"/>
              </w:rPr>
              <w:t>无偏色、无反光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default" w:ascii="仿宋" w:hAnsi="仿宋" w:eastAsia="仿宋" w:cs="仿宋"/>
                <w:i w:val="0"/>
                <w:iCs w:val="0"/>
                <w:caps w:val="0"/>
                <w:color w:val="auto"/>
                <w:spacing w:val="0"/>
                <w:kern w:val="0"/>
                <w:sz w:val="28"/>
                <w:szCs w:val="28"/>
                <w:lang w:val="en-US" w:eastAsia="zh-CN" w:bidi="ar"/>
              </w:rPr>
            </w:pPr>
            <w:r>
              <w:rPr>
                <w:rFonts w:hint="eastAsia" w:ascii="仿宋" w:hAnsi="仿宋" w:eastAsia="仿宋" w:cs="仿宋"/>
                <w:i w:val="0"/>
                <w:iCs w:val="0"/>
                <w:caps w:val="0"/>
                <w:color w:val="auto"/>
                <w:spacing w:val="0"/>
                <w:kern w:val="0"/>
                <w:sz w:val="28"/>
                <w:szCs w:val="28"/>
                <w:lang w:val="en-US" w:eastAsia="zh-CN" w:bidi="ar"/>
              </w:rPr>
              <w:t>4</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kern w:val="0"/>
                <w:sz w:val="28"/>
                <w:szCs w:val="28"/>
                <w:lang w:val="en-US" w:eastAsia="zh-CN" w:bidi="ar"/>
              </w:rPr>
            </w:pPr>
            <w:r>
              <w:rPr>
                <w:rFonts w:hint="eastAsia" w:ascii="仿宋" w:hAnsi="仿宋" w:eastAsia="仿宋" w:cs="仿宋"/>
                <w:color w:val="auto"/>
                <w:kern w:val="0"/>
                <w:sz w:val="28"/>
                <w:szCs w:val="28"/>
                <w:lang w:val="en-US" w:eastAsia="zh-CN" w:bidi="ar"/>
              </w:rPr>
              <w:t>系统程序代码嵌入集成</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both"/>
              <w:textAlignment w:val="top"/>
              <w:rPr>
                <w:rFonts w:hint="eastAsia" w:ascii="仿宋" w:hAnsi="仿宋" w:eastAsia="仿宋" w:cs="仿宋"/>
                <w:i w:val="0"/>
                <w:iCs w:val="0"/>
                <w:caps w:val="0"/>
                <w:color w:val="auto"/>
                <w:spacing w:val="0"/>
                <w:kern w:val="0"/>
                <w:sz w:val="28"/>
                <w:szCs w:val="28"/>
                <w:lang w:val="en-US" w:eastAsia="zh-CN" w:bidi="ar"/>
              </w:rPr>
            </w:pPr>
            <w:r>
              <w:rPr>
                <w:rFonts w:hint="eastAsia" w:ascii="仿宋" w:hAnsi="仿宋" w:eastAsia="仿宋" w:cs="仿宋"/>
                <w:i w:val="0"/>
                <w:iCs w:val="0"/>
                <w:caps w:val="0"/>
                <w:color w:val="auto"/>
                <w:spacing w:val="0"/>
                <w:kern w:val="0"/>
                <w:sz w:val="28"/>
                <w:szCs w:val="28"/>
                <w:lang w:val="en-US" w:eastAsia="zh-CN" w:bidi="ar"/>
              </w:rPr>
              <w:t>提供嵌入代码，支持嵌入官网或小程序；提供离线包部署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5</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center"/>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二维码语音导览讲解服务</w:t>
            </w:r>
          </w:p>
        </w:tc>
        <w:tc>
          <w:tcPr>
            <w:tcW w:w="0" w:type="auto"/>
            <w:shd w:val="clear" w:color="auto" w:fill="auto"/>
            <w:tcMar>
              <w:top w:w="165" w:type="dxa"/>
              <w:left w:w="240" w:type="dxa"/>
              <w:bottom w:w="165" w:type="dxa"/>
              <w:right w:w="240" w:type="dxa"/>
            </w:tcMar>
            <w:vAlign w:val="center"/>
          </w:tcPr>
          <w:p>
            <w:pPr>
              <w:keepNext w:val="0"/>
              <w:keepLines w:val="0"/>
              <w:widowControl/>
              <w:suppressLineNumbers w:val="0"/>
              <w:spacing w:before="0" w:beforeAutospacing="0" w:after="0" w:afterAutospacing="0" w:line="24" w:lineRule="atLeast"/>
              <w:ind w:left="0" w:right="0"/>
              <w:jc w:val="both"/>
              <w:textAlignment w:val="top"/>
              <w:rPr>
                <w:rFonts w:hint="eastAsia" w:ascii="仿宋" w:hAnsi="仿宋" w:eastAsia="仿宋" w:cs="仿宋"/>
                <w:i w:val="0"/>
                <w:iCs w:val="0"/>
                <w:caps w:val="0"/>
                <w:color w:val="auto"/>
                <w:spacing w:val="0"/>
                <w:sz w:val="28"/>
                <w:szCs w:val="28"/>
              </w:rPr>
            </w:pPr>
            <w:r>
              <w:rPr>
                <w:rFonts w:hint="eastAsia" w:ascii="仿宋" w:hAnsi="仿宋" w:eastAsia="仿宋" w:cs="仿宋"/>
                <w:i w:val="0"/>
                <w:iCs w:val="0"/>
                <w:caps w:val="0"/>
                <w:color w:val="auto"/>
                <w:spacing w:val="0"/>
                <w:kern w:val="0"/>
                <w:sz w:val="28"/>
                <w:szCs w:val="28"/>
                <w:lang w:val="en-US" w:eastAsia="zh-CN" w:bidi="ar"/>
              </w:rPr>
              <w:t>支持为展品绑定定制化人声讲解，通过后台编程生成唯一识别的二维码，市民扫码后即可触发对应的人声语音讲解</w:t>
            </w:r>
          </w:p>
        </w:tc>
      </w:tr>
    </w:tbl>
    <w:p>
      <w:pPr>
        <w:spacing w:line="560" w:lineRule="exact"/>
        <w:ind w:firstLine="640" w:firstLineChars="200"/>
        <w:jc w:val="both"/>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w:t>
      </w:r>
      <w:r>
        <w:rPr>
          <w:rFonts w:hint="eastAsia" w:ascii="仿宋_GB2312" w:hAnsi="仿宋" w:eastAsia="仿宋_GB2312" w:cs="仿宋"/>
          <w:color w:val="auto"/>
          <w:sz w:val="32"/>
          <w:szCs w:val="32"/>
          <w:highlight w:val="none"/>
          <w:lang w:val="en-US" w:eastAsia="zh-CN"/>
        </w:rPr>
        <w:t>三</w:t>
      </w:r>
      <w:r>
        <w:rPr>
          <w:rFonts w:hint="eastAsia" w:ascii="仿宋_GB2312" w:hAnsi="仿宋" w:eastAsia="仿宋_GB2312" w:cs="仿宋"/>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其他</w:t>
      </w:r>
      <w:r>
        <w:rPr>
          <w:rFonts w:hint="eastAsia" w:ascii="楷体_GB2312" w:hAnsi="楷体_GB2312" w:eastAsia="楷体_GB2312" w:cs="楷体_GB2312"/>
          <w:color w:val="auto"/>
          <w:sz w:val="32"/>
          <w:szCs w:val="32"/>
          <w:highlight w:val="none"/>
        </w:rPr>
        <w:t>要求</w:t>
      </w:r>
    </w:p>
    <w:p>
      <w:pPr>
        <w:widowControl/>
        <w:tabs>
          <w:tab w:val="left" w:pos="1820"/>
        </w:tabs>
        <w:snapToGrid w:val="0"/>
        <w:spacing w:line="560" w:lineRule="exact"/>
        <w:ind w:firstLine="640" w:firstLineChars="200"/>
        <w:jc w:val="both"/>
        <w:rPr>
          <w:rFonts w:hint="eastAsia" w:ascii="仿宋_GB2312" w:hAnsi="仿宋_GB2312" w:eastAsia="仿宋_GB2312" w:cs="仿宋_GB2312"/>
          <w:color w:val="auto"/>
          <w:sz w:val="32"/>
          <w:szCs w:val="36"/>
          <w:highlight w:val="none"/>
          <w:lang w:bidi="ar"/>
        </w:rPr>
      </w:pPr>
      <w:r>
        <w:rPr>
          <w:rFonts w:hint="eastAsia" w:ascii="仿宋_GB2312" w:hAnsi="仿宋_GB2312" w:eastAsia="仿宋_GB2312" w:cs="仿宋_GB2312"/>
          <w:color w:val="auto"/>
          <w:sz w:val="32"/>
          <w:szCs w:val="36"/>
          <w:highlight w:val="none"/>
          <w:lang w:bidi="ar"/>
        </w:rPr>
        <w:t>被委托方需在2026年</w:t>
      </w:r>
      <w:r>
        <w:rPr>
          <w:rFonts w:hint="eastAsia" w:ascii="仿宋_GB2312" w:hAnsi="仿宋_GB2312" w:eastAsia="仿宋_GB2312" w:cs="仿宋_GB2312"/>
          <w:color w:val="auto"/>
          <w:sz w:val="32"/>
          <w:szCs w:val="36"/>
          <w:highlight w:val="none"/>
          <w:lang w:val="en-US" w:eastAsia="zh-CN" w:bidi="ar"/>
        </w:rPr>
        <w:t>10月底前</w:t>
      </w:r>
      <w:r>
        <w:rPr>
          <w:rFonts w:hint="eastAsia" w:ascii="仿宋_GB2312" w:hAnsi="仿宋_GB2312" w:eastAsia="仿宋_GB2312" w:cs="仿宋_GB2312"/>
          <w:color w:val="auto"/>
          <w:sz w:val="32"/>
          <w:szCs w:val="36"/>
          <w:highlight w:val="none"/>
          <w:lang w:bidi="ar"/>
        </w:rPr>
        <w:t>完成该项目，并在完成时出具书面及电子结项报告。</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lang w:eastAsia="zh-CN"/>
        </w:rPr>
        <w:t>四、报价限额</w:t>
      </w:r>
    </w:p>
    <w:p>
      <w:pPr>
        <w:spacing w:line="560" w:lineRule="exact"/>
        <w:ind w:firstLine="960" w:firstLineChars="3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6"/>
          <w:highlight w:val="none"/>
          <w:lang w:val="en-US" w:eastAsia="zh-CN"/>
        </w:rPr>
        <w:t>8</w:t>
      </w:r>
      <w:r>
        <w:rPr>
          <w:rFonts w:hint="eastAsia" w:ascii="仿宋_GB2312" w:hAnsi="仿宋_GB2312" w:eastAsia="仿宋_GB2312" w:cs="仿宋_GB2312"/>
          <w:color w:val="auto"/>
          <w:sz w:val="32"/>
          <w:szCs w:val="36"/>
          <w:highlight w:val="none"/>
          <w:lang w:eastAsia="zh-CN"/>
        </w:rPr>
        <w:t>万元，</w:t>
      </w:r>
      <w:r>
        <w:rPr>
          <w:rFonts w:hint="eastAsia" w:ascii="仿宋_GB2312" w:hAnsi="仿宋_GB2312" w:eastAsia="仿宋_GB2312" w:cs="仿宋_GB2312"/>
          <w:b/>
          <w:bCs/>
          <w:color w:val="auto"/>
          <w:sz w:val="32"/>
          <w:szCs w:val="32"/>
          <w:highlight w:val="none"/>
          <w:lang w:eastAsia="zh-CN"/>
        </w:rPr>
        <w:t>项目报价表</w:t>
      </w:r>
      <w:r>
        <w:rPr>
          <w:rFonts w:hint="eastAsia" w:ascii="仿宋_GB2312" w:hAnsi="仿宋_GB2312" w:eastAsia="仿宋_GB2312" w:cs="仿宋_GB2312"/>
          <w:color w:val="auto"/>
          <w:sz w:val="32"/>
          <w:szCs w:val="32"/>
          <w:highlight w:val="none"/>
        </w:rPr>
        <w:t>需</w:t>
      </w:r>
      <w:r>
        <w:rPr>
          <w:rFonts w:hint="eastAsia" w:ascii="仿宋_GB2312" w:hAnsi="仿宋_GB2312" w:eastAsia="仿宋_GB2312" w:cs="仿宋_GB2312"/>
          <w:color w:val="auto"/>
          <w:sz w:val="32"/>
          <w:szCs w:val="32"/>
          <w:highlight w:val="none"/>
          <w:lang w:eastAsia="zh-CN"/>
        </w:rPr>
        <w:t>按格式提供，与下表</w:t>
      </w:r>
      <w:r>
        <w:rPr>
          <w:rFonts w:hint="eastAsia" w:ascii="仿宋_GB2312" w:hAnsi="仿宋_GB2312" w:eastAsia="仿宋_GB2312" w:cs="仿宋_GB2312"/>
          <w:color w:val="auto"/>
          <w:sz w:val="32"/>
          <w:szCs w:val="32"/>
          <w:highlight w:val="none"/>
        </w:rPr>
        <w:t>保持一致</w:t>
      </w:r>
      <w:r>
        <w:rPr>
          <w:rFonts w:hint="eastAsia" w:ascii="仿宋_GB2312" w:hAnsi="仿宋_GB2312" w:eastAsia="仿宋_GB2312" w:cs="仿宋_GB2312"/>
          <w:color w:val="auto"/>
          <w:sz w:val="32"/>
          <w:szCs w:val="32"/>
          <w:highlight w:val="none"/>
          <w:lang w:eastAsia="zh-CN"/>
        </w:rPr>
        <w:t>：</w:t>
      </w:r>
    </w:p>
    <w:tbl>
      <w:tblPr>
        <w:tblStyle w:val="13"/>
        <w:tblW w:w="9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2283"/>
        <w:gridCol w:w="883"/>
        <w:gridCol w:w="934"/>
        <w:gridCol w:w="4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4" w:type="dxa"/>
            <w:gridSpan w:val="5"/>
            <w:noWrap w:val="0"/>
            <w:vAlign w:val="top"/>
          </w:tcPr>
          <w:p>
            <w:pPr>
              <w:pStyle w:val="8"/>
              <w:spacing w:after="0" w:line="560" w:lineRule="exact"/>
              <w:ind w:left="0" w:leftChars="0" w:right="0" w:rightChars="0" w:firstLine="0" w:firstLineChars="0"/>
              <w:jc w:val="center"/>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2026年中国文化名人大营救纪念馆云端数字化展陈项目</w:t>
            </w:r>
          </w:p>
          <w:p>
            <w:pPr>
              <w:pStyle w:val="8"/>
              <w:spacing w:after="0" w:line="560" w:lineRule="exact"/>
              <w:ind w:left="0" w:leftChars="0" w:right="0" w:rightChars="0" w:firstLine="0" w:firstLineChars="0"/>
              <w:jc w:val="center"/>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pPr>
              <w:pStyle w:val="8"/>
              <w:spacing w:after="0" w:line="560" w:lineRule="exact"/>
              <w:ind w:left="0" w:leftChars="0" w:right="0" w:rightChars="0" w:firstLine="0" w:firstLineChars="0"/>
              <w:jc w:val="both"/>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序号</w:t>
            </w:r>
          </w:p>
        </w:tc>
        <w:tc>
          <w:tcPr>
            <w:tcW w:w="2283" w:type="dxa"/>
            <w:noWrap w:val="0"/>
            <w:vAlign w:val="top"/>
          </w:tcPr>
          <w:p>
            <w:pPr>
              <w:pStyle w:val="8"/>
              <w:spacing w:after="0" w:line="560" w:lineRule="exact"/>
              <w:ind w:left="0" w:leftChars="0" w:right="0" w:rightChars="0" w:firstLine="0" w:firstLineChars="0"/>
              <w:jc w:val="both"/>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内容</w:t>
            </w:r>
          </w:p>
        </w:tc>
        <w:tc>
          <w:tcPr>
            <w:tcW w:w="883" w:type="dxa"/>
            <w:noWrap w:val="0"/>
            <w:vAlign w:val="top"/>
          </w:tcPr>
          <w:p>
            <w:pPr>
              <w:pStyle w:val="8"/>
              <w:spacing w:after="0" w:line="560" w:lineRule="exact"/>
              <w:ind w:left="0" w:leftChars="0" w:right="0" w:rightChars="0" w:firstLine="0" w:firstLineChars="0"/>
              <w:jc w:val="both"/>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单位</w:t>
            </w:r>
          </w:p>
        </w:tc>
        <w:tc>
          <w:tcPr>
            <w:tcW w:w="934" w:type="dxa"/>
            <w:noWrap w:val="0"/>
            <w:vAlign w:val="top"/>
          </w:tcPr>
          <w:p>
            <w:pPr>
              <w:pStyle w:val="8"/>
              <w:spacing w:after="0" w:line="560" w:lineRule="exact"/>
              <w:ind w:left="0" w:leftChars="0" w:right="0" w:rightChars="0" w:firstLine="0" w:firstLineChars="0"/>
              <w:jc w:val="both"/>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数量</w:t>
            </w:r>
          </w:p>
        </w:tc>
        <w:tc>
          <w:tcPr>
            <w:tcW w:w="4072" w:type="dxa"/>
            <w:noWrap w:val="0"/>
            <w:vAlign w:val="top"/>
          </w:tcPr>
          <w:p>
            <w:pPr>
              <w:pStyle w:val="8"/>
              <w:spacing w:after="0" w:line="560" w:lineRule="exact"/>
              <w:ind w:left="0" w:leftChars="0" w:right="0" w:rightChars="0" w:firstLine="0" w:firstLineChars="0"/>
              <w:jc w:val="both"/>
              <w:rPr>
                <w:rFonts w:hint="eastAsia" w:ascii="仿宋_GB2312" w:hAnsi="仿宋_GB2312" w:eastAsia="仿宋_GB2312" w:cs="仿宋_GB2312"/>
                <w:color w:val="auto"/>
                <w:sz w:val="32"/>
                <w:szCs w:val="32"/>
                <w:highlight w:val="none"/>
                <w:vertAlign w:val="baseline"/>
                <w:lang w:eastAsia="zh-CN"/>
              </w:rPr>
            </w:pPr>
            <w:r>
              <w:rPr>
                <w:rFonts w:hint="eastAsia" w:ascii="仿宋_GB2312" w:hAnsi="仿宋_GB2312" w:eastAsia="仿宋_GB2312" w:cs="仿宋_GB2312"/>
                <w:color w:val="auto"/>
                <w:sz w:val="32"/>
                <w:szCs w:val="32"/>
                <w:highlight w:val="none"/>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r>
              <w:rPr>
                <w:rFonts w:hint="eastAsia" w:ascii="仿宋" w:hAnsi="仿宋" w:eastAsia="仿宋" w:cs="仿宋"/>
                <w:color w:val="auto"/>
                <w:kern w:val="0"/>
                <w:sz w:val="28"/>
                <w:szCs w:val="28"/>
                <w:vertAlign w:val="baseline"/>
                <w:lang w:val="en-US" w:eastAsia="zh-CN" w:bidi="ar"/>
              </w:rPr>
              <w:t>1</w:t>
            </w:r>
          </w:p>
        </w:tc>
        <w:tc>
          <w:tcPr>
            <w:tcW w:w="22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激光三维数据</w:t>
            </w: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lang w:val="en-US" w:eastAsia="zh-CN" w:bidi="ar"/>
              </w:rPr>
              <w:t>采集</w:t>
            </w:r>
          </w:p>
        </w:tc>
        <w:tc>
          <w:tcPr>
            <w:tcW w:w="8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项</w:t>
            </w:r>
          </w:p>
        </w:tc>
        <w:tc>
          <w:tcPr>
            <w:tcW w:w="934"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val="en-US" w:eastAsia="zh-CN" w:bidi="ar"/>
              </w:rPr>
              <w:t>1</w:t>
            </w:r>
          </w:p>
        </w:tc>
        <w:tc>
          <w:tcPr>
            <w:tcW w:w="4072" w:type="dxa"/>
            <w:noWrap w:val="0"/>
            <w:vAlign w:val="top"/>
          </w:tcPr>
          <w:p>
            <w:pPr>
              <w:widowControl/>
              <w:spacing w:after="0" w:line="24" w:lineRule="atLeast"/>
              <w:ind w:right="0" w:rightChars="0"/>
              <w:jc w:val="both"/>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专业摄影上门采集，采用3D激光扫描仪进行数据采集；生成3D漫游（裸眼3D）；高密度强化采集效果，不低于15个点位/100㎡，保证现场信息清晰可见。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2"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r>
              <w:rPr>
                <w:rFonts w:hint="eastAsia" w:ascii="仿宋" w:hAnsi="仿宋" w:eastAsia="仿宋" w:cs="仿宋"/>
                <w:color w:val="auto"/>
                <w:kern w:val="0"/>
                <w:sz w:val="28"/>
                <w:szCs w:val="28"/>
                <w:vertAlign w:val="baseline"/>
                <w:lang w:val="en-US" w:eastAsia="zh-CN" w:bidi="ar"/>
              </w:rPr>
              <w:t>2</w:t>
            </w:r>
          </w:p>
        </w:tc>
        <w:tc>
          <w:tcPr>
            <w:tcW w:w="22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lang w:val="en-US" w:eastAsia="zh-CN" w:bidi="ar"/>
              </w:rPr>
              <w:t>三维模型重建</w:t>
            </w:r>
          </w:p>
        </w:tc>
        <w:tc>
          <w:tcPr>
            <w:tcW w:w="8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项</w:t>
            </w:r>
          </w:p>
        </w:tc>
        <w:tc>
          <w:tcPr>
            <w:tcW w:w="934"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val="en-US" w:eastAsia="zh-CN" w:bidi="ar"/>
              </w:rPr>
              <w:t>1</w:t>
            </w:r>
          </w:p>
        </w:tc>
        <w:tc>
          <w:tcPr>
            <w:tcW w:w="4072" w:type="dxa"/>
            <w:noWrap w:val="0"/>
            <w:vAlign w:val="top"/>
          </w:tcPr>
          <w:p>
            <w:pPr>
              <w:widowControl/>
              <w:spacing w:after="0" w:line="24" w:lineRule="atLeast"/>
              <w:ind w:right="0" w:rightChars="0"/>
              <w:jc w:val="both"/>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展品展示交互（100个热点标签）：支持文字、音频、图片、视频等交互方式；多模态导览：支持模型态视角、参观路线、核心看点导览、重点展品列表；智能讲解：从整体空间视角出发，对展馆的整体结构、功能布局及核心亮点进行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r>
              <w:rPr>
                <w:rFonts w:hint="eastAsia" w:ascii="仿宋" w:hAnsi="仿宋" w:eastAsia="仿宋" w:cs="仿宋"/>
                <w:color w:val="auto"/>
                <w:kern w:val="0"/>
                <w:sz w:val="28"/>
                <w:szCs w:val="28"/>
                <w:vertAlign w:val="baseline"/>
                <w:lang w:val="en-US" w:eastAsia="zh-CN" w:bidi="ar"/>
              </w:rPr>
              <w:t>3</w:t>
            </w:r>
          </w:p>
        </w:tc>
        <w:tc>
          <w:tcPr>
            <w:tcW w:w="22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lang w:val="en-US" w:eastAsia="zh-CN" w:bidi="ar"/>
              </w:rPr>
              <w:t>基础虚拟漫游功能开发</w:t>
            </w:r>
          </w:p>
        </w:tc>
        <w:tc>
          <w:tcPr>
            <w:tcW w:w="8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项</w:t>
            </w:r>
          </w:p>
        </w:tc>
        <w:tc>
          <w:tcPr>
            <w:tcW w:w="934"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val="en-US" w:eastAsia="zh-CN" w:bidi="ar"/>
              </w:rPr>
              <w:t>1</w:t>
            </w:r>
          </w:p>
        </w:tc>
        <w:tc>
          <w:tcPr>
            <w:tcW w:w="4072" w:type="dxa"/>
            <w:noWrap w:val="0"/>
            <w:vAlign w:val="top"/>
          </w:tcPr>
          <w:p>
            <w:pPr>
              <w:widowControl/>
              <w:spacing w:after="0" w:line="24" w:lineRule="atLeast"/>
              <w:ind w:right="0" w:rightChars="0"/>
              <w:jc w:val="both"/>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3D步进式漫游视效，有方向感、全局感和参观逻辑顺序；全景图像分辨率不小于24000*16000，可达3亿像素超高清全景画质、支持8倍放缩。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pPr>
              <w:widowControl/>
              <w:spacing w:after="0" w:line="24" w:lineRule="atLeast"/>
              <w:ind w:right="0" w:rightChars="0" w:firstLine="280" w:firstLineChars="100"/>
              <w:jc w:val="both"/>
              <w:textAlignment w:val="top"/>
              <w:rPr>
                <w:rFonts w:hint="eastAsia" w:ascii="仿宋" w:hAnsi="仿宋" w:eastAsia="仿宋" w:cs="仿宋"/>
                <w:color w:val="auto"/>
                <w:kern w:val="0"/>
                <w:sz w:val="28"/>
                <w:szCs w:val="28"/>
                <w:vertAlign w:val="baseline"/>
                <w:lang w:val="en-US" w:eastAsia="zh-CN" w:bidi="ar"/>
              </w:rPr>
            </w:pPr>
            <w:r>
              <w:rPr>
                <w:rFonts w:hint="eastAsia" w:ascii="仿宋" w:hAnsi="仿宋" w:eastAsia="仿宋" w:cs="仿宋"/>
                <w:color w:val="auto"/>
                <w:kern w:val="0"/>
                <w:sz w:val="28"/>
                <w:szCs w:val="28"/>
                <w:vertAlign w:val="baseline"/>
                <w:lang w:val="en-US" w:eastAsia="zh-CN" w:bidi="ar"/>
              </w:rPr>
              <w:t>4</w:t>
            </w:r>
          </w:p>
        </w:tc>
        <w:tc>
          <w:tcPr>
            <w:tcW w:w="22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系统程序代码</w:t>
            </w: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lang w:val="en-US" w:eastAsia="zh-CN" w:bidi="ar"/>
              </w:rPr>
              <w:t>嵌入集成</w:t>
            </w:r>
          </w:p>
        </w:tc>
        <w:tc>
          <w:tcPr>
            <w:tcW w:w="8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项</w:t>
            </w:r>
          </w:p>
        </w:tc>
        <w:tc>
          <w:tcPr>
            <w:tcW w:w="934"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val="en-US" w:eastAsia="zh-CN" w:bidi="ar"/>
              </w:rPr>
              <w:t>1</w:t>
            </w:r>
          </w:p>
        </w:tc>
        <w:tc>
          <w:tcPr>
            <w:tcW w:w="4072" w:type="dxa"/>
            <w:noWrap w:val="0"/>
            <w:vAlign w:val="top"/>
          </w:tcPr>
          <w:p>
            <w:pPr>
              <w:widowControl/>
              <w:spacing w:after="0" w:line="24" w:lineRule="atLeast"/>
              <w:ind w:right="0" w:rightChars="0"/>
              <w:jc w:val="both"/>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提供嵌入代码，支持嵌入官网或小程序；提供离线包部署。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r>
              <w:rPr>
                <w:rFonts w:hint="eastAsia" w:ascii="仿宋" w:hAnsi="仿宋" w:eastAsia="仿宋" w:cs="仿宋"/>
                <w:color w:val="auto"/>
                <w:kern w:val="0"/>
                <w:sz w:val="28"/>
                <w:szCs w:val="28"/>
                <w:vertAlign w:val="baseline"/>
                <w:lang w:val="en-US" w:eastAsia="zh-CN" w:bidi="ar"/>
              </w:rPr>
              <w:t>5</w:t>
            </w:r>
          </w:p>
        </w:tc>
        <w:tc>
          <w:tcPr>
            <w:tcW w:w="22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lang w:val="en-US" w:eastAsia="zh-CN" w:bidi="ar"/>
              </w:rPr>
              <w:t>二维码语音导览讲解服务</w:t>
            </w:r>
          </w:p>
        </w:tc>
        <w:tc>
          <w:tcPr>
            <w:tcW w:w="883"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项</w:t>
            </w:r>
          </w:p>
        </w:tc>
        <w:tc>
          <w:tcPr>
            <w:tcW w:w="934" w:type="dxa"/>
            <w:noWrap w:val="0"/>
            <w:vAlign w:val="top"/>
          </w:tcPr>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val="en-US" w:eastAsia="zh-CN" w:bidi="ar"/>
              </w:rPr>
            </w:pPr>
          </w:p>
          <w:p>
            <w:pPr>
              <w:widowControl/>
              <w:spacing w:after="0" w:line="24" w:lineRule="atLeast"/>
              <w:ind w:right="0" w:rightChars="0"/>
              <w:jc w:val="center"/>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val="en-US" w:eastAsia="zh-CN" w:bidi="ar"/>
              </w:rPr>
              <w:t>1</w:t>
            </w:r>
          </w:p>
        </w:tc>
        <w:tc>
          <w:tcPr>
            <w:tcW w:w="4072" w:type="dxa"/>
            <w:noWrap w:val="0"/>
            <w:vAlign w:val="top"/>
          </w:tcPr>
          <w:p>
            <w:pPr>
              <w:widowControl/>
              <w:spacing w:after="0" w:line="24" w:lineRule="atLeast"/>
              <w:ind w:right="0" w:rightChars="0"/>
              <w:jc w:val="both"/>
              <w:textAlignment w:val="top"/>
              <w:rPr>
                <w:rFonts w:hint="eastAsia" w:ascii="仿宋" w:hAnsi="仿宋" w:eastAsia="仿宋" w:cs="仿宋"/>
                <w:color w:val="auto"/>
                <w:kern w:val="0"/>
                <w:sz w:val="28"/>
                <w:szCs w:val="28"/>
                <w:vertAlign w:val="baseline"/>
                <w:lang w:eastAsia="zh-CN" w:bidi="ar"/>
              </w:rPr>
            </w:pPr>
            <w:r>
              <w:rPr>
                <w:rFonts w:hint="eastAsia" w:ascii="仿宋" w:hAnsi="仿宋" w:eastAsia="仿宋" w:cs="仿宋"/>
                <w:color w:val="auto"/>
                <w:kern w:val="0"/>
                <w:sz w:val="28"/>
                <w:szCs w:val="28"/>
                <w:vertAlign w:val="baseline"/>
                <w:lang w:eastAsia="zh-CN" w:bidi="ar"/>
              </w:rPr>
              <w:t>本系统支持为展品绑定定制化人声讲解，通过后台编程生成唯一识别的二维码，市民扫码后即可触发对应的人声语音讲解。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64" w:type="dxa"/>
            <w:gridSpan w:val="5"/>
            <w:noWrap w:val="0"/>
            <w:vAlign w:val="top"/>
          </w:tcPr>
          <w:p>
            <w:pPr>
              <w:widowControl/>
              <w:spacing w:after="0" w:line="560" w:lineRule="exact"/>
              <w:ind w:left="0" w:leftChars="0" w:right="0" w:rightChars="0" w:firstLine="0" w:firstLineChars="0"/>
              <w:jc w:val="both"/>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eastAsia="zh-CN"/>
              </w:rPr>
              <w:t>投标价格（万元）：</w:t>
            </w:r>
            <w:r>
              <w:rPr>
                <w:rFonts w:hint="eastAsia" w:ascii="仿宋_GB2312" w:hAnsi="仿宋_GB2312" w:eastAsia="仿宋_GB2312" w:cs="仿宋_GB2312"/>
                <w:color w:val="auto"/>
                <w:sz w:val="32"/>
                <w:szCs w:val="32"/>
                <w:highlight w:val="none"/>
                <w:vertAlign w:val="baseline"/>
                <w:lang w:val="en-US" w:eastAsia="zh-CN"/>
              </w:rPr>
              <w:t>__（</w:t>
            </w:r>
            <w:r>
              <w:rPr>
                <w:rFonts w:hint="eastAsia" w:ascii="仿宋_GB2312" w:hAnsi="仿宋_GB2312" w:eastAsia="仿宋_GB2312" w:cs="仿宋_GB2312"/>
                <w:b w:val="0"/>
                <w:bCs w:val="0"/>
                <w:color w:val="auto"/>
                <w:sz w:val="32"/>
                <w:szCs w:val="32"/>
                <w:highlight w:val="none"/>
                <w:vertAlign w:val="baseline"/>
                <w:lang w:val="en-US" w:eastAsia="zh-CN"/>
              </w:rPr>
              <w:t>以万元为单位，最多保留两位小数</w:t>
            </w:r>
            <w:r>
              <w:rPr>
                <w:rFonts w:hint="eastAsia" w:ascii="仿宋_GB2312" w:hAnsi="仿宋_GB2312" w:eastAsia="仿宋_GB2312" w:cs="仿宋_GB2312"/>
                <w:color w:val="auto"/>
                <w:sz w:val="32"/>
                <w:szCs w:val="32"/>
                <w:highlight w:val="none"/>
                <w:vertAlign w:val="baseline"/>
                <w:lang w:val="en-US" w:eastAsia="zh-CN"/>
              </w:rPr>
              <w:t>）</w:t>
            </w:r>
          </w:p>
        </w:tc>
      </w:tr>
    </w:tbl>
    <w:p>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w:t>
      </w:r>
      <w:r>
        <w:rPr>
          <w:rFonts w:hint="eastAsia" w:ascii="黑体" w:hAnsi="黑体" w:eastAsia="黑体" w:cs="黑体"/>
          <w:color w:val="auto"/>
          <w:sz w:val="32"/>
          <w:szCs w:val="32"/>
          <w:highlight w:val="none"/>
        </w:rPr>
        <w:t>供应商的资质要求</w:t>
      </w:r>
    </w:p>
    <w:p>
      <w:pPr>
        <w:widowControl/>
        <w:spacing w:line="240" w:lineRule="auto"/>
        <w:ind w:firstLine="640" w:firstLineChars="20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（一）在中国境内注册的独立法人或其他组织（提供营业执照、事业法人证书、社会团体法人登记证书等扫描件）</w:t>
      </w:r>
      <w:r>
        <w:rPr>
          <w:rFonts w:hint="eastAsia" w:ascii="仿宋_GB2312" w:hAnsi="仿宋" w:cs="仿宋"/>
          <w:color w:val="auto"/>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w:t>
      </w:r>
      <w:r>
        <w:rPr>
          <w:rFonts w:hint="eastAsia" w:ascii="仿宋_GB2312" w:hAnsi="仿宋" w:eastAsia="仿宋_GB2312" w:cs="仿宋"/>
          <w:bCs/>
          <w:color w:val="auto"/>
          <w:sz w:val="32"/>
          <w:szCs w:val="32"/>
          <w:highlight w:val="none"/>
        </w:rPr>
        <w:t>照扫描件</w:t>
      </w:r>
      <w:r>
        <w:rPr>
          <w:rFonts w:hint="eastAsia" w:ascii="仿宋_GB2312" w:hAnsi="仿宋" w:eastAsia="仿宋_GB2312" w:cs="仿宋"/>
          <w:bCs/>
          <w:color w:val="auto"/>
          <w:kern w:val="2"/>
          <w:sz w:val="32"/>
          <w:szCs w:val="32"/>
          <w:highlight w:val="none"/>
          <w:lang w:val="en-US" w:eastAsia="zh-CN" w:bidi="ar-SA"/>
        </w:rPr>
        <w:t>；</w:t>
      </w:r>
    </w:p>
    <w:p>
      <w:pPr>
        <w:pStyle w:val="16"/>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w:t>
      </w:r>
      <w:r>
        <w:rPr>
          <w:rFonts w:hint="default" w:ascii="仿宋_GB2312" w:hAnsi="仿宋" w:eastAsia="仿宋_GB2312" w:cs="仿宋"/>
          <w:color w:val="auto"/>
          <w:sz w:val="32"/>
          <w:szCs w:val="32"/>
          <w:highlight w:val="none"/>
          <w:lang w:val="en-US"/>
        </w:rPr>
        <w:t>二</w:t>
      </w:r>
      <w:r>
        <w:rPr>
          <w:rFonts w:hint="eastAsia" w:ascii="仿宋_GB2312" w:hAnsi="仿宋" w:eastAsia="仿宋_GB2312" w:cs="仿宋"/>
          <w:color w:val="auto"/>
          <w:sz w:val="32"/>
          <w:szCs w:val="32"/>
          <w:highlight w:val="none"/>
        </w:rPr>
        <w:t>）</w:t>
      </w:r>
      <w:r>
        <w:rPr>
          <w:rFonts w:hint="eastAsia" w:ascii="仿宋_GB2312" w:hAnsi="仿宋" w:cs="仿宋"/>
          <w:color w:val="auto"/>
          <w:sz w:val="32"/>
          <w:szCs w:val="32"/>
          <w:highlight w:val="none"/>
          <w:lang w:eastAsia="zh-CN"/>
        </w:rPr>
        <w:t>投标人</w:t>
      </w:r>
      <w:r>
        <w:rPr>
          <w:rFonts w:hint="eastAsia" w:ascii="仿宋_GB2312" w:hAnsi="仿宋" w:eastAsia="仿宋_GB2312" w:cs="仿宋"/>
          <w:color w:val="auto"/>
          <w:sz w:val="32"/>
          <w:szCs w:val="32"/>
          <w:highlight w:val="none"/>
        </w:rPr>
        <w:t>近三年内（成立不足三年的</w:t>
      </w:r>
      <w:r>
        <w:rPr>
          <w:rFonts w:hint="eastAsia" w:ascii="仿宋_GB2312" w:hAnsi="仿宋" w:cs="仿宋"/>
          <w:color w:val="auto"/>
          <w:sz w:val="32"/>
          <w:szCs w:val="32"/>
          <w:highlight w:val="none"/>
          <w:lang w:eastAsia="zh-CN"/>
        </w:rPr>
        <w:t>，自</w:t>
      </w:r>
      <w:r>
        <w:rPr>
          <w:rFonts w:hint="eastAsia" w:ascii="仿宋_GB2312" w:hAnsi="仿宋" w:eastAsia="仿宋_GB2312" w:cs="仿宋"/>
          <w:color w:val="auto"/>
          <w:sz w:val="32"/>
          <w:szCs w:val="32"/>
          <w:highlight w:val="none"/>
        </w:rPr>
        <w:t>成立之日起算），在经营活动中没有重大违法记录以及不存在被有关部门禁止参与政府采购活动且在有效期内的情况</w:t>
      </w:r>
      <w:r>
        <w:rPr>
          <w:rFonts w:hint="eastAsia" w:ascii="仿宋_GB2312" w:hAnsi="仿宋" w:cs="仿宋"/>
          <w:color w:val="auto"/>
          <w:sz w:val="32"/>
          <w:szCs w:val="32"/>
          <w:highlight w:val="none"/>
          <w:lang w:eastAsia="zh-CN"/>
        </w:rPr>
        <w:t>；</w:t>
      </w:r>
    </w:p>
    <w:p>
      <w:pPr>
        <w:pStyle w:val="16"/>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w:t>
      </w:r>
      <w:r>
        <w:rPr>
          <w:rFonts w:hint="default" w:ascii="仿宋_GB2312" w:hAnsi="仿宋" w:eastAsia="仿宋_GB2312" w:cs="仿宋"/>
          <w:color w:val="auto"/>
          <w:sz w:val="32"/>
          <w:szCs w:val="32"/>
          <w:highlight w:val="none"/>
          <w:lang w:val="en-US"/>
        </w:rPr>
        <w:t>三</w:t>
      </w:r>
      <w:r>
        <w:rPr>
          <w:rFonts w:hint="eastAsia" w:ascii="仿宋_GB2312" w:hAnsi="仿宋" w:eastAsia="仿宋_GB2312" w:cs="仿宋"/>
          <w:color w:val="auto"/>
          <w:sz w:val="32"/>
          <w:szCs w:val="32"/>
          <w:highlight w:val="none"/>
        </w:rPr>
        <w:t>）</w:t>
      </w:r>
      <w:r>
        <w:rPr>
          <w:rFonts w:hint="eastAsia" w:ascii="仿宋_GB2312" w:hAnsi="仿宋" w:eastAsia="仿宋_GB2312" w:cs="仿宋"/>
          <w:bCs/>
          <w:color w:val="auto"/>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color w:val="auto"/>
          <w:kern w:val="2"/>
          <w:sz w:val="32"/>
          <w:szCs w:val="32"/>
          <w:highlight w:val="none"/>
          <w:lang w:val="en-US" w:eastAsia="zh-CN" w:bidi="ar-SA"/>
        </w:rPr>
        <w:t>也不得隶属</w:t>
      </w:r>
      <w:r>
        <w:rPr>
          <w:rFonts w:hint="eastAsia" w:ascii="仿宋_GB2312" w:hAnsi="仿宋" w:eastAsia="仿宋_GB2312" w:cs="仿宋"/>
          <w:bCs/>
          <w:color w:val="auto"/>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color w:val="auto"/>
          <w:sz w:val="32"/>
          <w:szCs w:val="32"/>
          <w:highlight w:val="none"/>
        </w:rPr>
        <w:t>，不得同时参加本项目的采购活动</w:t>
      </w:r>
      <w:r>
        <w:rPr>
          <w:rFonts w:hint="eastAsia" w:ascii="仿宋_GB2312" w:hAnsi="仿宋" w:cs="仿宋"/>
          <w:color w:val="auto"/>
          <w:sz w:val="32"/>
          <w:szCs w:val="32"/>
          <w:highlight w:val="none"/>
          <w:lang w:eastAsia="zh-CN"/>
        </w:rPr>
        <w:t>。</w:t>
      </w:r>
    </w:p>
    <w:p>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六、选定供应商方法</w:t>
      </w:r>
    </w:p>
    <w:p>
      <w:pPr>
        <w:spacing w:line="560" w:lineRule="exact"/>
        <w:ind w:firstLine="640" w:firstLineChars="200"/>
        <w:jc w:val="both"/>
        <w:rPr>
          <w:rFonts w:hint="eastAsia" w:ascii="仿宋_GB2312" w:hAnsi="仿宋" w:eastAsia="仿宋_GB2312"/>
          <w:color w:val="auto"/>
          <w:sz w:val="32"/>
          <w:highlight w:val="none"/>
          <w:lang w:val="en-US" w:eastAsia="zh-CN"/>
        </w:rPr>
      </w:pPr>
      <w:r>
        <w:rPr>
          <w:rFonts w:hint="eastAsia" w:ascii="仿宋_GB2312" w:hAnsi="仿宋" w:eastAsia="仿宋_GB2312"/>
          <w:color w:val="auto"/>
          <w:sz w:val="32"/>
          <w:highlight w:val="none"/>
        </w:rPr>
        <w:t>综合评分法</w:t>
      </w:r>
    </w:p>
    <w:p>
      <w:pPr>
        <w:keepNext w:val="0"/>
        <w:keepLines w:val="0"/>
        <w:pageBreakBefore w:val="0"/>
        <w:widowControl w:val="0"/>
        <w:snapToGrid/>
        <w:spacing w:line="560" w:lineRule="exact"/>
        <w:ind w:firstLine="640" w:firstLineChars="200"/>
        <w:jc w:val="both"/>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七、评分要求</w:t>
      </w:r>
      <w:r>
        <w:rPr>
          <w:rFonts w:hint="eastAsia" w:ascii="黑体" w:hAnsi="黑体" w:eastAsia="黑体" w:cs="黑体"/>
          <w:color w:val="auto"/>
          <w:sz w:val="32"/>
          <w:szCs w:val="32"/>
          <w:highlight w:val="none"/>
          <w:lang w:eastAsia="zh-CN"/>
        </w:rPr>
        <w:t>（采取综合评分法适用）</w:t>
      </w:r>
    </w:p>
    <w:p>
      <w:pPr>
        <w:pStyle w:val="18"/>
        <w:spacing w:line="560" w:lineRule="exact"/>
        <w:ind w:firstLine="640" w:firstLineChars="200"/>
        <w:jc w:val="both"/>
        <w:rPr>
          <w:rFonts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（一）评分规则</w:t>
      </w:r>
    </w:p>
    <w:p>
      <w:pPr>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仿宋_GB2312" w:eastAsia="仿宋_GB2312"/>
          <w:color w:val="auto"/>
          <w:sz w:val="32"/>
          <w:szCs w:val="32"/>
          <w:highlight w:val="none"/>
        </w:rPr>
        <w:t>采取综合评分标准，平均分最高的投标人为本项目中标人。</w:t>
      </w:r>
    </w:p>
    <w:p>
      <w:pPr>
        <w:pStyle w:val="18"/>
        <w:numPr>
          <w:ilvl w:val="0"/>
          <w:numId w:val="2"/>
        </w:numPr>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楷体_GB2312" w:hAnsi="楷体_GB2312" w:eastAsia="楷体_GB2312" w:cs="楷体_GB2312"/>
          <w:b w:val="0"/>
          <w:bCs/>
          <w:color w:val="auto"/>
          <w:sz w:val="32"/>
          <w:szCs w:val="32"/>
          <w:highlight w:val="none"/>
        </w:rPr>
        <w:t>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商务</w:t>
            </w:r>
            <w:r>
              <w:rPr>
                <w:rFonts w:hint="eastAsia" w:ascii="仿宋_GB2312" w:hAnsi="仿宋_GB2312" w:eastAsia="仿宋_GB2312" w:cs="仿宋_GB2312"/>
                <w:b w:val="0"/>
                <w:bCs/>
                <w:color w:val="auto"/>
                <w:szCs w:val="24"/>
                <w:highlight w:val="none"/>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技术</w:t>
            </w:r>
            <w:r>
              <w:rPr>
                <w:rFonts w:hint="eastAsia" w:ascii="仿宋_GB2312" w:hAnsi="仿宋_GB2312" w:eastAsia="仿宋_GB2312" w:cs="仿宋_GB2312"/>
                <w:b w:val="0"/>
                <w:bCs/>
                <w:color w:val="auto"/>
                <w:szCs w:val="24"/>
                <w:highlight w:val="none"/>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8"/>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b w:val="0"/>
                <w:bCs/>
                <w:color w:val="auto"/>
                <w:szCs w:val="24"/>
                <w:highlight w:val="none"/>
              </w:rPr>
              <w:t>分</w:t>
            </w:r>
          </w:p>
        </w:tc>
      </w:tr>
    </w:tbl>
    <w:p>
      <w:pPr>
        <w:pStyle w:val="18"/>
        <w:numPr>
          <w:ilvl w:val="0"/>
          <w:numId w:val="3"/>
        </w:numPr>
        <w:spacing w:line="560" w:lineRule="exact"/>
        <w:ind w:firstLine="640" w:firstLineChars="200"/>
        <w:jc w:val="both"/>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评分标准</w:t>
      </w:r>
    </w:p>
    <w:tbl>
      <w:tblPr>
        <w:tblStyle w:val="13"/>
        <w:tblpPr w:leftFromText="180" w:rightFromText="180" w:vertAnchor="text" w:horzAnchor="page" w:tblpX="1646" w:tblpY="1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1170"/>
        <w:gridCol w:w="5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dxa"/>
            <w:vMerge w:val="restart"/>
            <w:noWrap w:val="0"/>
            <w:vAlign w:val="top"/>
          </w:tcPr>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报价</w:t>
            </w:r>
          </w:p>
          <w:p>
            <w:pPr>
              <w:keepNext/>
              <w:wordWrap w:val="0"/>
              <w:autoSpaceDE w:val="0"/>
              <w:spacing w:line="560" w:lineRule="exact"/>
              <w:jc w:val="both"/>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w:t>
            </w:r>
            <w:r>
              <w:rPr>
                <w:rFonts w:hint="eastAsia" w:ascii="仿宋" w:hAnsi="仿宋" w:eastAsia="仿宋" w:cs="仿宋"/>
                <w:color w:val="auto"/>
                <w:sz w:val="24"/>
                <w:szCs w:val="24"/>
                <w:highlight w:val="none"/>
                <w:vertAlign w:val="baseline"/>
                <w:lang w:val="en-US" w:eastAsia="zh-CN"/>
              </w:rPr>
              <w:t>30分</w:t>
            </w:r>
            <w:r>
              <w:rPr>
                <w:rFonts w:hint="eastAsia" w:ascii="仿宋" w:hAnsi="仿宋" w:eastAsia="仿宋" w:cs="仿宋"/>
                <w:color w:val="auto"/>
                <w:sz w:val="24"/>
                <w:szCs w:val="24"/>
                <w:highlight w:val="none"/>
                <w:vertAlign w:val="baseline"/>
                <w:lang w:eastAsia="zh-CN"/>
              </w:rPr>
              <w:t>）</w:t>
            </w:r>
          </w:p>
        </w:tc>
        <w:tc>
          <w:tcPr>
            <w:tcW w:w="1170" w:type="dxa"/>
            <w:noWrap w:val="0"/>
            <w:vAlign w:val="top"/>
          </w:tcPr>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评分</w:t>
            </w: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eastAsia="zh-CN"/>
              </w:rPr>
              <w:t>因素</w:t>
            </w:r>
          </w:p>
        </w:tc>
        <w:tc>
          <w:tcPr>
            <w:tcW w:w="5788" w:type="dxa"/>
            <w:noWrap w:val="0"/>
            <w:vAlign w:val="center"/>
          </w:tcPr>
          <w:p>
            <w:pPr>
              <w:keepNext/>
              <w:kinsoku/>
              <w:wordWrap w:val="0"/>
              <w:autoSpaceDE w:val="0"/>
              <w:spacing w:line="560" w:lineRule="exact"/>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dxa"/>
            <w:vMerge w:val="continue"/>
            <w:noWrap w:val="0"/>
            <w:vAlign w:val="top"/>
          </w:tcPr>
          <w:p>
            <w:pPr>
              <w:keepNext/>
              <w:wordWrap w:val="0"/>
              <w:autoSpaceDE w:val="0"/>
              <w:spacing w:line="560" w:lineRule="exact"/>
              <w:jc w:val="both"/>
              <w:textAlignment w:val="center"/>
              <w:rPr>
                <w:rFonts w:hint="eastAsia" w:ascii="仿宋" w:hAnsi="仿宋" w:eastAsia="仿宋" w:cs="仿宋"/>
                <w:color w:val="auto"/>
                <w:sz w:val="24"/>
                <w:szCs w:val="24"/>
                <w:highlight w:val="none"/>
                <w:vertAlign w:val="baseline"/>
                <w:lang w:val="en-US" w:eastAsia="zh-CN"/>
              </w:rPr>
            </w:pPr>
          </w:p>
        </w:tc>
        <w:tc>
          <w:tcPr>
            <w:tcW w:w="1170" w:type="dxa"/>
            <w:noWrap w:val="0"/>
            <w:vAlign w:val="center"/>
          </w:tcPr>
          <w:p>
            <w:pPr>
              <w:keepNext/>
              <w:kinsoku/>
              <w:wordWrap w:val="0"/>
              <w:topLinePunct w:val="0"/>
              <w:autoSpaceDE w:val="0"/>
              <w:snapToGrid/>
              <w:spacing w:line="560" w:lineRule="exact"/>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价格</w:t>
            </w:r>
          </w:p>
        </w:tc>
        <w:tc>
          <w:tcPr>
            <w:tcW w:w="5788" w:type="dxa"/>
            <w:noWrap w:val="0"/>
            <w:vAlign w:val="center"/>
          </w:tcPr>
          <w:p>
            <w:pPr>
              <w:keepNext/>
              <w:kinsoku/>
              <w:wordWrap w:val="0"/>
              <w:topLinePunct w:val="0"/>
              <w:autoSpaceDE w:val="0"/>
              <w:snapToGrid/>
              <w:spacing w:line="560" w:lineRule="exact"/>
              <w:jc w:val="both"/>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以本次报价或投标人所报的有效报价中的最低价作为基准报价。投标人报价得分=（基准价/投标人报价）*</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dxa"/>
            <w:vMerge w:val="restart"/>
            <w:noWrap w:val="0"/>
            <w:vAlign w:val="top"/>
          </w:tcPr>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商务</w:t>
            </w:r>
          </w:p>
          <w:p>
            <w:pPr>
              <w:pStyle w:val="2"/>
              <w:keepNext/>
              <w:kinsoku/>
              <w:wordWrap w:val="0"/>
              <w:autoSpaceDE w:val="0"/>
              <w:spacing w:after="0" w:line="560" w:lineRule="exact"/>
              <w:jc w:val="center"/>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部分</w:t>
            </w:r>
          </w:p>
          <w:p>
            <w:pPr>
              <w:keepNext/>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vertAlign w:val="baseline"/>
                <w:lang w:val="en-US" w:eastAsia="zh-CN"/>
              </w:rPr>
              <w:t>分</w:t>
            </w:r>
          </w:p>
        </w:tc>
        <w:tc>
          <w:tcPr>
            <w:tcW w:w="1170" w:type="dxa"/>
            <w:noWrap w:val="0"/>
            <w:vAlign w:val="top"/>
          </w:tcPr>
          <w:p>
            <w:pPr>
              <w:keepNext/>
              <w:kinsoku/>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评分</w:t>
            </w:r>
          </w:p>
          <w:p>
            <w:pPr>
              <w:keepNext/>
              <w:kinsoku/>
              <w:wordWrap w:val="0"/>
              <w:autoSpaceDE w:val="0"/>
              <w:spacing w:line="560" w:lineRule="exact"/>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eastAsia="zh-CN"/>
              </w:rPr>
              <w:t>因素</w:t>
            </w:r>
          </w:p>
        </w:tc>
        <w:tc>
          <w:tcPr>
            <w:tcW w:w="5788" w:type="dxa"/>
            <w:noWrap w:val="0"/>
            <w:vAlign w:val="center"/>
          </w:tcPr>
          <w:p>
            <w:pPr>
              <w:keepNext/>
              <w:kinsoku/>
              <w:wordWrap w:val="0"/>
              <w:autoSpaceDE w:val="0"/>
              <w:spacing w:line="560" w:lineRule="exact"/>
              <w:jc w:val="center"/>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dxa"/>
            <w:vMerge w:val="continue"/>
            <w:noWrap w:val="0"/>
            <w:vAlign w:val="top"/>
          </w:tcPr>
          <w:p>
            <w:pPr>
              <w:keepNext/>
              <w:wordWrap w:val="0"/>
              <w:autoSpaceDE w:val="0"/>
              <w:spacing w:line="560" w:lineRule="exact"/>
              <w:jc w:val="both"/>
              <w:textAlignment w:val="center"/>
              <w:rPr>
                <w:rFonts w:hint="eastAsia" w:ascii="仿宋" w:hAnsi="仿宋" w:eastAsia="仿宋" w:cs="仿宋"/>
                <w:color w:val="auto"/>
                <w:sz w:val="24"/>
                <w:szCs w:val="24"/>
                <w:highlight w:val="none"/>
                <w:vertAlign w:val="baseline"/>
                <w:lang w:val="en-US" w:eastAsia="zh-CN"/>
              </w:rPr>
            </w:pPr>
          </w:p>
        </w:tc>
        <w:tc>
          <w:tcPr>
            <w:tcW w:w="1170" w:type="dxa"/>
            <w:noWrap w:val="0"/>
            <w:vAlign w:val="center"/>
          </w:tcPr>
          <w:p>
            <w:pPr>
              <w:keepNext/>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lang w:eastAsia="zh-CN"/>
              </w:rPr>
              <w:t>同类项目经验（</w:t>
            </w:r>
            <w:r>
              <w:rPr>
                <w:rFonts w:hint="eastAsia" w:ascii="仿宋" w:hAnsi="仿宋" w:eastAsia="仿宋" w:cs="仿宋"/>
                <w:color w:val="auto"/>
                <w:sz w:val="24"/>
                <w:szCs w:val="24"/>
                <w:highlight w:val="none"/>
                <w:lang w:val="en-US" w:eastAsia="zh-CN"/>
              </w:rPr>
              <w:t>10分</w:t>
            </w:r>
            <w:r>
              <w:rPr>
                <w:rFonts w:hint="eastAsia" w:ascii="仿宋" w:hAnsi="仿宋" w:eastAsia="仿宋" w:cs="仿宋"/>
                <w:color w:val="auto"/>
                <w:sz w:val="24"/>
                <w:szCs w:val="24"/>
                <w:highlight w:val="none"/>
                <w:lang w:eastAsia="zh-CN"/>
              </w:rPr>
              <w:t>）</w:t>
            </w:r>
          </w:p>
        </w:tc>
        <w:tc>
          <w:tcPr>
            <w:tcW w:w="5788" w:type="dxa"/>
            <w:noWrap w:val="0"/>
            <w:vAlign w:val="top"/>
          </w:tcPr>
          <w:p>
            <w:pPr>
              <w:keepNext/>
              <w:wordWrap w:val="0"/>
              <w:topLinePunct w:val="0"/>
              <w:autoSpaceDE w:val="0"/>
              <w:snapToGrid w:val="0"/>
              <w:spacing w:line="560" w:lineRule="exact"/>
              <w:jc w:val="both"/>
              <w:textAlignment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（一）评审内容：</w:t>
            </w:r>
          </w:p>
          <w:p>
            <w:pPr>
              <w:keepNext/>
              <w:wordWrap w:val="0"/>
              <w:topLinePunct w:val="0"/>
              <w:autoSpaceDE w:val="0"/>
              <w:snapToGrid w:val="0"/>
              <w:spacing w:line="560" w:lineRule="exact"/>
              <w:jc w:val="both"/>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投标人自202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年1月1日至本项目投标截止日（以合同签订日期为准），</w:t>
            </w:r>
            <w:r>
              <w:rPr>
                <w:rFonts w:hint="eastAsia" w:ascii="仿宋" w:hAnsi="仿宋" w:eastAsia="仿宋" w:cs="仿宋"/>
                <w:color w:val="auto"/>
                <w:sz w:val="24"/>
                <w:szCs w:val="24"/>
                <w:highlight w:val="none"/>
                <w:lang w:val="en-US" w:eastAsia="zh-CN"/>
              </w:rPr>
              <w:t>每提供一项</w:t>
            </w:r>
            <w:r>
              <w:rPr>
                <w:rFonts w:hint="eastAsia" w:ascii="仿宋" w:hAnsi="仿宋" w:eastAsia="仿宋" w:cs="仿宋"/>
                <w:b/>
                <w:bCs/>
                <w:color w:val="0F1115"/>
                <w:sz w:val="24"/>
                <w:szCs w:val="24"/>
                <w:highlight w:val="none"/>
                <w:shd w:val="clear" w:fill="FFFFFF"/>
                <w:lang w:val="en-US" w:eastAsia="zh-CN"/>
              </w:rPr>
              <w:t>三维影像扫描</w:t>
            </w:r>
            <w:r>
              <w:rPr>
                <w:rFonts w:hint="eastAsia" w:ascii="仿宋" w:hAnsi="仿宋" w:eastAsia="仿宋" w:cs="仿宋"/>
                <w:color w:val="auto"/>
                <w:sz w:val="24"/>
                <w:szCs w:val="24"/>
                <w:highlight w:val="none"/>
                <w:lang w:val="en-US" w:eastAsia="zh-CN"/>
              </w:rPr>
              <w:t>或</w:t>
            </w:r>
            <w:r>
              <w:rPr>
                <w:rFonts w:hint="eastAsia" w:ascii="仿宋" w:hAnsi="仿宋" w:eastAsia="仿宋" w:cs="仿宋"/>
                <w:b/>
                <w:bCs/>
                <w:i w:val="0"/>
                <w:iCs w:val="0"/>
                <w:caps w:val="0"/>
                <w:color w:val="0F1115"/>
                <w:spacing w:val="0"/>
                <w:sz w:val="24"/>
                <w:szCs w:val="24"/>
                <w:highlight w:val="none"/>
                <w:shd w:val="clear" w:fill="FFFFFF"/>
                <w:lang w:eastAsia="zh-CN"/>
              </w:rPr>
              <w:t>数字化</w:t>
            </w:r>
            <w:r>
              <w:rPr>
                <w:rFonts w:hint="eastAsia" w:ascii="仿宋" w:hAnsi="仿宋" w:eastAsia="仿宋" w:cs="仿宋"/>
                <w:b/>
                <w:bCs/>
                <w:i w:val="0"/>
                <w:iCs w:val="0"/>
                <w:caps w:val="0"/>
                <w:color w:val="0F1115"/>
                <w:spacing w:val="0"/>
                <w:sz w:val="24"/>
                <w:szCs w:val="24"/>
                <w:highlight w:val="none"/>
                <w:shd w:val="clear" w:fill="FFFFFF"/>
              </w:rPr>
              <w:t>展示利用相关的项目业绩</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分，最高得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分</w:t>
            </w:r>
            <w:r>
              <w:rPr>
                <w:rFonts w:hint="eastAsia" w:ascii="仿宋" w:hAnsi="仿宋" w:eastAsia="仿宋" w:cs="仿宋"/>
                <w:color w:val="auto"/>
                <w:sz w:val="24"/>
                <w:szCs w:val="24"/>
                <w:highlight w:val="none"/>
                <w:lang w:val="en-US" w:eastAsia="zh-CN"/>
              </w:rPr>
              <w:t>。</w:t>
            </w:r>
          </w:p>
          <w:p>
            <w:pPr>
              <w:keepNext/>
              <w:wordWrap w:val="0"/>
              <w:topLinePunct w:val="0"/>
              <w:autoSpaceDE w:val="0"/>
              <w:snapToGrid w:val="0"/>
              <w:spacing w:line="560" w:lineRule="exact"/>
              <w:jc w:val="both"/>
              <w:textAlignment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lang w:eastAsia="zh-CN"/>
              </w:rPr>
              <w:t>）评审依据：</w:t>
            </w:r>
          </w:p>
          <w:p>
            <w:pPr>
              <w:keepNext/>
              <w:wordWrap w:val="0"/>
              <w:topLinePunct w:val="0"/>
              <w:autoSpaceDE w:val="0"/>
              <w:snapToGrid w:val="0"/>
              <w:spacing w:line="560" w:lineRule="exact"/>
              <w:jc w:val="both"/>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每项业绩按以下要求提供完整准确的证明文件，一个合同计算一个业绩，一年一签的续签合同只计算一个业绩：</w:t>
            </w:r>
          </w:p>
          <w:p>
            <w:pPr>
              <w:keepNext/>
              <w:wordWrap w:val="0"/>
              <w:topLinePunct w:val="0"/>
              <w:autoSpaceDE w:val="0"/>
              <w:snapToGrid w:val="0"/>
              <w:spacing w:line="560" w:lineRule="exact"/>
              <w:jc w:val="both"/>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合同关键页（关键信息包括但不仅限于合同的项目名称、服务内容、合同服务的起止时间、合同双方的盖章、签订日期等）；</w:t>
            </w:r>
          </w:p>
          <w:p>
            <w:pPr>
              <w:keepNext/>
              <w:wordWrap w:val="0"/>
              <w:topLinePunct w:val="0"/>
              <w:autoSpaceDE w:val="0"/>
              <w:snapToGrid w:val="0"/>
              <w:spacing w:line="560" w:lineRule="exact"/>
              <w:jc w:val="both"/>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2</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dxa"/>
            <w:vMerge w:val="continue"/>
            <w:noWrap w:val="0"/>
            <w:vAlign w:val="top"/>
          </w:tcPr>
          <w:p>
            <w:pPr>
              <w:keepNext/>
              <w:wordWrap w:val="0"/>
              <w:autoSpaceDE w:val="0"/>
              <w:spacing w:line="560" w:lineRule="exact"/>
              <w:jc w:val="both"/>
              <w:textAlignment w:val="center"/>
              <w:rPr>
                <w:rFonts w:hint="eastAsia" w:ascii="仿宋" w:hAnsi="仿宋" w:eastAsia="仿宋" w:cs="仿宋"/>
                <w:color w:val="auto"/>
                <w:sz w:val="24"/>
                <w:szCs w:val="24"/>
                <w:highlight w:val="none"/>
                <w:vertAlign w:val="baseline"/>
                <w:lang w:val="en-US" w:eastAsia="zh-CN"/>
              </w:rPr>
            </w:pPr>
          </w:p>
        </w:tc>
        <w:tc>
          <w:tcPr>
            <w:tcW w:w="1170" w:type="dxa"/>
            <w:noWrap w:val="0"/>
            <w:vAlign w:val="center"/>
          </w:tcPr>
          <w:p>
            <w:pPr>
              <w:keepNext/>
              <w:wordWrap w:val="0"/>
              <w:autoSpaceDE w:val="0"/>
              <w:spacing w:line="560" w:lineRule="exact"/>
              <w:jc w:val="center"/>
              <w:textAlignment w:val="center"/>
              <w:rPr>
                <w:rFonts w:hint="eastAsia" w:ascii="仿宋" w:hAnsi="仿宋" w:eastAsia="仿宋" w:cs="仿宋"/>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拟安排项目负责人</w:t>
            </w:r>
          </w:p>
          <w:p>
            <w:pPr>
              <w:keepNext/>
              <w:wordWrap w:val="0"/>
              <w:autoSpaceDE w:val="0"/>
              <w:spacing w:line="560" w:lineRule="exact"/>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（5分）</w:t>
            </w:r>
          </w:p>
        </w:tc>
        <w:tc>
          <w:tcPr>
            <w:tcW w:w="5788" w:type="dxa"/>
            <w:noWrap w:val="0"/>
            <w:vAlign w:val="center"/>
          </w:tcPr>
          <w:p>
            <w:pPr>
              <w:pStyle w:val="11"/>
              <w:keepNext/>
              <w:widowControl w:val="0"/>
              <w:numPr>
                <w:ilvl w:val="-1"/>
                <w:numId w:val="0"/>
              </w:numPr>
              <w:wordWrap w:val="0"/>
              <w:topLinePunct w:val="0"/>
              <w:autoSpaceDE w:val="0"/>
              <w:snapToGrid w:val="0"/>
              <w:spacing w:line="560" w:lineRule="exact"/>
              <w:jc w:val="both"/>
              <w:textAlignment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评审内容：</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拟安排的项目负责人情况：</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具有本科（或以上）学历的，</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分。</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具备</w:t>
            </w:r>
            <w:r>
              <w:rPr>
                <w:rFonts w:hint="eastAsia" w:ascii="仿宋_GB2312" w:hAnsi="仿宋_GB2312" w:eastAsia="仿宋_GB2312" w:cs="仿宋_GB2312"/>
                <w:color w:val="auto"/>
                <w:sz w:val="24"/>
                <w:szCs w:val="24"/>
                <w:highlight w:val="none"/>
                <w:lang w:val="en-US" w:eastAsia="zh-CN"/>
              </w:rPr>
              <w:t>数字化展陈相</w:t>
            </w:r>
            <w:r>
              <w:rPr>
                <w:rFonts w:hint="eastAsia" w:ascii="仿宋_GB2312" w:hAnsi="仿宋_GB2312" w:eastAsia="仿宋_GB2312" w:cs="仿宋_GB2312"/>
                <w:color w:val="auto"/>
                <w:sz w:val="24"/>
                <w:szCs w:val="24"/>
                <w:highlight w:val="none"/>
                <w:lang w:eastAsia="zh-CN"/>
              </w:rPr>
              <w:t>关工作经验的，得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以上合计最高得</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提供毕业证书扫描件、学历信息在学信网查询结果截图，原件备查。</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工作经验</w:t>
            </w:r>
            <w:r>
              <w:rPr>
                <w:rFonts w:hint="eastAsia" w:ascii="仿宋_GB2312" w:hAnsi="仿宋_GB2312" w:eastAsia="仿宋_GB2312" w:cs="仿宋_GB2312"/>
                <w:color w:val="auto"/>
                <w:sz w:val="24"/>
                <w:szCs w:val="24"/>
                <w:highlight w:val="none"/>
              </w:rPr>
              <w:t>需提供合同关键页或其他可以证明的材料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合同关键（关键信息包括但不仅限于合同的项目名称、</w:t>
            </w:r>
            <w:r>
              <w:rPr>
                <w:rFonts w:hint="eastAsia" w:ascii="仿宋_GB2312" w:hAnsi="仿宋_GB2312" w:eastAsia="仿宋_GB2312" w:cs="仿宋_GB2312"/>
                <w:color w:val="auto"/>
                <w:sz w:val="24"/>
                <w:szCs w:val="24"/>
                <w:highlight w:val="none"/>
                <w:lang w:val="en-US" w:eastAsia="zh-CN"/>
              </w:rPr>
              <w:t>项目负责人/团队成员名字、</w:t>
            </w:r>
            <w:r>
              <w:rPr>
                <w:rFonts w:hint="eastAsia" w:ascii="仿宋_GB2312" w:hAnsi="仿宋_GB2312" w:eastAsia="仿宋_GB2312" w:cs="仿宋_GB2312"/>
                <w:color w:val="auto"/>
                <w:sz w:val="24"/>
                <w:szCs w:val="24"/>
                <w:highlight w:val="none"/>
              </w:rPr>
              <w:t>服务内容、</w:t>
            </w:r>
            <w:r>
              <w:rPr>
                <w:rFonts w:hint="eastAsia" w:ascii="仿宋_GB2312" w:hAnsi="仿宋_GB2312" w:eastAsia="仿宋_GB2312" w:cs="仿宋_GB2312"/>
                <w:color w:val="auto"/>
                <w:sz w:val="24"/>
                <w:szCs w:val="24"/>
                <w:highlight w:val="none"/>
                <w:lang w:val="en-US" w:eastAsia="zh-CN"/>
              </w:rPr>
              <w:t>合同双方盖章页</w:t>
            </w:r>
            <w:r>
              <w:rPr>
                <w:rFonts w:hint="eastAsia" w:ascii="仿宋_GB2312" w:hAnsi="仿宋_GB2312" w:eastAsia="仿宋_GB2312" w:cs="仿宋_GB2312"/>
                <w:color w:val="auto"/>
                <w:sz w:val="24"/>
                <w:szCs w:val="24"/>
                <w:highlight w:val="none"/>
              </w:rPr>
              <w:t>），以及满足评分要求的服务内容。</w:t>
            </w:r>
          </w:p>
          <w:p>
            <w:pPr>
              <w:pStyle w:val="11"/>
              <w:keepNext/>
              <w:widowControl w:val="0"/>
              <w:wordWrap w:val="0"/>
              <w:topLinePunct w:val="0"/>
              <w:autoSpaceDE w:val="0"/>
              <w:snapToGrid w:val="0"/>
              <w:spacing w:line="560" w:lineRule="exact"/>
              <w:jc w:val="both"/>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3.以上人员近三个月社保缴纳记录。</w:t>
            </w:r>
          </w:p>
          <w:p>
            <w:pPr>
              <w:pStyle w:val="11"/>
              <w:keepNext/>
              <w:widowControl w:val="0"/>
              <w:wordWrap w:val="0"/>
              <w:autoSpaceDE w:val="0"/>
              <w:spacing w:line="560" w:lineRule="exact"/>
              <w:textAlignment w:val="center"/>
              <w:rPr>
                <w:rFonts w:hint="eastAsia" w:ascii="仿宋" w:hAnsi="仿宋" w:eastAsia="仿宋" w:cs="仿宋"/>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以上证明文件原件备查，</w:t>
            </w:r>
            <w:r>
              <w:rPr>
                <w:rFonts w:hint="eastAsia" w:ascii="仿宋_GB2312" w:hAnsi="仿宋_GB2312" w:eastAsia="仿宋_GB2312" w:cs="仿宋_GB2312"/>
                <w:color w:val="auto"/>
                <w:sz w:val="24"/>
                <w:szCs w:val="24"/>
                <w:highlight w:val="none"/>
                <w:lang w:eastAsia="zh-CN"/>
              </w:rPr>
              <w:t>未提供或未按要求提供或提供的不清晰导致（临时）采购小组无法判断的，不得分。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3" w:type="dxa"/>
            <w:vMerge w:val="continue"/>
            <w:noWrap w:val="0"/>
            <w:vAlign w:val="top"/>
          </w:tcPr>
          <w:p>
            <w:pPr>
              <w:keepNext/>
              <w:wordWrap w:val="0"/>
              <w:autoSpaceDE w:val="0"/>
              <w:spacing w:line="560" w:lineRule="exact"/>
              <w:jc w:val="both"/>
              <w:textAlignment w:val="center"/>
              <w:rPr>
                <w:rFonts w:hint="eastAsia" w:ascii="仿宋" w:hAnsi="仿宋" w:eastAsia="仿宋" w:cs="仿宋"/>
                <w:color w:val="auto"/>
                <w:sz w:val="24"/>
                <w:szCs w:val="24"/>
                <w:highlight w:val="none"/>
                <w:vertAlign w:val="baseline"/>
                <w:lang w:val="en-US" w:eastAsia="zh-CN"/>
              </w:rPr>
            </w:pPr>
          </w:p>
        </w:tc>
        <w:tc>
          <w:tcPr>
            <w:tcW w:w="1170" w:type="dxa"/>
            <w:noWrap w:val="0"/>
            <w:vAlign w:val="center"/>
          </w:tcPr>
          <w:p>
            <w:pPr>
              <w:keepNext/>
              <w:wordWrap w:val="0"/>
              <w:autoSpaceDE w:val="0"/>
              <w:spacing w:line="560" w:lineRule="exact"/>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项目完成（服务期满）</w:t>
            </w:r>
          </w:p>
          <w:p>
            <w:pPr>
              <w:keepNext/>
              <w:wordWrap w:val="0"/>
              <w:autoSpaceDE w:val="0"/>
              <w:spacing w:line="560" w:lineRule="exact"/>
              <w:jc w:val="center"/>
              <w:textAlignment w:val="center"/>
              <w:rPr>
                <w:rFonts w:hint="eastAsia" w:ascii="仿宋" w:hAnsi="仿宋" w:eastAsia="仿宋" w:cs="仿宋"/>
                <w:color w:val="auto"/>
                <w:highlight w:val="none"/>
                <w:lang w:eastAsia="zh-CN"/>
              </w:rPr>
            </w:pPr>
            <w:r>
              <w:rPr>
                <w:rFonts w:hint="eastAsia" w:ascii="仿宋" w:hAnsi="仿宋" w:eastAsia="仿宋" w:cs="仿宋"/>
                <w:color w:val="auto"/>
                <w:sz w:val="24"/>
                <w:szCs w:val="24"/>
                <w:highlight w:val="none"/>
                <w:lang w:val="en-US" w:eastAsia="zh-CN"/>
              </w:rPr>
              <w:t>后的服务承诺（5分）</w:t>
            </w:r>
          </w:p>
        </w:tc>
        <w:tc>
          <w:tcPr>
            <w:tcW w:w="5788" w:type="dxa"/>
            <w:noWrap w:val="0"/>
            <w:vAlign w:val="center"/>
          </w:tcPr>
          <w:p>
            <w:pPr>
              <w:keepNext/>
              <w:wordWrap w:val="0"/>
              <w:topLinePunct w:val="0"/>
              <w:autoSpaceDE w:val="0"/>
              <w:snapToGrid w:val="0"/>
              <w:spacing w:line="560" w:lineRule="exact"/>
              <w:jc w:val="both"/>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w:t>
            </w:r>
            <w:r>
              <w:rPr>
                <w:rFonts w:hint="eastAsia" w:ascii="仿宋" w:hAnsi="仿宋" w:eastAsia="仿宋" w:cs="仿宋"/>
                <w:b/>
                <w:bCs/>
                <w:color w:val="auto"/>
                <w:sz w:val="24"/>
                <w:szCs w:val="24"/>
                <w:highlight w:val="none"/>
                <w:lang w:eastAsia="zh-CN"/>
              </w:rPr>
              <w:t>评审</w:t>
            </w:r>
            <w:r>
              <w:rPr>
                <w:rFonts w:hint="eastAsia" w:ascii="仿宋" w:hAnsi="仿宋" w:eastAsia="仿宋" w:cs="仿宋"/>
                <w:b/>
                <w:bCs/>
                <w:color w:val="auto"/>
                <w:sz w:val="24"/>
                <w:szCs w:val="24"/>
                <w:highlight w:val="none"/>
              </w:rPr>
              <w:t>内容：</w:t>
            </w:r>
          </w:p>
          <w:p>
            <w:pPr>
              <w:keepNext/>
              <w:wordWrap w:val="0"/>
              <w:autoSpaceDE w:val="0"/>
              <w:adjustRightInd w:val="0"/>
              <w:snapToGrid w:val="0"/>
              <w:spacing w:line="560" w:lineRule="exact"/>
              <w:jc w:val="both"/>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根据针对本项目做出的服务承诺，考察包括但不限于以下内容：</w:t>
            </w:r>
            <w:r>
              <w:rPr>
                <w:rFonts w:hint="eastAsia" w:ascii="仿宋" w:hAnsi="仿宋" w:eastAsia="仿宋" w:cs="仿宋"/>
                <w:color w:val="auto"/>
                <w:sz w:val="24"/>
                <w:szCs w:val="24"/>
                <w:highlight w:val="none"/>
                <w:lang w:val="en-US" w:eastAsia="zh-CN"/>
              </w:rPr>
              <w:br w:type="textWrapping"/>
            </w:r>
            <w:r>
              <w:rPr>
                <w:rFonts w:hint="eastAsia" w:ascii="仿宋" w:hAnsi="仿宋" w:eastAsia="仿宋" w:cs="仿宋"/>
                <w:color w:val="auto"/>
                <w:sz w:val="24"/>
                <w:szCs w:val="24"/>
                <w:highlight w:val="none"/>
                <w:lang w:val="en-US" w:eastAsia="zh-CN"/>
              </w:rPr>
              <w:t>1.在服务期满后主动交接项目相关资料；</w:t>
            </w:r>
          </w:p>
          <w:p>
            <w:pPr>
              <w:keepNext/>
              <w:numPr>
                <w:ilvl w:val="-1"/>
                <w:numId w:val="0"/>
              </w:numPr>
              <w:wordWrap w:val="0"/>
              <w:autoSpaceDE w:val="0"/>
              <w:adjustRightInd w:val="0"/>
              <w:snapToGrid w:val="0"/>
              <w:spacing w:line="560" w:lineRule="exact"/>
              <w:jc w:val="both"/>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2.配合项目检查审计等事项。</w:t>
            </w:r>
          </w:p>
          <w:p>
            <w:pPr>
              <w:keepNext/>
              <w:wordWrap w:val="0"/>
              <w:topLinePunct w:val="0"/>
              <w:autoSpaceDE w:val="0"/>
              <w:snapToGrid w:val="0"/>
              <w:spacing w:line="560" w:lineRule="exact"/>
              <w:jc w:val="both"/>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w:t>
            </w:r>
            <w:r>
              <w:rPr>
                <w:rFonts w:hint="eastAsia" w:ascii="仿宋" w:hAnsi="仿宋" w:eastAsia="仿宋" w:cs="仿宋"/>
                <w:b/>
                <w:bCs/>
                <w:color w:val="auto"/>
                <w:sz w:val="24"/>
                <w:szCs w:val="24"/>
                <w:highlight w:val="none"/>
                <w:lang w:eastAsia="zh-CN"/>
              </w:rPr>
              <w:t>评审</w:t>
            </w:r>
            <w:r>
              <w:rPr>
                <w:rFonts w:hint="eastAsia" w:ascii="仿宋" w:hAnsi="仿宋" w:eastAsia="仿宋" w:cs="仿宋"/>
                <w:b/>
                <w:bCs/>
                <w:color w:val="auto"/>
                <w:sz w:val="24"/>
                <w:szCs w:val="24"/>
                <w:highlight w:val="none"/>
              </w:rPr>
              <w:t>依据：</w:t>
            </w:r>
          </w:p>
          <w:p>
            <w:pPr>
              <w:keepNext/>
              <w:wordWrap w:val="0"/>
              <w:topLinePunct w:val="0"/>
              <w:autoSpaceDE w:val="0"/>
              <w:snapToGrid w:val="0"/>
              <w:spacing w:line="560" w:lineRule="exact"/>
              <w:jc w:val="both"/>
              <w:textAlignment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vMerge w:val="restart"/>
            <w:noWrap w:val="0"/>
            <w:vAlign w:val="center"/>
          </w:tcPr>
          <w:p>
            <w:pPr>
              <w:keepNext/>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技术部分</w:t>
            </w:r>
          </w:p>
          <w:p>
            <w:pPr>
              <w:keepNext/>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lang w:val="en-US" w:eastAsia="zh-CN"/>
              </w:rPr>
              <w:t>50</w:t>
            </w:r>
            <w:r>
              <w:rPr>
                <w:rFonts w:hint="eastAsia" w:ascii="仿宋" w:hAnsi="仿宋" w:eastAsia="仿宋" w:cs="仿宋"/>
                <w:color w:val="auto"/>
                <w:sz w:val="24"/>
                <w:szCs w:val="24"/>
                <w:highlight w:val="none"/>
                <w:vertAlign w:val="baseline"/>
                <w:lang w:val="en-US" w:eastAsia="zh-CN"/>
              </w:rPr>
              <w:t>分）</w:t>
            </w:r>
          </w:p>
        </w:tc>
        <w:tc>
          <w:tcPr>
            <w:tcW w:w="1170" w:type="dxa"/>
            <w:noWrap w:val="0"/>
            <w:vAlign w:val="center"/>
          </w:tcPr>
          <w:p>
            <w:pPr>
              <w:keepNext/>
              <w:wordWrap w:val="0"/>
              <w:autoSpaceDE w:val="0"/>
              <w:spacing w:line="560" w:lineRule="exact"/>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实</w:t>
            </w:r>
            <w:r>
              <w:rPr>
                <w:rFonts w:hint="eastAsia" w:ascii="仿宋" w:hAnsi="仿宋" w:eastAsia="仿宋" w:cs="仿宋"/>
                <w:color w:val="auto"/>
                <w:sz w:val="24"/>
                <w:szCs w:val="24"/>
                <w:highlight w:val="none"/>
                <w:lang w:val="en-US" w:eastAsia="zh-CN"/>
              </w:rPr>
              <w:t>施</w:t>
            </w:r>
          </w:p>
          <w:p>
            <w:pPr>
              <w:keepNext/>
              <w:wordWrap w:val="0"/>
              <w:autoSpaceDE w:val="0"/>
              <w:spacing w:line="560" w:lineRule="exact"/>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方案</w:t>
            </w:r>
          </w:p>
          <w:p>
            <w:pPr>
              <w:keepNext/>
              <w:wordWrap w:val="0"/>
              <w:autoSpaceDE w:val="0"/>
              <w:spacing w:line="560" w:lineRule="exact"/>
              <w:jc w:val="center"/>
              <w:textAlignment w:val="center"/>
              <w:rPr>
                <w:rFonts w:hint="eastAsia" w:ascii="仿宋" w:hAnsi="仿宋" w:eastAsia="仿宋" w:cs="仿宋"/>
                <w:color w:val="auto"/>
                <w:highlight w:val="none"/>
                <w:lang w:eastAsia="zh-CN"/>
              </w:rPr>
            </w:pPr>
            <w:r>
              <w:rPr>
                <w:rFonts w:hint="eastAsia" w:ascii="仿宋" w:hAnsi="仿宋" w:eastAsia="仿宋" w:cs="仿宋"/>
                <w:color w:val="auto"/>
                <w:sz w:val="24"/>
                <w:szCs w:val="24"/>
                <w:highlight w:val="none"/>
                <w:lang w:val="en-US" w:eastAsia="zh-CN"/>
              </w:rPr>
              <w:t>（30分）</w:t>
            </w:r>
          </w:p>
        </w:tc>
        <w:tc>
          <w:tcPr>
            <w:tcW w:w="5788" w:type="dxa"/>
            <w:noWrap w:val="0"/>
            <w:vAlign w:val="top"/>
          </w:tcPr>
          <w:p>
            <w:pPr>
              <w:keepNext/>
              <w:wordWrap w:val="0"/>
              <w:topLinePunct w:val="0"/>
              <w:autoSpaceDE w:val="0"/>
              <w:snapToGrid/>
              <w:spacing w:line="560" w:lineRule="exact"/>
              <w:jc w:val="both"/>
              <w:textAlignment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w:t>
            </w:r>
            <w:r>
              <w:rPr>
                <w:rFonts w:hint="eastAsia" w:ascii="仿宋" w:hAnsi="仿宋" w:eastAsia="仿宋" w:cs="仿宋"/>
                <w:b/>
                <w:bCs/>
                <w:color w:val="auto"/>
                <w:sz w:val="24"/>
                <w:szCs w:val="24"/>
                <w:highlight w:val="none"/>
                <w:lang w:eastAsia="zh-CN"/>
              </w:rPr>
              <w:t>评审</w:t>
            </w:r>
            <w:r>
              <w:rPr>
                <w:rFonts w:hint="eastAsia" w:ascii="仿宋" w:hAnsi="仿宋" w:eastAsia="仿宋" w:cs="仿宋"/>
                <w:b/>
                <w:bCs/>
                <w:color w:val="auto"/>
                <w:sz w:val="24"/>
                <w:szCs w:val="24"/>
                <w:highlight w:val="none"/>
              </w:rPr>
              <w:t>内容：</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根据投标人提供的实施方案，考察包括但不限于：</w:t>
            </w:r>
            <w:r>
              <w:rPr>
                <w:rFonts w:hint="eastAsia" w:ascii="仿宋" w:hAnsi="仿宋" w:eastAsia="仿宋" w:cs="仿宋"/>
                <w:color w:val="auto"/>
                <w:sz w:val="24"/>
                <w:szCs w:val="24"/>
                <w:highlight w:val="none"/>
                <w:lang w:val="en-US" w:eastAsia="zh-CN"/>
              </w:rPr>
              <w:br w:type="textWrapping"/>
            </w:r>
            <w:r>
              <w:rPr>
                <w:rFonts w:hint="eastAsia" w:ascii="仿宋" w:hAnsi="仿宋" w:eastAsia="仿宋" w:cs="仿宋"/>
                <w:color w:val="auto"/>
                <w:sz w:val="24"/>
                <w:szCs w:val="24"/>
                <w:highlight w:val="none"/>
                <w:lang w:val="en-US" w:eastAsia="zh-CN"/>
              </w:rPr>
              <w:t>1.项目理解：对本项目需求、服务范围、工作内容的理解是否准确、全面；</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2.项目实施方案（技术路线）：实施方案和技术路线是否清晰可行、方法是否科学合理；</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3.项目重难点分析：是否准确把握本项目实施中的重点与难点，是否有针对性的应对措施；</w:t>
            </w:r>
          </w:p>
          <w:p>
            <w:pPr>
              <w:keepNext w:val="0"/>
              <w:keepLines w:val="0"/>
              <w:widowControl/>
              <w:suppressLineNumbers w:val="0"/>
              <w:jc w:val="left"/>
            </w:pPr>
            <w:r>
              <w:rPr>
                <w:rFonts w:hint="eastAsia" w:ascii="仿宋" w:hAnsi="仿宋" w:eastAsia="仿宋" w:cs="仿宋"/>
                <w:color w:val="auto"/>
                <w:kern w:val="2"/>
                <w:sz w:val="24"/>
                <w:szCs w:val="24"/>
                <w:highlight w:val="none"/>
                <w:lang w:val="en-US" w:eastAsia="zh-CN" w:bidi="ar"/>
              </w:rPr>
              <w:t>4.项目运维服务方案：如云端系统运维保障、应急响应与售后技术服务等。</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highlight w:val="none"/>
              </w:rPr>
            </w:pPr>
            <w:r>
              <w:rPr>
                <w:rFonts w:hint="eastAsia" w:ascii="仿宋" w:hAnsi="仿宋" w:eastAsia="仿宋" w:cs="仿宋"/>
                <w:b/>
                <w:bCs/>
                <w:color w:val="auto"/>
                <w:sz w:val="24"/>
                <w:szCs w:val="24"/>
                <w:highlight w:val="none"/>
              </w:rPr>
              <w:t>（二）</w:t>
            </w:r>
            <w:r>
              <w:rPr>
                <w:rFonts w:hint="eastAsia" w:ascii="仿宋" w:hAnsi="仿宋" w:eastAsia="仿宋" w:cs="仿宋"/>
                <w:b/>
                <w:bCs/>
                <w:color w:val="auto"/>
                <w:sz w:val="24"/>
                <w:szCs w:val="24"/>
                <w:highlight w:val="none"/>
                <w:lang w:eastAsia="zh-CN"/>
              </w:rPr>
              <w:t>评审</w:t>
            </w:r>
            <w:r>
              <w:rPr>
                <w:rFonts w:hint="eastAsia" w:ascii="仿宋" w:hAnsi="仿宋" w:eastAsia="仿宋" w:cs="仿宋"/>
                <w:b/>
                <w:bCs/>
                <w:color w:val="auto"/>
                <w:sz w:val="24"/>
                <w:szCs w:val="24"/>
                <w:highlight w:val="none"/>
              </w:rPr>
              <w:t>依据：</w:t>
            </w:r>
            <w:r>
              <w:rPr>
                <w:rFonts w:hint="eastAsia" w:ascii="仿宋" w:hAnsi="仿宋" w:eastAsia="仿宋" w:cs="仿宋"/>
                <w:color w:val="auto"/>
                <w:sz w:val="24"/>
                <w:szCs w:val="24"/>
                <w:highlight w:val="none"/>
                <w:lang w:val="en-US" w:eastAsia="zh-CN"/>
              </w:rPr>
              <w:br w:type="textWrapping"/>
            </w:r>
            <w:r>
              <w:rPr>
                <w:rFonts w:hint="eastAsia" w:ascii="仿宋" w:hAnsi="仿宋" w:eastAsia="仿宋" w:cs="仿宋"/>
                <w:color w:val="auto"/>
                <w:sz w:val="24"/>
                <w:highlight w:val="none"/>
              </w:rPr>
              <w:t>满足以上任意一项要求得</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分，最高得</w:t>
            </w:r>
            <w:r>
              <w:rPr>
                <w:rFonts w:hint="eastAsia" w:ascii="仿宋" w:hAnsi="仿宋" w:eastAsia="仿宋" w:cs="仿宋"/>
                <w:color w:val="auto"/>
                <w:sz w:val="24"/>
                <w:highlight w:val="none"/>
                <w:lang w:val="en-US" w:eastAsia="zh-CN"/>
              </w:rPr>
              <w:t>20</w:t>
            </w:r>
            <w:r>
              <w:rPr>
                <w:rFonts w:hint="eastAsia" w:ascii="仿宋" w:hAnsi="仿宋" w:eastAsia="仿宋" w:cs="仿宋"/>
                <w:color w:val="auto"/>
                <w:sz w:val="24"/>
                <w:highlight w:val="none"/>
              </w:rPr>
              <w:t>分，在此基础上，根据供应商的具体响应内容按照量化的评审因素指标进一步评审，设定优、良、中、差四个评分标准：</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1.优：项目实施方案内容全面、具体、针对性强、科学合理、可操作性强得</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分；</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2.良：项目实施方案内容较丰富、较具体、针对性较强、较科学合理、可操作性较强得</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分；</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3.中：项目实施方案内容、针对性、可操作性一般得</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w:t>
            </w:r>
          </w:p>
          <w:p>
            <w:pPr>
              <w:keepNext/>
              <w:keepLines w:val="0"/>
              <w:pageBreakBefore w:val="0"/>
              <w:widowControl w:val="0"/>
              <w:wordWrap w:val="0"/>
              <w:autoSpaceDE w:val="0"/>
              <w:snapToGrid/>
              <w:spacing w:line="560" w:lineRule="exact"/>
              <w:ind w:firstLine="0" w:firstLineChars="0"/>
              <w:jc w:val="both"/>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highlight w:val="none"/>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3" w:type="dxa"/>
            <w:vMerge w:val="continue"/>
            <w:noWrap w:val="0"/>
            <w:vAlign w:val="top"/>
          </w:tcPr>
          <w:p>
            <w:pPr>
              <w:keepNext/>
              <w:wordWrap w:val="0"/>
              <w:autoSpaceDE w:val="0"/>
              <w:spacing w:line="560" w:lineRule="exact"/>
              <w:jc w:val="both"/>
              <w:textAlignment w:val="center"/>
              <w:rPr>
                <w:rFonts w:hint="eastAsia" w:ascii="仿宋" w:hAnsi="仿宋" w:eastAsia="仿宋" w:cs="仿宋"/>
                <w:color w:val="auto"/>
                <w:sz w:val="24"/>
                <w:szCs w:val="24"/>
                <w:highlight w:val="none"/>
                <w:vertAlign w:val="baseline"/>
                <w:lang w:val="en-US" w:eastAsia="zh-CN"/>
              </w:rPr>
            </w:pPr>
          </w:p>
        </w:tc>
        <w:tc>
          <w:tcPr>
            <w:tcW w:w="1170" w:type="dxa"/>
            <w:noWrap w:val="0"/>
            <w:vAlign w:val="center"/>
          </w:tcPr>
          <w:p>
            <w:pPr>
              <w:keepNext/>
              <w:wordWrap w:val="0"/>
              <w:autoSpaceDE w:val="0"/>
              <w:spacing w:line="560" w:lineRule="exact"/>
              <w:jc w:val="center"/>
              <w:textAlignment w:val="center"/>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质量保障措施及方案</w:t>
            </w:r>
          </w:p>
          <w:p>
            <w:pPr>
              <w:pStyle w:val="2"/>
              <w:keepNext/>
              <w:wordWrap w:val="0"/>
              <w:autoSpaceDE w:val="0"/>
              <w:spacing w:after="0" w:line="560" w:lineRule="exact"/>
              <w:jc w:val="center"/>
              <w:textAlignment w:val="center"/>
              <w:rPr>
                <w:rFonts w:hint="eastAsia" w:ascii="仿宋" w:hAnsi="仿宋" w:eastAsia="仿宋" w:cs="仿宋"/>
                <w:color w:val="auto"/>
                <w:highlight w:val="none"/>
                <w:lang w:eastAsia="zh-CN"/>
              </w:rPr>
            </w:pPr>
            <w:r>
              <w:rPr>
                <w:rFonts w:hint="eastAsia" w:ascii="仿宋" w:hAnsi="仿宋" w:eastAsia="仿宋" w:cs="仿宋"/>
                <w:color w:val="auto"/>
                <w:sz w:val="24"/>
                <w:szCs w:val="24"/>
                <w:highlight w:val="none"/>
                <w:vertAlign w:val="baseline"/>
                <w:lang w:eastAsia="zh-CN"/>
              </w:rPr>
              <w:t>（</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vertAlign w:val="baseline"/>
                <w:lang w:val="en-US" w:eastAsia="zh-CN"/>
              </w:rPr>
              <w:t>分</w:t>
            </w:r>
            <w:r>
              <w:rPr>
                <w:rFonts w:hint="eastAsia" w:ascii="仿宋" w:hAnsi="仿宋" w:eastAsia="仿宋" w:cs="仿宋"/>
                <w:color w:val="auto"/>
                <w:sz w:val="24"/>
                <w:szCs w:val="24"/>
                <w:highlight w:val="none"/>
                <w:vertAlign w:val="baseline"/>
                <w:lang w:eastAsia="zh-CN"/>
              </w:rPr>
              <w:t>）</w:t>
            </w:r>
          </w:p>
        </w:tc>
        <w:tc>
          <w:tcPr>
            <w:tcW w:w="5788" w:type="dxa"/>
            <w:noWrap w:val="0"/>
            <w:vAlign w:val="top"/>
          </w:tcPr>
          <w:p>
            <w:pPr>
              <w:keepNext/>
              <w:wordWrap w:val="0"/>
              <w:topLinePunct w:val="0"/>
              <w:autoSpaceDE w:val="0"/>
              <w:snapToGrid/>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根据对项目的理解及自身管理经验，针对本项目提出质量保障措施及方案。包括但不限于以下内容：</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1.具备详细的完成时间保障措施；</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2.详细阐述项目人员管理措施；</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3.详细阐述项目质量管理措施。</w:t>
            </w:r>
          </w:p>
          <w:p>
            <w:pPr>
              <w:keepNext/>
              <w:wordWrap w:val="0"/>
              <w:topLinePunct w:val="0"/>
              <w:autoSpaceDE w:val="0"/>
              <w:snapToGrid/>
              <w:spacing w:line="560" w:lineRule="exact"/>
              <w:jc w:val="both"/>
              <w:textAlignment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二、评分标准：</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lang w:eastAsia="zh-CN"/>
              </w:rPr>
              <w:t>根据供应商的具体响应内容按照量化的评审因素指标进一步评审，设定优、良、中、差四个评分标准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优：以上项目质量保障措施及方案三点内容全面具体、针对性强、可操作性强，加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lang w:eastAsia="zh-CN"/>
              </w:rPr>
              <w:t>分；</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良：以上项目质量保障措施及方案的三点内容较丰富、针对性较强、可操作性较强，加</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w:t>
            </w:r>
          </w:p>
          <w:p>
            <w:pPr>
              <w:keepNext/>
              <w:wordWrap w:val="0"/>
              <w:autoSpaceDE w:val="0"/>
              <w:spacing w:line="560" w:lineRule="exact"/>
              <w:jc w:val="both"/>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中：以上项目质量保障措施及方案三点内容完整性、针对性、可操作性均一般，加</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w:t>
            </w:r>
          </w:p>
          <w:p>
            <w:pPr>
              <w:keepNext/>
              <w:wordWrap w:val="0"/>
              <w:autoSpaceDE w:val="0"/>
              <w:spacing w:line="560" w:lineRule="exact"/>
              <w:jc w:val="both"/>
              <w:textAlignment w:val="center"/>
              <w:rPr>
                <w:rFonts w:hint="eastAsia" w:ascii="仿宋" w:hAnsi="仿宋" w:eastAsia="仿宋" w:cs="仿宋"/>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8"/>
        <w:spacing w:line="560" w:lineRule="exact"/>
        <w:ind w:firstLine="640" w:firstLineChars="200"/>
        <w:jc w:val="both"/>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八、</w:t>
      </w:r>
      <w:r>
        <w:rPr>
          <w:rFonts w:hint="eastAsia" w:ascii="方正黑体_GBK" w:hAnsi="方正黑体_GBK" w:eastAsia="方正黑体_GBK" w:cs="方正黑体_GBK"/>
          <w:b w:val="0"/>
          <w:bCs/>
          <w:color w:val="auto"/>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b/>
          <w:bCs/>
          <w:color w:val="auto"/>
          <w:sz w:val="32"/>
          <w:highlight w:val="none"/>
        </w:rPr>
      </w:pPr>
      <w:r>
        <w:rPr>
          <w:rFonts w:hint="eastAsia" w:ascii="仿宋_GB2312" w:hAnsi="仿宋" w:eastAsia="仿宋_GB2312" w:cs="Times New Roman"/>
          <w:b/>
          <w:bCs/>
          <w:color w:val="auto"/>
          <w:sz w:val="32"/>
          <w:lang w:val="en-US" w:eastAsia="zh-CN"/>
        </w:rPr>
        <w:t>注：以下全部资料每页均须加盖单位公章；第1至</w:t>
      </w:r>
      <w:r>
        <w:rPr>
          <w:rFonts w:hint="default" w:ascii="仿宋_GB2312" w:hAnsi="仿宋" w:eastAsia="仿宋_GB2312" w:cs="Times New Roman"/>
          <w:b/>
          <w:bCs/>
          <w:color w:val="auto"/>
          <w:sz w:val="32"/>
          <w:lang w:val="en-US" w:eastAsia="zh-CN"/>
        </w:rPr>
        <w:t>5</w:t>
      </w:r>
      <w:r>
        <w:rPr>
          <w:rFonts w:hint="eastAsia" w:ascii="仿宋_GB2312" w:hAnsi="仿宋" w:eastAsia="仿宋_GB2312" w:cs="Times New Roman"/>
          <w:b/>
          <w:bCs/>
          <w:color w:val="auto"/>
          <w:sz w:val="32"/>
          <w:lang w:val="en-US" w:eastAsia="zh-CN"/>
        </w:rPr>
        <w:t>项为投标资格必备资料，第1至</w:t>
      </w:r>
      <w:r>
        <w:rPr>
          <w:rFonts w:hint="default" w:ascii="仿宋_GB2312" w:hAnsi="仿宋" w:eastAsia="仿宋_GB2312" w:cs="Times New Roman"/>
          <w:b/>
          <w:bCs/>
          <w:color w:val="auto"/>
          <w:sz w:val="32"/>
          <w:lang w:val="en-US" w:eastAsia="zh-CN"/>
        </w:rPr>
        <w:t>5</w:t>
      </w:r>
      <w:r>
        <w:rPr>
          <w:rFonts w:hint="eastAsia" w:ascii="仿宋_GB2312" w:hAnsi="仿宋" w:eastAsia="仿宋_GB2312" w:cs="Times New Roman"/>
          <w:b/>
          <w:bCs/>
          <w:color w:val="auto"/>
          <w:sz w:val="32"/>
          <w:lang w:val="en-US" w:eastAsia="zh-CN"/>
        </w:rPr>
        <w:t>项任意一项资料缺失、未按要求完整提交的，作无效投标处理。</w:t>
      </w:r>
    </w:p>
    <w:p>
      <w:pPr>
        <w:spacing w:line="560" w:lineRule="exact"/>
        <w:ind w:firstLine="640" w:firstLineChars="200"/>
        <w:rPr>
          <w:rFonts w:hint="eastAsia" w:ascii="仿宋_GB2312" w:hAnsi="仿宋" w:eastAsia="仿宋_GB2312"/>
          <w:color w:val="auto"/>
          <w:sz w:val="32"/>
          <w:highlight w:val="none"/>
          <w:lang w:val="en-US" w:eastAsia="zh-CN"/>
        </w:rPr>
      </w:pPr>
      <w:r>
        <w:rPr>
          <w:rFonts w:hint="eastAsia" w:ascii="仿宋_GB2312" w:hAnsi="仿宋" w:eastAsia="仿宋_GB2312" w:cs="Times New Roman"/>
          <w:color w:val="auto"/>
          <w:sz w:val="32"/>
          <w:highlight w:val="none"/>
        </w:rPr>
        <w:t>1.营业执照、事业法人证书、社会团体法人登记证书</w:t>
      </w:r>
      <w:r>
        <w:rPr>
          <w:rFonts w:hint="eastAsia" w:ascii="仿宋_GB2312" w:hAnsi="仿宋" w:eastAsia="仿宋_GB2312" w:cs="Times New Roman"/>
          <w:color w:val="auto"/>
          <w:sz w:val="32"/>
          <w:highlight w:val="none"/>
          <w:lang w:eastAsia="zh-CN"/>
        </w:rPr>
        <w:t>、相关许可证书</w:t>
      </w:r>
      <w:r>
        <w:rPr>
          <w:rFonts w:hint="eastAsia" w:ascii="仿宋_GB2312" w:hAnsi="仿宋" w:eastAsia="仿宋_GB2312" w:cs="Times New Roman"/>
          <w:color w:val="auto"/>
          <w:sz w:val="32"/>
          <w:highlight w:val="none"/>
        </w:rPr>
        <w:t>；</w:t>
      </w:r>
    </w:p>
    <w:p>
      <w:pPr>
        <w:spacing w:line="560" w:lineRule="exact"/>
        <w:ind w:firstLine="640" w:firstLineChars="200"/>
        <w:jc w:val="both"/>
        <w:rPr>
          <w:color w:val="auto"/>
          <w:sz w:val="32"/>
          <w:szCs w:val="32"/>
          <w:highlight w:val="none"/>
        </w:rPr>
      </w:pPr>
      <w:r>
        <w:rPr>
          <w:rFonts w:hint="default" w:ascii="仿宋_GB2312" w:hAnsi="仿宋" w:eastAsia="仿宋_GB2312" w:cs="Times New Roman"/>
          <w:color w:val="auto"/>
          <w:sz w:val="32"/>
          <w:szCs w:val="32"/>
          <w:highlight w:val="none"/>
          <w:lang w:val="en-US"/>
        </w:rPr>
        <w:t>2</w:t>
      </w:r>
      <w:r>
        <w:rPr>
          <w:rFonts w:hint="eastAsia" w:ascii="仿宋_GB2312" w:hAnsi="仿宋" w:eastAsia="仿宋_GB2312" w:cs="Times New Roman"/>
          <w:color w:val="auto"/>
          <w:sz w:val="32"/>
          <w:szCs w:val="32"/>
          <w:highlight w:val="none"/>
        </w:rPr>
        <w:t>.法定代表人身份证复印件；</w:t>
      </w:r>
    </w:p>
    <w:p>
      <w:pPr>
        <w:pStyle w:val="8"/>
        <w:spacing w:after="0" w:line="560" w:lineRule="exact"/>
        <w:ind w:left="0" w:leftChars="0" w:right="0" w:rightChars="0" w:firstLine="640"/>
        <w:jc w:val="both"/>
        <w:rPr>
          <w:rFonts w:hint="eastAsia" w:ascii="仿宋_GB2312" w:hAnsi="仿宋" w:eastAsia="仿宋_GB2312" w:cs="Times New Roman"/>
          <w:color w:val="auto"/>
          <w:sz w:val="32"/>
          <w:highlight w:val="none"/>
        </w:rPr>
      </w:pPr>
      <w:r>
        <w:rPr>
          <w:rFonts w:hint="default" w:ascii="仿宋_GB2312" w:hAnsi="仿宋" w:eastAsia="仿宋_GB2312" w:cs="Times New Roman"/>
          <w:color w:val="auto"/>
          <w:sz w:val="32"/>
          <w:highlight w:val="none"/>
          <w:lang w:val="en-US"/>
        </w:rPr>
        <w:t>3</w:t>
      </w:r>
      <w:r>
        <w:rPr>
          <w:rFonts w:hint="eastAsia" w:ascii="仿宋_GB2312" w:hAnsi="仿宋" w:eastAsia="仿宋_GB2312" w:cs="Times New Roman"/>
          <w:color w:val="auto"/>
          <w:sz w:val="32"/>
          <w:highlight w:val="none"/>
        </w:rPr>
        <w:t>.项目报价</w:t>
      </w:r>
      <w:r>
        <w:rPr>
          <w:rFonts w:hint="eastAsia" w:ascii="仿宋_GB2312" w:hAnsi="仿宋" w:eastAsia="仿宋_GB2312" w:cs="Times New Roman"/>
          <w:color w:val="auto"/>
          <w:sz w:val="32"/>
          <w:highlight w:val="none"/>
          <w:lang w:eastAsia="zh-CN"/>
        </w:rPr>
        <w:t>表</w:t>
      </w:r>
      <w:r>
        <w:rPr>
          <w:rFonts w:hint="eastAsia" w:ascii="仿宋_GB2312" w:hAnsi="仿宋" w:eastAsia="仿宋_GB2312" w:cs="Times New Roman"/>
          <w:b/>
          <w:bCs/>
          <w:color w:val="auto"/>
          <w:sz w:val="32"/>
          <w:highlight w:val="none"/>
          <w:lang w:eastAsia="zh-CN"/>
        </w:rPr>
        <w:t>（需按格式提供）</w:t>
      </w:r>
      <w:r>
        <w:rPr>
          <w:rFonts w:hint="eastAsia" w:ascii="仿宋_GB2312" w:hAnsi="仿宋" w:eastAsia="仿宋_GB2312" w:cs="Times New Roman"/>
          <w:color w:val="auto"/>
          <w:sz w:val="32"/>
          <w:highlight w:val="none"/>
        </w:rPr>
        <w:t>；</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default" w:ascii="仿宋_GB2312" w:hAnsi="仿宋" w:eastAsia="仿宋_GB2312" w:cs="Times New Roman"/>
          <w:color w:val="auto"/>
          <w:sz w:val="32"/>
          <w:highlight w:val="none"/>
          <w:lang w:val="en-US" w:eastAsia="zh-CN"/>
        </w:rPr>
        <w:t>4</w:t>
      </w:r>
      <w:r>
        <w:rPr>
          <w:rFonts w:hint="eastAsia" w:ascii="仿宋_GB2312" w:hAnsi="仿宋" w:eastAsia="仿宋_GB2312" w:cs="Times New Roman"/>
          <w:color w:val="auto"/>
          <w:sz w:val="32"/>
          <w:highlight w:val="none"/>
          <w:lang w:val="en-US" w:eastAsia="zh-CN"/>
        </w:rPr>
        <w:t>.诚信承诺书（详见附件1）；</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auto"/>
          <w:kern w:val="2"/>
          <w:sz w:val="32"/>
          <w:szCs w:val="24"/>
          <w:highlight w:val="none"/>
          <w:lang w:val="en-US" w:eastAsia="zh-CN" w:bidi="ar-SA"/>
        </w:rPr>
      </w:pPr>
      <w:r>
        <w:rPr>
          <w:rFonts w:hint="default" w:ascii="仿宋_GB2312" w:hAnsi="仿宋" w:eastAsia="仿宋_GB2312" w:cs="Times New Roman"/>
          <w:color w:val="auto"/>
          <w:kern w:val="2"/>
          <w:sz w:val="32"/>
          <w:szCs w:val="24"/>
          <w:highlight w:val="none"/>
          <w:lang w:val="en-US" w:eastAsia="zh-CN" w:bidi="ar-SA"/>
        </w:rPr>
        <w:t>5</w:t>
      </w:r>
      <w:r>
        <w:rPr>
          <w:rFonts w:hint="eastAsia" w:ascii="仿宋_GB2312" w:hAnsi="仿宋" w:eastAsia="仿宋_GB2312" w:cs="Times New Roman"/>
          <w:color w:val="auto"/>
          <w:kern w:val="2"/>
          <w:sz w:val="32"/>
          <w:szCs w:val="24"/>
          <w:highlight w:val="none"/>
          <w:lang w:val="en-US" w:eastAsia="zh-CN" w:bidi="ar-SA"/>
        </w:rPr>
        <w:t>.填写《供应商基本情况表》（加盖单位公章，详见附件2），</w:t>
      </w:r>
      <w:r>
        <w:rPr>
          <w:rFonts w:hint="eastAsia" w:ascii="仿宋_GB2312" w:hAnsi="仿宋" w:eastAsia="仿宋_GB2312" w:cs="Times New Roman"/>
          <w:b/>
          <w:bCs/>
          <w:color w:val="auto"/>
          <w:kern w:val="2"/>
          <w:sz w:val="32"/>
          <w:szCs w:val="24"/>
          <w:highlight w:val="none"/>
          <w:lang w:val="en-US" w:eastAsia="zh-CN" w:bidi="ar-SA"/>
        </w:rPr>
        <w:t>并完整提交表格列明的供应商相关人员近三个月社保缴纳证明</w:t>
      </w:r>
      <w:r>
        <w:rPr>
          <w:rFonts w:hint="eastAsia" w:ascii="仿宋_GB2312" w:hAnsi="仿宋" w:eastAsia="仿宋_GB2312" w:cs="Times New Roman"/>
          <w:color w:val="auto"/>
          <w:kern w:val="2"/>
          <w:sz w:val="32"/>
          <w:szCs w:val="24"/>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auto"/>
          <w:kern w:val="2"/>
          <w:sz w:val="32"/>
          <w:szCs w:val="24"/>
          <w:highlight w:val="none"/>
          <w:lang w:val="en-US" w:eastAsia="zh-CN" w:bidi="ar-SA"/>
        </w:rPr>
        <w:t>投标人未完整按要求提供对应人员社保材料的，将作投标无效处理。</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6</w:t>
      </w:r>
      <w:r>
        <w:rPr>
          <w:rFonts w:hint="eastAsia" w:ascii="仿宋_GB2312" w:hAnsi="仿宋" w:eastAsia="仿宋_GB2312" w:cs="Times New Roman"/>
          <w:color w:val="auto"/>
          <w:sz w:val="32"/>
          <w:highlight w:val="none"/>
        </w:rPr>
        <w:t>.评分规则所需资料（同类业绩证明、方案等）；</w:t>
      </w:r>
    </w:p>
    <w:p>
      <w:pPr>
        <w:pStyle w:val="8"/>
        <w:spacing w:after="0" w:line="560" w:lineRule="exact"/>
        <w:ind w:left="0" w:leftChars="0" w:right="0" w:rightChars="0" w:firstLine="640"/>
        <w:jc w:val="both"/>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sz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color w:val="auto"/>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1.供应商须在</w:t>
      </w:r>
      <w:r>
        <w:rPr>
          <w:rFonts w:hint="default" w:ascii="仿宋_GB2312" w:hAnsi="仿宋" w:eastAsia="仿宋_GB2312" w:cs="Times New Roman"/>
          <w:color w:val="auto"/>
          <w:sz w:val="32"/>
          <w:highlight w:val="none"/>
          <w:lang w:val="en-US" w:eastAsia="zh-CN"/>
        </w:rPr>
        <w:t>深圳政府采购自行采购系统</w:t>
      </w:r>
      <w:r>
        <w:rPr>
          <w:rFonts w:hint="eastAsia" w:ascii="仿宋_GB2312" w:hAnsi="仿宋" w:eastAsia="仿宋_GB2312" w:cs="Times New Roman"/>
          <w:color w:val="auto"/>
          <w:kern w:val="2"/>
          <w:sz w:val="32"/>
          <w:szCs w:val="24"/>
          <w:highlight w:val="none"/>
          <w:lang w:val="en-US" w:eastAsia="zh-CN" w:bidi="ar-SA"/>
        </w:rPr>
        <w:t>完成注册（网址：https://zxcg.szggzy.com/home/index.html），请于本项目投标截止时间前完成注册，否则如中标/成交，可能影响采购结果的发布。</w:t>
      </w:r>
    </w:p>
    <w:p>
      <w:pPr>
        <w:pStyle w:val="8"/>
        <w:spacing w:after="0" w:line="560" w:lineRule="exact"/>
        <w:ind w:left="0" w:leftChars="0" w:right="0" w:rightChars="0" w:firstLine="640"/>
        <w:jc w:val="both"/>
        <w:rPr>
          <w:rFonts w:hint="eastAsia"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2.</w:t>
      </w:r>
      <w:r>
        <w:rPr>
          <w:rFonts w:hint="eastAsia" w:ascii="仿宋_GB2312" w:hAnsi="仿宋" w:eastAsia="仿宋_GB2312" w:cs="Times New Roman"/>
          <w:color w:val="auto"/>
          <w:sz w:val="32"/>
          <w:highlight w:val="none"/>
        </w:rPr>
        <w:t>供应商需</w:t>
      </w:r>
      <w:r>
        <w:rPr>
          <w:rFonts w:hint="eastAsia" w:ascii="仿宋_GB2312" w:hAnsi="仿宋" w:eastAsia="仿宋_GB2312" w:cs="Times New Roman"/>
          <w:color w:val="auto"/>
          <w:sz w:val="32"/>
          <w:highlight w:val="none"/>
          <w:lang w:val="en-US" w:eastAsia="zh-CN"/>
        </w:rPr>
        <w:t>以</w:t>
      </w:r>
      <w:r>
        <w:rPr>
          <w:rFonts w:hint="eastAsia" w:ascii="仿宋_GB2312" w:hAnsi="仿宋" w:eastAsia="仿宋_GB2312" w:cs="Times New Roman"/>
          <w:color w:val="auto"/>
          <w:sz w:val="32"/>
          <w:highlight w:val="none"/>
        </w:rPr>
        <w:t>邮寄</w:t>
      </w:r>
      <w:r>
        <w:rPr>
          <w:rFonts w:hint="eastAsia" w:ascii="仿宋_GB2312" w:hAnsi="仿宋" w:eastAsia="仿宋_GB2312" w:cs="Times New Roman"/>
          <w:color w:val="auto"/>
          <w:sz w:val="32"/>
          <w:highlight w:val="none"/>
          <w:lang w:val="en-US" w:eastAsia="zh-CN"/>
        </w:rPr>
        <w:t>方式提供5</w:t>
      </w:r>
      <w:r>
        <w:rPr>
          <w:rFonts w:hint="eastAsia" w:ascii="仿宋_GB2312" w:hAnsi="仿宋" w:eastAsia="仿宋_GB2312" w:cs="Times New Roman"/>
          <w:color w:val="auto"/>
          <w:sz w:val="32"/>
          <w:highlight w:val="none"/>
        </w:rPr>
        <w:t>份密封纸质版投标资料至本单位</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highlight w:val="none"/>
          <w:lang w:val="en-US" w:eastAsia="zh-CN"/>
        </w:rPr>
        <w:t>并在封面备注“2026年中国文化名人大营救纪念馆云端</w:t>
      </w:r>
    </w:p>
    <w:p>
      <w:pPr>
        <w:pStyle w:val="8"/>
        <w:spacing w:after="0" w:line="560" w:lineRule="exact"/>
        <w:ind w:left="0" w:leftChars="0" w:right="0" w:rightChars="0" w:firstLine="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数字化展陈</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项目+公司全称+日期+联系人+联系方式”。</w:t>
      </w:r>
    </w:p>
    <w:p>
      <w:pPr>
        <w:pStyle w:val="8"/>
        <w:spacing w:after="0" w:line="560" w:lineRule="exact"/>
        <w:ind w:left="0" w:leftChars="0" w:right="0" w:rightChars="0"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地址：</w:t>
      </w:r>
      <w:bookmarkStart w:id="1" w:name="OLE_LINK5"/>
      <w:r>
        <w:rPr>
          <w:rFonts w:hint="eastAsia" w:ascii="仿宋_GB2312" w:hAnsi="仿宋" w:eastAsia="仿宋_GB2312" w:cs="Times New Roman"/>
          <w:color w:val="auto"/>
          <w:sz w:val="32"/>
          <w:highlight w:val="none"/>
        </w:rPr>
        <w:t>深圳市龙华区</w:t>
      </w:r>
      <w:r>
        <w:rPr>
          <w:rFonts w:hint="eastAsia" w:ascii="仿宋_GB2312" w:hAnsi="仿宋" w:eastAsia="仿宋_GB2312" w:cs="Times New Roman"/>
          <w:color w:val="auto"/>
          <w:sz w:val="32"/>
          <w:highlight w:val="none"/>
          <w:lang w:val="en-US" w:eastAsia="zh-CN"/>
        </w:rPr>
        <w:t>龙华街道</w:t>
      </w:r>
      <w:r>
        <w:rPr>
          <w:rFonts w:hint="eastAsia" w:ascii="仿宋_GB2312" w:hAnsi="仿宋" w:eastAsia="仿宋_GB2312" w:cs="Times New Roman"/>
          <w:color w:val="auto"/>
          <w:sz w:val="32"/>
          <w:highlight w:val="none"/>
        </w:rPr>
        <w:t>富康行政</w:t>
      </w:r>
      <w:r>
        <w:rPr>
          <w:rFonts w:hint="eastAsia" w:ascii="仿宋_GB2312" w:hAnsi="仿宋" w:eastAsia="仿宋_GB2312" w:cs="Times New Roman"/>
          <w:color w:val="auto"/>
          <w:sz w:val="32"/>
          <w:highlight w:val="none"/>
          <w:lang w:val="en-US" w:eastAsia="zh-CN"/>
        </w:rPr>
        <w:t>服务</w:t>
      </w:r>
      <w:r>
        <w:rPr>
          <w:rFonts w:hint="eastAsia" w:ascii="仿宋_GB2312" w:hAnsi="仿宋" w:eastAsia="仿宋_GB2312" w:cs="Times New Roman"/>
          <w:color w:val="auto"/>
          <w:sz w:val="32"/>
          <w:highlight w:val="none"/>
        </w:rPr>
        <w:t>办公区</w:t>
      </w:r>
      <w:bookmarkEnd w:id="1"/>
    </w:p>
    <w:p>
      <w:pPr>
        <w:pStyle w:val="19"/>
        <w:spacing w:line="560" w:lineRule="exact"/>
        <w:jc w:val="both"/>
        <w:rPr>
          <w:rFonts w:hint="eastAsia"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rPr>
        <w:t>收件人：吴先生</w:t>
      </w:r>
    </w:p>
    <w:p>
      <w:pPr>
        <w:spacing w:line="560" w:lineRule="exact"/>
        <w:ind w:firstLine="640" w:firstLineChars="200"/>
        <w:jc w:val="both"/>
        <w:rPr>
          <w:rFonts w:hint="default" w:ascii="仿宋_GB2312" w:hAnsi="仿宋" w:eastAsia="仿宋_GB2312" w:cs="Times New Roman"/>
          <w:color w:val="auto"/>
          <w:sz w:val="32"/>
          <w:szCs w:val="22"/>
          <w:highlight w:val="none"/>
          <w:lang w:val="en-US"/>
        </w:rPr>
      </w:pPr>
      <w:r>
        <w:rPr>
          <w:rFonts w:hint="eastAsia" w:ascii="仿宋_GB2312" w:hAnsi="仿宋" w:eastAsia="仿宋_GB2312" w:cs="Times New Roman"/>
          <w:color w:val="auto"/>
          <w:sz w:val="32"/>
          <w:highlight w:val="none"/>
        </w:rPr>
        <w:t>联系方式</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szCs w:val="22"/>
          <w:highlight w:val="none"/>
        </w:rPr>
        <w:t>0755-23338</w:t>
      </w:r>
      <w:r>
        <w:rPr>
          <w:rFonts w:hint="default" w:ascii="仿宋_GB2312" w:hAnsi="仿宋" w:eastAsia="仿宋_GB2312" w:cs="Times New Roman"/>
          <w:color w:val="auto"/>
          <w:sz w:val="32"/>
          <w:szCs w:val="22"/>
          <w:highlight w:val="none"/>
          <w:lang w:val="en-US"/>
        </w:rPr>
        <w:t>032</w:t>
      </w:r>
    </w:p>
    <w:p>
      <w:pPr>
        <w:pStyle w:val="19"/>
        <w:spacing w:line="560" w:lineRule="exact"/>
        <w:ind w:firstLine="0" w:firstLineChars="0"/>
        <w:jc w:val="both"/>
        <w:rPr>
          <w:rFonts w:hint="default" w:ascii="黑体" w:hAnsi="黑体" w:eastAsia="黑体" w:cs="黑体"/>
          <w:color w:val="auto"/>
          <w:sz w:val="32"/>
          <w:szCs w:val="32"/>
          <w:highlight w:val="none"/>
          <w:lang w:val="en-US" w:eastAsia="zh-CN"/>
        </w:rPr>
      </w:pPr>
      <w:bookmarkStart w:id="2" w:name="_GoBack"/>
      <w:bookmarkEnd w:id="2"/>
      <w:r>
        <w:rPr>
          <w:rFonts w:ascii="仿宋_GB2312" w:hAnsi="仿宋" w:eastAsia="仿宋_GB2312" w:cs="Times New Roman"/>
          <w:color w:val="auto"/>
          <w:sz w:val="32"/>
          <w:highlight w:val="none"/>
        </w:rPr>
        <w:br w:type="page"/>
      </w: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pPr>
        <w:pStyle w:val="5"/>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color w:val="auto"/>
          <w:highlight w:val="none"/>
          <w:lang w:val="en-US" w:eastAsia="zh-CN"/>
        </w:rPr>
      </w:pPr>
    </w:p>
    <w:p>
      <w:pPr>
        <w:pStyle w:val="2"/>
        <w:rPr>
          <w:rFonts w:hint="default"/>
          <w:color w:val="auto"/>
          <w:highlight w:val="none"/>
          <w:lang w:val="en-US" w:eastAsia="zh-CN"/>
        </w:rPr>
      </w:pPr>
    </w:p>
    <w:p>
      <w:pPr>
        <w:rPr>
          <w:rFonts w:hint="default"/>
          <w:color w:val="auto"/>
          <w:highlight w:val="none"/>
          <w:lang w:val="en-US" w:eastAsia="zh-CN"/>
        </w:rPr>
      </w:pPr>
    </w:p>
    <w:p>
      <w:pPr>
        <w:pStyle w:val="19"/>
        <w:spacing w:line="560" w:lineRule="exact"/>
        <w:ind w:firstLine="0" w:firstLineChars="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pPr>
        <w:pStyle w:val="3"/>
        <w:snapToGrid w:val="0"/>
        <w:spacing w:before="0" w:after="0" w:line="560" w:lineRule="exact"/>
        <w:jc w:val="center"/>
        <w:rPr>
          <w:rFonts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供应商基本情况表</w:t>
      </w:r>
    </w:p>
    <w:p>
      <w:pPr>
        <w:spacing w:line="560" w:lineRule="exact"/>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填表单位：（加盖单位公章）</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采购人</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项目名称</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投标（响应）供应商</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供应商统一社会信用代码</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职务</w:t>
            </w:r>
          </w:p>
        </w:tc>
        <w:tc>
          <w:tcPr>
            <w:tcW w:w="1270"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姓名</w:t>
            </w:r>
          </w:p>
        </w:tc>
        <w:tc>
          <w:tcPr>
            <w:tcW w:w="199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身份证号码</w:t>
            </w:r>
          </w:p>
        </w:tc>
        <w:tc>
          <w:tcPr>
            <w:tcW w:w="1500"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劳动合同</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关系单位</w:t>
            </w:r>
          </w:p>
        </w:tc>
        <w:tc>
          <w:tcPr>
            <w:tcW w:w="2145"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缴纳社会</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3</w:t>
            </w:r>
          </w:p>
        </w:tc>
        <w:tc>
          <w:tcPr>
            <w:tcW w:w="2345"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项目负责人</w:t>
            </w:r>
          </w:p>
        </w:tc>
        <w:tc>
          <w:tcPr>
            <w:tcW w:w="127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4</w:t>
            </w:r>
          </w:p>
        </w:tc>
        <w:tc>
          <w:tcPr>
            <w:tcW w:w="2345"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主要技术人员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w:t>
            </w:r>
          </w:p>
        </w:tc>
        <w:tc>
          <w:tcPr>
            <w:tcW w:w="2345" w:type="dxa"/>
            <w:gridSpan w:val="2"/>
            <w:noWrap w:val="0"/>
            <w:vAlign w:val="center"/>
          </w:tcPr>
          <w:p>
            <w:pPr>
              <w:pStyle w:val="6"/>
              <w:snapToGrid w:val="0"/>
              <w:spacing w:line="240" w:lineRule="auto"/>
              <w:ind w:firstLine="0" w:firstLineChars="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投标文件编制人员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both"/>
              <w:rPr>
                <w:rFonts w:ascii="方正仿宋_GBK" w:hAnsi="方正仿宋_GBK" w:eastAsia="方正仿宋_GBK" w:cs="方正仿宋_GBK"/>
                <w:b/>
                <w:bCs/>
                <w:color w:val="auto"/>
                <w:sz w:val="24"/>
                <w:highlight w:val="none"/>
              </w:rPr>
            </w:pPr>
            <w:r>
              <w:rPr>
                <w:rFonts w:hint="eastAsia" w:ascii="方正仿宋_GBK" w:hAnsi="方正仿宋_GBK" w:eastAsia="方正仿宋_GBK" w:cs="方正仿宋_GBK"/>
                <w:b/>
                <w:bCs/>
                <w:color w:val="auto"/>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关联关系类型</w:t>
            </w:r>
          </w:p>
        </w:tc>
        <w:tc>
          <w:tcPr>
            <w:tcW w:w="206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关联主体名称</w:t>
            </w:r>
          </w:p>
        </w:tc>
        <w:tc>
          <w:tcPr>
            <w:tcW w:w="4845" w:type="dxa"/>
            <w:gridSpan w:val="3"/>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说明：同一关联关系类型有多个主体的，应分行填写。</w:t>
            </w:r>
          </w:p>
        </w:tc>
      </w:tr>
    </w:tbl>
    <w:p>
      <w:pPr>
        <w:rPr>
          <w:rFonts w:hint="default"/>
          <w:color w:val="auto"/>
          <w:highlight w:val="none"/>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EA0B6"/>
    <w:multiLevelType w:val="singleLevel"/>
    <w:tmpl w:val="DCFEA0B6"/>
    <w:lvl w:ilvl="0" w:tentative="0">
      <w:start w:val="1"/>
      <w:numFmt w:val="chineseCounting"/>
      <w:suff w:val="nothing"/>
      <w:lvlText w:val="%1、"/>
      <w:lvlJc w:val="left"/>
      <w:rPr>
        <w:rFonts w:hint="eastAsia"/>
      </w:rPr>
    </w:lvl>
  </w:abstractNum>
  <w:abstractNum w:abstractNumId="1">
    <w:nsid w:val="3FDDD018"/>
    <w:multiLevelType w:val="singleLevel"/>
    <w:tmpl w:val="3FDDD018"/>
    <w:lvl w:ilvl="0" w:tentative="0">
      <w:start w:val="2"/>
      <w:numFmt w:val="chineseCounting"/>
      <w:suff w:val="nothing"/>
      <w:lvlText w:val="（%1）"/>
      <w:lvlJc w:val="left"/>
      <w:rPr>
        <w:rFonts w:hint="eastAsia"/>
      </w:rPr>
    </w:lvl>
  </w:abstractNum>
  <w:abstractNum w:abstractNumId="2">
    <w:nsid w:val="4EB6E0C6"/>
    <w:multiLevelType w:val="singleLevel"/>
    <w:tmpl w:val="4EB6E0C6"/>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9A82D92"/>
    <w:rsid w:val="0C871352"/>
    <w:rsid w:val="0E0D172C"/>
    <w:rsid w:val="12547787"/>
    <w:rsid w:val="14596E2E"/>
    <w:rsid w:val="16EB8C75"/>
    <w:rsid w:val="19100EF2"/>
    <w:rsid w:val="1BFABADF"/>
    <w:rsid w:val="23502079"/>
    <w:rsid w:val="2B9FF106"/>
    <w:rsid w:val="2BFFDF69"/>
    <w:rsid w:val="2E854680"/>
    <w:rsid w:val="3204220D"/>
    <w:rsid w:val="33106F79"/>
    <w:rsid w:val="37EF7794"/>
    <w:rsid w:val="38536A98"/>
    <w:rsid w:val="386E38A1"/>
    <w:rsid w:val="39072D82"/>
    <w:rsid w:val="3908401F"/>
    <w:rsid w:val="3BDFFA67"/>
    <w:rsid w:val="3CF77B7D"/>
    <w:rsid w:val="3D5FDCFC"/>
    <w:rsid w:val="3F1F3B18"/>
    <w:rsid w:val="3F7D16C5"/>
    <w:rsid w:val="4B002686"/>
    <w:rsid w:val="547F5127"/>
    <w:rsid w:val="57F689EF"/>
    <w:rsid w:val="5A590A2D"/>
    <w:rsid w:val="5ADB1CB8"/>
    <w:rsid w:val="5D2B5A48"/>
    <w:rsid w:val="5DD84F45"/>
    <w:rsid w:val="5DDF09FC"/>
    <w:rsid w:val="5F2BE56A"/>
    <w:rsid w:val="5FB51529"/>
    <w:rsid w:val="5FD451F2"/>
    <w:rsid w:val="69FCA499"/>
    <w:rsid w:val="6BBFA44A"/>
    <w:rsid w:val="6BCE135A"/>
    <w:rsid w:val="6BDF8B32"/>
    <w:rsid w:val="6CFFD566"/>
    <w:rsid w:val="6DCE4BA0"/>
    <w:rsid w:val="6F0F4100"/>
    <w:rsid w:val="6FC72380"/>
    <w:rsid w:val="6FDF1BC5"/>
    <w:rsid w:val="6FEFA556"/>
    <w:rsid w:val="73FB884D"/>
    <w:rsid w:val="75ADC840"/>
    <w:rsid w:val="773E6F28"/>
    <w:rsid w:val="77FABDDE"/>
    <w:rsid w:val="7B7E8E93"/>
    <w:rsid w:val="7BD3E33C"/>
    <w:rsid w:val="7BF7E217"/>
    <w:rsid w:val="7BFE7F81"/>
    <w:rsid w:val="7D9F3A20"/>
    <w:rsid w:val="7DAF2EE9"/>
    <w:rsid w:val="7DCAB5DF"/>
    <w:rsid w:val="7DD39989"/>
    <w:rsid w:val="7DFEC7DC"/>
    <w:rsid w:val="7E9F479A"/>
    <w:rsid w:val="7F53BE02"/>
    <w:rsid w:val="7F7F56E2"/>
    <w:rsid w:val="7FACF550"/>
    <w:rsid w:val="7FBBE55B"/>
    <w:rsid w:val="7FED79C5"/>
    <w:rsid w:val="7FF1A597"/>
    <w:rsid w:val="7FFCC556"/>
    <w:rsid w:val="7FFDDD02"/>
    <w:rsid w:val="9EFFBBA7"/>
    <w:rsid w:val="9FF753B3"/>
    <w:rsid w:val="9FF76098"/>
    <w:rsid w:val="A9FF627C"/>
    <w:rsid w:val="BBFF548B"/>
    <w:rsid w:val="BC9B71C6"/>
    <w:rsid w:val="BDDDDC5F"/>
    <w:rsid w:val="CB3749E5"/>
    <w:rsid w:val="CEAEA899"/>
    <w:rsid w:val="CF5F878D"/>
    <w:rsid w:val="DDF56390"/>
    <w:rsid w:val="DEB7FE68"/>
    <w:rsid w:val="DFA5B1AA"/>
    <w:rsid w:val="DFFF69F1"/>
    <w:rsid w:val="E376E1AF"/>
    <w:rsid w:val="E77E6E49"/>
    <w:rsid w:val="EDBC5C62"/>
    <w:rsid w:val="EDF745E5"/>
    <w:rsid w:val="EEA1827D"/>
    <w:rsid w:val="EFEEAA5D"/>
    <w:rsid w:val="EFF64497"/>
    <w:rsid w:val="EFFBB246"/>
    <w:rsid w:val="F47A1198"/>
    <w:rsid w:val="FDFF1114"/>
    <w:rsid w:val="FDFFDEC4"/>
    <w:rsid w:val="FF5D0031"/>
    <w:rsid w:val="FFBFB86A"/>
    <w:rsid w:val="FFD9D6AD"/>
    <w:rsid w:val="FFEF2FC6"/>
    <w:rsid w:val="FFF0A461"/>
    <w:rsid w:val="FFFB3524"/>
    <w:rsid w:val="FFFDEEF7"/>
    <w:rsid w:val="FFFFB4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paragraph" w:styleId="6">
    <w:name w:val="Normal Indent"/>
    <w:basedOn w:val="1"/>
    <w:qFormat/>
    <w:uiPriority w:val="0"/>
    <w:pPr>
      <w:ind w:firstLine="420"/>
    </w:pPr>
    <w:rPr>
      <w:szCs w:val="20"/>
    </w:rPr>
  </w:style>
  <w:style w:type="paragraph" w:styleId="7">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8">
    <w:name w:val="Block Text"/>
    <w:basedOn w:val="1"/>
    <w:qFormat/>
    <w:uiPriority w:val="0"/>
    <w:pPr>
      <w:tabs>
        <w:tab w:val="left" w:pos="426"/>
      </w:tabs>
      <w:spacing w:after="120"/>
      <w:ind w:left="1440" w:leftChars="700" w:right="1440" w:rightChars="700"/>
    </w:pPr>
  </w:style>
  <w:style w:type="paragraph" w:styleId="9">
    <w:name w:val="Plain Text"/>
    <w:basedOn w:val="1"/>
    <w:unhideWhenUsed/>
    <w:qFormat/>
    <w:uiPriority w:val="99"/>
    <w:rPr>
      <w:rFonts w:ascii="宋体" w:hAnsi="Calibri" w:cs="Courier New"/>
      <w:szCs w:val="21"/>
    </w:rPr>
  </w:style>
  <w:style w:type="paragraph" w:styleId="10">
    <w:name w:val="Body Text 2"/>
    <w:basedOn w:val="1"/>
    <w:qFormat/>
    <w:uiPriority w:val="0"/>
    <w:pPr>
      <w:spacing w:line="360" w:lineRule="auto"/>
    </w:pPr>
    <w:rPr>
      <w:sz w:val="24"/>
    </w:rPr>
  </w:style>
  <w:style w:type="paragraph" w:styleId="11">
    <w:name w:val="Normal (Web)"/>
    <w:basedOn w:val="1"/>
    <w:qFormat/>
    <w:uiPriority w:val="99"/>
    <w:rPr>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styleId="16">
    <w:name w:val="List Paragraph"/>
    <w:basedOn w:val="17"/>
    <w:qFormat/>
    <w:uiPriority w:val="34"/>
    <w:pPr>
      <w:ind w:firstLine="420" w:firstLineChars="200"/>
    </w:pPr>
  </w:style>
  <w:style w:type="paragraph" w:customStyle="1" w:styleId="17">
    <w:name w:val="星耀正文"/>
    <w:basedOn w:val="1"/>
    <w:qFormat/>
    <w:uiPriority w:val="3"/>
    <w:pPr>
      <w:ind w:firstLine="422" w:firstLineChars="200"/>
    </w:pPr>
    <w:rPr>
      <w:rFonts w:ascii="宋体" w:hAnsi="宋体" w:eastAsia="仿宋_GB2312"/>
      <w:bCs/>
    </w:rPr>
  </w:style>
  <w:style w:type="paragraph" w:customStyle="1" w:styleId="18">
    <w:name w:val="USE 1"/>
    <w:basedOn w:val="1"/>
    <w:qFormat/>
    <w:uiPriority w:val="0"/>
    <w:pPr>
      <w:spacing w:line="200" w:lineRule="atLeast"/>
      <w:jc w:val="left"/>
    </w:pPr>
    <w:rPr>
      <w:rFonts w:ascii="宋体" w:hAnsi="宋体"/>
      <w:b/>
      <w:sz w:val="24"/>
      <w:szCs w:val="28"/>
    </w:rPr>
  </w:style>
  <w:style w:type="paragraph" w:customStyle="1" w:styleId="19">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0">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1484</Words>
  <Characters>1541</Characters>
  <Lines>0</Lines>
  <Paragraphs>0</Paragraphs>
  <TotalTime>2</TotalTime>
  <ScaleCrop>false</ScaleCrop>
  <LinksUpToDate>false</LinksUpToDate>
  <CharactersWithSpaces>1549</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2025-04-27T09:16:00Z</dcterms:created>
  <dc:creator>yang</dc:creator>
  <cp:lastModifiedBy>lxy</cp:lastModifiedBy>
  <dcterms:modified xsi:type="dcterms:W3CDTF">2026-08-18T17:35:56Z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ADB2D791B20440788D3D19EF5E8F1043_13</vt:lpwstr>
  </property>
  <property fmtid="{D5CDD505-2E9C-101B-9397-08002B2CF9AE}" pid="4" name="KSOTemplateDocerSaveRecord">
    <vt:lpwstr>eyJoZGlkIjoiZTdjMTk5ZDAwOTQ0NGQ1OGUzNjJmMjdkOWU0NGYyNjAiLCJ1c2VySWQiOiI1Mjk4Nzc2NTkifQ==</vt:lpwstr>
  </property>
</Properties>
</file>