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仿宋_GB2312" w:hAnsi="Times New Roman" w:eastAsia="仿宋_GB2312"/>
          <w:sz w:val="32"/>
          <w:szCs w:val="32"/>
        </w:rPr>
      </w:pPr>
      <w:r>
        <w:rPr>
          <w:rFonts w:hint="eastAsia" w:ascii="黑体" w:hAnsi="黑体" w:eastAsia="黑体" w:cs="黑体"/>
          <w:snapToGrid w:val="0"/>
          <w:kern w:val="0"/>
          <w:sz w:val="32"/>
          <w:szCs w:val="32"/>
        </w:rPr>
        <w:t>附件</w:t>
      </w:r>
    </w:p>
    <w:p>
      <w:pPr>
        <w:snapToGrid w:val="0"/>
        <w:spacing w:line="560" w:lineRule="exact"/>
        <w:jc w:val="both"/>
        <w:rPr>
          <w:rFonts w:ascii="微软雅黑" w:hAnsi="Times New Roman" w:eastAsia="微软雅黑"/>
          <w:sz w:val="44"/>
          <w:szCs w:val="44"/>
        </w:rPr>
      </w:pPr>
    </w:p>
    <w:p>
      <w:pPr>
        <w:pBdr>
          <w:top w:val="none" w:color="auto" w:sz="0" w:space="1"/>
          <w:left w:val="none" w:color="auto" w:sz="0" w:space="3"/>
          <w:bottom w:val="none" w:color="auto" w:sz="0" w:space="1"/>
          <w:right w:val="none" w:color="auto" w:sz="0" w:space="4"/>
        </w:pBdr>
        <w:adjustRightInd w:val="0"/>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社会组织财务专项审计需提供资料清单</w:t>
      </w:r>
    </w:p>
    <w:p>
      <w:pPr>
        <w:pBdr>
          <w:top w:val="none" w:color="auto" w:sz="0" w:space="1"/>
          <w:left w:val="none" w:color="auto" w:sz="0" w:space="3"/>
          <w:bottom w:val="none" w:color="auto" w:sz="0" w:space="1"/>
          <w:right w:val="none" w:color="auto" w:sz="0" w:space="4"/>
        </w:pBdr>
        <w:adjustRightInd w:val="0"/>
        <w:snapToGrid w:val="0"/>
        <w:spacing w:line="560" w:lineRule="exact"/>
        <w:jc w:val="center"/>
        <w:rPr>
          <w:rFonts w:hint="eastAsia" w:ascii="方正小标宋简体" w:hAnsi="方正小标宋简体" w:eastAsia="方正小标宋简体" w:cs="方正小标宋简体"/>
          <w:sz w:val="44"/>
          <w:szCs w:val="44"/>
        </w:rPr>
      </w:pPr>
    </w:p>
    <w:p>
      <w:pPr>
        <w:snapToGri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请各</w:t>
      </w:r>
      <w:r>
        <w:rPr>
          <w:rFonts w:hint="eastAsia" w:ascii="仿宋_GB2312" w:hAnsi="Times New Roman" w:eastAsia="仿宋_GB2312"/>
          <w:sz w:val="32"/>
          <w:szCs w:val="32"/>
          <w:lang w:val="en-US" w:eastAsia="zh-CN"/>
        </w:rPr>
        <w:t>单位</w:t>
      </w:r>
      <w:r>
        <w:rPr>
          <w:rFonts w:hint="eastAsia" w:ascii="仿宋_GB2312" w:hAnsi="Times New Roman" w:eastAsia="仿宋_GB2312"/>
          <w:sz w:val="32"/>
          <w:szCs w:val="32"/>
        </w:rPr>
        <w:t>提供</w:t>
      </w:r>
      <w:r>
        <w:rPr>
          <w:rFonts w:hint="eastAsia" w:ascii="仿宋_GB2312" w:hAnsi="Times New Roman" w:eastAsia="仿宋_GB2312"/>
          <w:sz w:val="32"/>
          <w:szCs w:val="32"/>
          <w:lang w:val="en-US" w:eastAsia="zh-CN"/>
        </w:rPr>
        <w:t>下列</w:t>
      </w:r>
      <w:r>
        <w:rPr>
          <w:rFonts w:hint="eastAsia" w:ascii="仿宋_GB2312" w:hAnsi="Times New Roman" w:eastAsia="仿宋_GB2312"/>
          <w:sz w:val="32"/>
          <w:szCs w:val="32"/>
        </w:rPr>
        <w:t>有关资料：</w:t>
      </w:r>
    </w:p>
    <w:p>
      <w:pPr>
        <w:snapToGrid w:val="0"/>
        <w:spacing w:line="560" w:lineRule="exact"/>
        <w:ind w:firstLine="642" w:firstLineChars="200"/>
        <w:rPr>
          <w:rFonts w:hint="eastAsia" w:ascii="仿宋_GB2312" w:hAnsi="仿宋_GB2312" w:eastAsia="仿宋_GB2312" w:cs="仿宋_GB2312"/>
          <w:kern w:val="2"/>
          <w:sz w:val="32"/>
          <w:szCs w:val="32"/>
          <w:lang w:eastAsia="zh-CN"/>
        </w:rPr>
      </w:pPr>
      <w:r>
        <w:rPr>
          <w:rFonts w:hint="eastAsia" w:ascii="仿宋_GB2312" w:hAnsi="Times New Roman" w:eastAsia="仿宋_GB2312"/>
          <w:b/>
          <w:bCs/>
          <w:sz w:val="32"/>
          <w:szCs w:val="32"/>
          <w:lang w:val="en-US" w:eastAsia="zh-CN"/>
        </w:rPr>
        <w:t>本次审计期间为：</w:t>
      </w:r>
      <w:r>
        <w:rPr>
          <w:rFonts w:hint="eastAsia" w:ascii="仿宋_GB2312" w:hAnsi="仿宋_GB2312" w:eastAsia="仿宋_GB2312" w:cs="仿宋_GB2312"/>
          <w:sz w:val="32"/>
          <w:szCs w:val="32"/>
        </w:rPr>
        <w:t>2024年1月1日至2025年12月31日</w:t>
      </w:r>
      <w:r>
        <w:rPr>
          <w:rFonts w:hint="eastAsia" w:ascii="仿宋_GB2312" w:hAnsi="仿宋_GB2312" w:eastAsia="仿宋_GB2312" w:cs="仿宋_GB2312"/>
          <w:kern w:val="2"/>
          <w:sz w:val="32"/>
          <w:szCs w:val="32"/>
          <w:lang w:eastAsia="zh-CN"/>
        </w:rPr>
        <w:t>。</w:t>
      </w:r>
    </w:p>
    <w:p>
      <w:pPr>
        <w:snapToGrid w:val="0"/>
        <w:spacing w:line="560" w:lineRule="exact"/>
        <w:ind w:firstLine="642" w:firstLineChars="200"/>
        <w:rPr>
          <w:rFonts w:hint="default" w:ascii="仿宋_GB2312" w:hAnsi="仿宋_GB2312" w:eastAsia="仿宋_GB2312" w:cs="仿宋_GB2312"/>
          <w:b/>
          <w:bCs/>
          <w:kern w:val="2"/>
          <w:sz w:val="32"/>
          <w:szCs w:val="32"/>
          <w:lang w:val="en-US" w:eastAsia="zh-CN"/>
        </w:rPr>
      </w:pPr>
      <w:r>
        <w:rPr>
          <w:rFonts w:hint="eastAsia" w:ascii="仿宋_GB2312" w:hAnsi="仿宋_GB2312" w:eastAsia="仿宋_GB2312" w:cs="仿宋_GB2312"/>
          <w:b/>
          <w:bCs/>
          <w:kern w:val="2"/>
          <w:sz w:val="32"/>
          <w:szCs w:val="32"/>
          <w:lang w:val="en-US" w:eastAsia="zh-CN"/>
        </w:rPr>
        <w:t>资料提供方式</w:t>
      </w:r>
      <w:r>
        <w:rPr>
          <w:rFonts w:hint="eastAsia" w:ascii="仿宋_GB2312" w:hAnsi="仿宋_GB2312" w:eastAsia="仿宋_GB2312" w:cs="仿宋_GB2312"/>
          <w:kern w:val="2"/>
          <w:sz w:val="32"/>
          <w:szCs w:val="32"/>
          <w:lang w:val="en-US" w:eastAsia="zh-CN"/>
        </w:rPr>
        <w:t>：请按模块、序号以文件夹的形式提供相应的电子资料，</w:t>
      </w:r>
      <w:r>
        <w:rPr>
          <w:rFonts w:hint="eastAsia" w:ascii="仿宋_GB2312" w:hAnsi="仿宋_GB2312" w:eastAsia="仿宋_GB2312" w:cs="仿宋_GB2312"/>
          <w:b/>
          <w:bCs/>
          <w:kern w:val="2"/>
          <w:sz w:val="32"/>
          <w:szCs w:val="32"/>
          <w:lang w:val="en-US" w:eastAsia="zh-CN"/>
        </w:rPr>
        <w:t>如本模块资料本单位不涉及，请提供简短文字说明并盖章。</w:t>
      </w:r>
    </w:p>
    <w:p>
      <w:pPr>
        <w:snapToGrid w:val="0"/>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一、基本情况相关资料</w:t>
      </w:r>
    </w:p>
    <w:p>
      <w:pPr>
        <w:widowControl/>
        <w:numPr>
          <w:ilvl w:val="0"/>
          <w:numId w:val="0"/>
        </w:numPr>
        <w:snapToGrid w:val="0"/>
        <w:spacing w:line="560" w:lineRule="exact"/>
        <w:ind w:firstLine="640" w:firstLineChars="200"/>
        <w:rPr>
          <w:rFonts w:hint="eastAsia" w:ascii="仿宋_GB2312" w:hAnsi="Times New Roman" w:eastAsia="仿宋_GB2312"/>
          <w:sz w:val="32"/>
          <w:szCs w:val="32"/>
          <w:highlight w:val="yellow"/>
          <w:lang w:eastAsia="zh-CN"/>
        </w:rPr>
      </w:pPr>
      <w:r>
        <w:rPr>
          <w:rFonts w:hint="eastAsia" w:ascii="仿宋_GB2312" w:hAnsi="Times New Roman" w:eastAsia="仿宋_GB2312" w:cs="Times New Roman"/>
          <w:kern w:val="2"/>
          <w:sz w:val="32"/>
          <w:szCs w:val="32"/>
          <w:lang w:val="en-US" w:eastAsia="zh-CN" w:bidi="ar-SA"/>
        </w:rPr>
        <w:t>（一）</w:t>
      </w:r>
      <w:r>
        <w:rPr>
          <w:rFonts w:hint="eastAsia" w:ascii="仿宋_GB2312" w:hAnsi="Times New Roman" w:eastAsia="仿宋_GB2312"/>
          <w:sz w:val="32"/>
          <w:szCs w:val="32"/>
          <w:highlight w:val="none"/>
          <w:lang w:val="en-US" w:eastAsia="zh-CN"/>
        </w:rPr>
        <w:t>被审计单位</w:t>
      </w:r>
      <w:r>
        <w:rPr>
          <w:rFonts w:hint="eastAsia" w:ascii="仿宋_GB2312" w:hAnsi="Times New Roman" w:eastAsia="仿宋_GB2312"/>
          <w:sz w:val="32"/>
          <w:szCs w:val="32"/>
          <w:highlight w:val="none"/>
        </w:rPr>
        <w:t>审计承诺书</w:t>
      </w:r>
      <w:r>
        <w:rPr>
          <w:rFonts w:hint="eastAsia" w:ascii="仿宋_GB2312" w:hAnsi="Times New Roman" w:eastAsia="仿宋_GB2312"/>
          <w:sz w:val="32"/>
          <w:szCs w:val="32"/>
          <w:highlight w:val="none"/>
          <w:lang w:eastAsia="zh-CN"/>
        </w:rPr>
        <w:t>（请</w:t>
      </w:r>
      <w:r>
        <w:rPr>
          <w:rFonts w:hint="eastAsia" w:ascii="仿宋_GB2312" w:hAnsi="Times New Roman" w:eastAsia="仿宋_GB2312"/>
          <w:sz w:val="32"/>
          <w:szCs w:val="32"/>
          <w:highlight w:val="none"/>
          <w:lang w:val="en-US" w:eastAsia="zh-CN"/>
        </w:rPr>
        <w:t>将</w:t>
      </w:r>
      <w:r>
        <w:rPr>
          <w:rFonts w:hint="eastAsia" w:ascii="仿宋_GB2312" w:hAnsi="Times New Roman" w:eastAsia="仿宋_GB2312"/>
          <w:sz w:val="32"/>
          <w:szCs w:val="32"/>
          <w:highlight w:val="none"/>
          <w:lang w:eastAsia="zh-CN"/>
        </w:rPr>
        <w:t>附件</w:t>
      </w:r>
      <w:r>
        <w:rPr>
          <w:rFonts w:hint="eastAsia" w:ascii="仿宋_GB2312" w:hAnsi="Times New Roman" w:eastAsia="仿宋_GB2312"/>
          <w:sz w:val="32"/>
          <w:szCs w:val="32"/>
          <w:highlight w:val="none"/>
          <w:lang w:val="en-US" w:eastAsia="zh-CN"/>
        </w:rPr>
        <w:t>1-1打印签字并盖章</w:t>
      </w:r>
      <w:r>
        <w:rPr>
          <w:rFonts w:hint="eastAsia" w:ascii="仿宋_GB2312" w:hAnsi="Times New Roman" w:eastAsia="仿宋_GB2312"/>
          <w:sz w:val="32"/>
          <w:szCs w:val="32"/>
          <w:highlight w:val="none"/>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cs="Times New Roman"/>
          <w:kern w:val="2"/>
          <w:sz w:val="32"/>
          <w:szCs w:val="32"/>
          <w:lang w:val="en-US" w:eastAsia="zh-CN" w:bidi="ar-SA"/>
        </w:rPr>
        <w:t>（二）</w:t>
      </w:r>
      <w:r>
        <w:rPr>
          <w:rFonts w:hint="eastAsia" w:ascii="仿宋_GB2312" w:hAnsi="Times New Roman" w:eastAsia="仿宋_GB2312"/>
          <w:sz w:val="32"/>
          <w:szCs w:val="32"/>
        </w:rPr>
        <w:t>社会组织法人登记证书（正、副本）及统一社会信用代码信息；证书载明事项发生变更的，同时提供变更前后材料；</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三）</w:t>
      </w:r>
      <w:r>
        <w:rPr>
          <w:rFonts w:hint="eastAsia" w:ascii="仿宋_GB2312" w:hAnsi="Times New Roman" w:eastAsia="仿宋_GB2312"/>
          <w:sz w:val="32"/>
          <w:szCs w:val="32"/>
        </w:rPr>
        <w:t>现行有效章程及2024—2025年度内历次章程修订稿、会员（代表）大会表决文件、核准或备案材料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四）</w:t>
      </w:r>
      <w:r>
        <w:rPr>
          <w:rFonts w:hint="eastAsia" w:ascii="仿宋_GB2312" w:hAnsi="Times New Roman" w:eastAsia="仿宋_GB2312"/>
          <w:sz w:val="32"/>
          <w:szCs w:val="32"/>
        </w:rPr>
        <w:t>设立登记、法定代表人及负责人备案、业务主管单位或党建工作机构等基础登记资料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五）</w:t>
      </w:r>
      <w:r>
        <w:rPr>
          <w:rFonts w:hint="eastAsia" w:ascii="仿宋_GB2312" w:hAnsi="Times New Roman" w:eastAsia="仿宋_GB2312"/>
          <w:sz w:val="32"/>
          <w:szCs w:val="32"/>
        </w:rPr>
        <w:t>组织架构图、部门及岗位职责、授权审批权限表；说明专职和兼职人员设置情况</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六）</w:t>
      </w:r>
      <w:r>
        <w:rPr>
          <w:rFonts w:hint="eastAsia" w:ascii="仿宋_GB2312" w:hAnsi="Times New Roman" w:eastAsia="仿宋_GB2312"/>
          <w:sz w:val="32"/>
          <w:szCs w:val="32"/>
        </w:rPr>
        <w:t>法定代表人、负责人、理事、监事、秘书长等名单及任职起止时间、届次、产生程序、备案情况；涉及公务员或退（离）休领导干部任职的，提供审批文件</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七）</w:t>
      </w:r>
      <w:r>
        <w:rPr>
          <w:rFonts w:hint="eastAsia" w:ascii="仿宋_GB2312" w:hAnsi="Times New Roman" w:eastAsia="仿宋_GB2312"/>
          <w:sz w:val="32"/>
          <w:szCs w:val="32"/>
        </w:rPr>
        <w:t>员工名册，列明姓名、岗位、入离职日期、用工形式；劳动合同、劳务协议及社保缴纳情况备查。身份证号、银行账号等敏感信息可脱敏</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八）</w:t>
      </w:r>
      <w:r>
        <w:rPr>
          <w:rFonts w:hint="eastAsia" w:ascii="仿宋_GB2312" w:hAnsi="Times New Roman" w:eastAsia="仿宋_GB2312"/>
          <w:sz w:val="32"/>
          <w:szCs w:val="32"/>
        </w:rPr>
        <w:t>办公场所权属证明或租赁、无偿使用协议及租金、水电物业等费用承担说明</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九）</w:t>
      </w:r>
      <w:r>
        <w:rPr>
          <w:rFonts w:hint="eastAsia" w:ascii="仿宋_GB2312" w:hAnsi="Times New Roman" w:eastAsia="仿宋_GB2312"/>
          <w:sz w:val="32"/>
          <w:szCs w:val="32"/>
        </w:rPr>
        <w:t>2024、2025年度工作总结、年度工作计划、年度检查/年度报告及向登记管理机关报送的其他材料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十）</w:t>
      </w:r>
      <w:r>
        <w:rPr>
          <w:rFonts w:hint="eastAsia" w:ascii="仿宋_GB2312" w:hAnsi="Times New Roman" w:eastAsia="仿宋_GB2312"/>
          <w:sz w:val="32"/>
          <w:szCs w:val="32"/>
        </w:rPr>
        <w:t>2024年期初至审计日接受审计、巡视巡察、财政监督、民政检查、税务检查等形成的报告、决定及整改材料。</w:t>
      </w:r>
    </w:p>
    <w:p>
      <w:pPr>
        <w:snapToGrid w:val="0"/>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、内部治理与决策情况相关资料</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lang w:val="en-US" w:eastAsia="zh-CN"/>
        </w:rPr>
        <w:t>以下资料提供范围2024年至2025年）</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一）</w:t>
      </w:r>
      <w:r>
        <w:rPr>
          <w:rFonts w:hint="eastAsia" w:ascii="仿宋_GB2312" w:hAnsi="Times New Roman" w:eastAsia="仿宋_GB2312"/>
          <w:sz w:val="32"/>
          <w:szCs w:val="32"/>
        </w:rPr>
        <w:t>会员名册或会员代表名册及增减变动记录，列明入会、退会、除名及会费缴纳情况</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二）</w:t>
      </w:r>
      <w:r>
        <w:rPr>
          <w:rFonts w:hint="eastAsia" w:ascii="仿宋_GB2312" w:hAnsi="Times New Roman" w:eastAsia="仿宋_GB2312"/>
          <w:sz w:val="32"/>
          <w:szCs w:val="32"/>
        </w:rPr>
        <w:t>会员（代表）大会全部会议资料</w:t>
      </w:r>
      <w:r>
        <w:rPr>
          <w:rFonts w:hint="eastAsia" w:ascii="仿宋_GB2312" w:hAnsi="Times New Roman" w:eastAsia="仿宋_GB2312"/>
          <w:sz w:val="32"/>
          <w:szCs w:val="32"/>
        </w:rPr>
        <w:t>：通知、议程、签到、授权委托、会议记录、审议文件、表决票及统计结果、决议、影像或公告材料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三）</w:t>
      </w:r>
      <w:r>
        <w:rPr>
          <w:rFonts w:hint="eastAsia" w:ascii="仿宋_GB2312" w:hAnsi="Times New Roman" w:eastAsia="仿宋_GB2312"/>
          <w:sz w:val="32"/>
          <w:szCs w:val="32"/>
        </w:rPr>
        <w:t>理事会全部会议资料</w:t>
      </w:r>
      <w:r>
        <w:rPr>
          <w:rFonts w:hint="eastAsia" w:ascii="仿宋_GB2312" w:hAnsi="Times New Roman" w:eastAsia="仿宋_GB2312"/>
          <w:sz w:val="32"/>
          <w:szCs w:val="32"/>
        </w:rPr>
        <w:t>：通知、议程、签到、会议记录、审议文件、表决过程、决议及决议落实台账</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四）</w:t>
      </w:r>
      <w:r>
        <w:rPr>
          <w:rFonts w:hint="eastAsia" w:ascii="仿宋_GB2312" w:hAnsi="Times New Roman" w:eastAsia="仿宋_GB2312"/>
          <w:sz w:val="32"/>
          <w:szCs w:val="32"/>
        </w:rPr>
        <w:t>监事会或监事履职资料：工作报告、监督检查记录、财务监督意见、列席会议记录及问题整改跟踪材料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五）</w:t>
      </w:r>
      <w:r>
        <w:rPr>
          <w:rFonts w:hint="eastAsia" w:ascii="仿宋_GB2312" w:hAnsi="Times New Roman" w:eastAsia="仿宋_GB2312"/>
          <w:sz w:val="32"/>
          <w:szCs w:val="32"/>
        </w:rPr>
        <w:t>换届方案、请示批复、候选人产生和资格审查、选举办法、选票及计票结果、新一届负责人备案等全部资料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六）</w:t>
      </w:r>
      <w:r>
        <w:rPr>
          <w:rFonts w:hint="eastAsia" w:ascii="仿宋_GB2312" w:hAnsi="Times New Roman" w:eastAsia="仿宋_GB2312"/>
          <w:sz w:val="32"/>
          <w:szCs w:val="32"/>
        </w:rPr>
        <w:t>名誉会长、顾问等名誉职务设置依据、产生程序、人员名单、职责权限及实际履职资料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b w:val="0"/>
          <w:bCs w:val="0"/>
          <w:sz w:val="32"/>
          <w:szCs w:val="32"/>
          <w:lang w:eastAsia="zh-CN"/>
        </w:rPr>
      </w:pPr>
      <w:r>
        <w:rPr>
          <w:rFonts w:hint="eastAsia" w:ascii="仿宋_GB2312" w:hAnsi="Times New Roman" w:eastAsia="仿宋_GB2312"/>
          <w:b w:val="0"/>
          <w:bCs w:val="0"/>
          <w:sz w:val="32"/>
          <w:szCs w:val="32"/>
          <w:lang w:eastAsia="zh-CN"/>
        </w:rPr>
        <w:t>（</w:t>
      </w:r>
      <w:r>
        <w:rPr>
          <w:rFonts w:hint="eastAsia" w:ascii="仿宋_GB2312" w:hAnsi="Times New Roman" w:eastAsia="仿宋_GB2312"/>
          <w:b w:val="0"/>
          <w:bCs w:val="0"/>
          <w:sz w:val="32"/>
          <w:szCs w:val="32"/>
          <w:lang w:val="en-US" w:eastAsia="zh-CN"/>
        </w:rPr>
        <w:t>七）</w:t>
      </w:r>
      <w:r>
        <w:rPr>
          <w:rFonts w:hint="eastAsia" w:ascii="仿宋_GB2312" w:hAnsi="Times New Roman" w:eastAsia="仿宋_GB2312"/>
          <w:b w:val="0"/>
          <w:bCs w:val="0"/>
          <w:sz w:val="32"/>
          <w:szCs w:val="32"/>
        </w:rPr>
        <w:t>重大事项集体决策清单，列明事项、金额、会议日期、表决结果、执行情况和对应凭证/合同</w:t>
      </w:r>
      <w:r>
        <w:rPr>
          <w:rFonts w:hint="eastAsia" w:ascii="仿宋_GB2312" w:hAnsi="Times New Roman" w:eastAsia="仿宋_GB2312"/>
          <w:b w:val="0"/>
          <w:bCs w:val="0"/>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八）</w:t>
      </w:r>
      <w:r>
        <w:rPr>
          <w:rFonts w:hint="eastAsia" w:ascii="仿宋_GB2312" w:hAnsi="Times New Roman" w:eastAsia="仿宋_GB2312"/>
          <w:sz w:val="32"/>
          <w:szCs w:val="32"/>
        </w:rPr>
        <w:t>印章、证照、档案管理台账及用印审批记录；银行预留印鉴保管及使用分工说明。</w:t>
      </w:r>
    </w:p>
    <w:p>
      <w:pPr>
        <w:widowControl/>
        <w:numPr>
          <w:ilvl w:val="0"/>
          <w:numId w:val="0"/>
        </w:numPr>
        <w:snapToGrid w:val="0"/>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三、制度建设与执行</w:t>
      </w:r>
      <w:r>
        <w:rPr>
          <w:rFonts w:hint="eastAsia" w:ascii="黑体" w:hAnsi="黑体" w:eastAsia="黑体" w:cs="黑体"/>
          <w:b w:val="0"/>
          <w:bCs w:val="0"/>
          <w:sz w:val="32"/>
          <w:szCs w:val="32"/>
          <w:lang w:val="en-US" w:eastAsia="zh-CN"/>
        </w:rPr>
        <w:t>情况相关资料</w:t>
      </w:r>
      <w:r>
        <w:rPr>
          <w:rFonts w:hint="eastAsia" w:ascii="黑体" w:hAnsi="黑体" w:eastAsia="黑体" w:cs="黑体"/>
          <w:b w:val="0"/>
          <w:bCs w:val="0"/>
          <w:sz w:val="32"/>
          <w:szCs w:val="32"/>
        </w:rPr>
        <w:tab/>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lang w:val="en-US" w:eastAsia="zh-CN"/>
        </w:rPr>
        <w:t>以下资料提供范围2024年至2025年）</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一）</w:t>
      </w:r>
      <w:r>
        <w:rPr>
          <w:rFonts w:hint="eastAsia" w:ascii="仿宋_GB2312" w:hAnsi="Times New Roman" w:eastAsia="仿宋_GB2312"/>
          <w:sz w:val="32"/>
          <w:szCs w:val="32"/>
        </w:rPr>
        <w:t>财务管理及会计核算制度，包括会计政策、岗位分工、凭证账簿管理、财务报告、会计档案等</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二）</w:t>
      </w:r>
      <w:r>
        <w:rPr>
          <w:rFonts w:hint="eastAsia" w:ascii="仿宋_GB2312" w:hAnsi="Times New Roman" w:eastAsia="仿宋_GB2312"/>
          <w:sz w:val="32"/>
          <w:szCs w:val="32"/>
        </w:rPr>
        <w:t>预算、收支审批、现金及银行账户、票据、费用报销、公务接待、差旅、会议培训等管理制度</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三）</w:t>
      </w:r>
      <w:r>
        <w:rPr>
          <w:rFonts w:hint="eastAsia" w:ascii="仿宋_GB2312" w:hAnsi="Times New Roman" w:eastAsia="仿宋_GB2312"/>
          <w:sz w:val="32"/>
          <w:szCs w:val="32"/>
        </w:rPr>
        <w:t>采购、合同、供应商、项目、资产、投资、借款、担保、关联交易和利益冲突管理制度</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四）</w:t>
      </w:r>
      <w:r>
        <w:rPr>
          <w:rFonts w:hint="eastAsia" w:ascii="仿宋_GB2312" w:hAnsi="Times New Roman" w:eastAsia="仿宋_GB2312"/>
          <w:sz w:val="32"/>
          <w:szCs w:val="32"/>
        </w:rPr>
        <w:t>会费、服务收费、捐赠、财政资金或政府购买服务资金管理制度</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五）</w:t>
      </w:r>
      <w:r>
        <w:rPr>
          <w:rFonts w:hint="eastAsia" w:ascii="仿宋_GB2312" w:hAnsi="Times New Roman" w:eastAsia="仿宋_GB2312"/>
          <w:sz w:val="32"/>
          <w:szCs w:val="32"/>
        </w:rPr>
        <w:t>分支（代表）机构、专项基金、办事机构或所属实体管理制度</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六）</w:t>
      </w:r>
      <w:r>
        <w:rPr>
          <w:rFonts w:hint="eastAsia" w:ascii="仿宋_GB2312" w:hAnsi="Times New Roman" w:eastAsia="仿宋_GB2312"/>
          <w:sz w:val="32"/>
          <w:szCs w:val="32"/>
        </w:rPr>
        <w:t>人事、薪酬、劳务和专家费管理制度，含负责人、专职人员和兼职人员报酬标准及审批权限</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七）</w:t>
      </w:r>
      <w:r>
        <w:rPr>
          <w:rFonts w:hint="eastAsia" w:ascii="仿宋_GB2312" w:hAnsi="Times New Roman" w:eastAsia="仿宋_GB2312"/>
          <w:sz w:val="32"/>
          <w:szCs w:val="32"/>
        </w:rPr>
        <w:t>重大事项报告、重大风险识别与研判、突发事件、信息公开和舆情管理制度。</w:t>
      </w:r>
    </w:p>
    <w:p>
      <w:pPr>
        <w:widowControl/>
        <w:numPr>
          <w:ilvl w:val="0"/>
          <w:numId w:val="0"/>
        </w:numPr>
        <w:snapToGrid w:val="0"/>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四、财务会计与资金账户</w:t>
      </w:r>
      <w:r>
        <w:rPr>
          <w:rFonts w:hint="eastAsia" w:ascii="黑体" w:hAnsi="黑体" w:eastAsia="黑体" w:cs="黑体"/>
          <w:b w:val="0"/>
          <w:bCs w:val="0"/>
          <w:sz w:val="32"/>
          <w:szCs w:val="32"/>
          <w:lang w:val="en-US" w:eastAsia="zh-CN"/>
        </w:rPr>
        <w:t>相关资料</w:t>
      </w:r>
    </w:p>
    <w:p>
      <w:pPr>
        <w:widowControl/>
        <w:numPr>
          <w:ilvl w:val="0"/>
          <w:numId w:val="0"/>
        </w:numPr>
        <w:snapToGrid w:val="0"/>
        <w:spacing w:line="560" w:lineRule="exact"/>
        <w:ind w:firstLine="640" w:firstLineChars="200"/>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lang w:eastAsia="zh-CN"/>
        </w:rPr>
        <w:t>（</w:t>
      </w:r>
      <w:r>
        <w:rPr>
          <w:rFonts w:hint="eastAsia" w:ascii="仿宋_GB2312" w:hAnsi="Times New Roman" w:eastAsia="仿宋_GB2312"/>
          <w:b w:val="0"/>
          <w:bCs w:val="0"/>
          <w:sz w:val="32"/>
          <w:szCs w:val="32"/>
          <w:lang w:val="en-US" w:eastAsia="zh-CN"/>
        </w:rPr>
        <w:t>一）</w:t>
      </w:r>
      <w:r>
        <w:rPr>
          <w:rFonts w:hint="eastAsia" w:ascii="仿宋_GB2312" w:hAnsi="Times New Roman" w:eastAsia="仿宋_GB2312"/>
          <w:b w:val="0"/>
          <w:bCs w:val="0"/>
          <w:sz w:val="32"/>
          <w:szCs w:val="32"/>
        </w:rPr>
        <w:t>2024、2025年度财务报表、科目余额表</w:t>
      </w:r>
      <w:r>
        <w:rPr>
          <w:rFonts w:hint="eastAsia" w:ascii="仿宋_GB2312" w:hAnsi="Times New Roman" w:eastAsia="仿宋_GB2312"/>
          <w:b w:val="0"/>
          <w:bCs w:val="0"/>
          <w:sz w:val="32"/>
          <w:szCs w:val="32"/>
          <w:lang w:val="en-US" w:eastAsia="zh-CN"/>
        </w:rPr>
        <w:t>末级</w:t>
      </w:r>
      <w:r>
        <w:rPr>
          <w:rFonts w:hint="eastAsia" w:ascii="仿宋_GB2312" w:hAnsi="Times New Roman" w:eastAsia="仿宋_GB2312"/>
          <w:b w:val="0"/>
          <w:bCs w:val="0"/>
          <w:sz w:val="32"/>
          <w:szCs w:val="32"/>
        </w:rPr>
        <w:t>、序时账、总账、明细账和辅助核算明细；</w:t>
      </w:r>
    </w:p>
    <w:p>
      <w:pPr>
        <w:widowControl/>
        <w:numPr>
          <w:ilvl w:val="0"/>
          <w:numId w:val="0"/>
        </w:numPr>
        <w:snapToGrid w:val="0"/>
        <w:spacing w:line="560" w:lineRule="exact"/>
        <w:ind w:firstLine="640" w:firstLineChars="200"/>
        <w:rPr>
          <w:rFonts w:hint="eastAsia" w:ascii="仿宋_GB2312" w:hAnsi="Times New Roman" w:eastAsia="仿宋_GB2312"/>
          <w:b w:val="0"/>
          <w:bCs w:val="0"/>
          <w:sz w:val="32"/>
          <w:szCs w:val="32"/>
          <w:lang w:eastAsia="zh-CN"/>
        </w:rPr>
      </w:pPr>
      <w:r>
        <w:rPr>
          <w:rFonts w:hint="eastAsia" w:ascii="仿宋_GB2312" w:hAnsi="Times New Roman" w:eastAsia="仿宋_GB2312"/>
          <w:b w:val="0"/>
          <w:bCs w:val="0"/>
          <w:sz w:val="32"/>
          <w:szCs w:val="32"/>
          <w:lang w:eastAsia="zh-CN"/>
        </w:rPr>
        <w:t>（</w:t>
      </w:r>
      <w:r>
        <w:rPr>
          <w:rFonts w:hint="eastAsia" w:ascii="仿宋_GB2312" w:hAnsi="Times New Roman" w:eastAsia="仿宋_GB2312"/>
          <w:b w:val="0"/>
          <w:bCs w:val="0"/>
          <w:sz w:val="32"/>
          <w:szCs w:val="32"/>
          <w:lang w:val="en-US" w:eastAsia="zh-CN"/>
        </w:rPr>
        <w:t>二）</w:t>
      </w:r>
      <w:r>
        <w:rPr>
          <w:rFonts w:hint="eastAsia" w:ascii="仿宋_GB2312" w:hAnsi="Times New Roman" w:eastAsia="仿宋_GB2312"/>
          <w:b w:val="0"/>
          <w:bCs w:val="0"/>
          <w:sz w:val="32"/>
          <w:szCs w:val="32"/>
        </w:rPr>
        <w:t>2024、2025年度全部记账凭证及所附原始凭证，含电子凭证、合同、审批、发票、验收、付款依据等</w:t>
      </w:r>
      <w:r>
        <w:rPr>
          <w:rFonts w:hint="eastAsia" w:ascii="仿宋_GB2312" w:hAnsi="Times New Roman" w:eastAsia="仿宋_GB2312"/>
          <w:b w:val="0"/>
          <w:bCs w:val="0"/>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三）</w:t>
      </w:r>
      <w:r>
        <w:rPr>
          <w:rFonts w:hint="eastAsia" w:ascii="仿宋_GB2312" w:hAnsi="Times New Roman" w:eastAsia="仿宋_GB2312"/>
          <w:b w:val="0"/>
          <w:bCs w:val="0"/>
          <w:sz w:val="32"/>
          <w:szCs w:val="32"/>
        </w:rPr>
        <w:t>全部银行账户、第三方支付账户及其他资金账户清单，</w:t>
      </w:r>
      <w:r>
        <w:rPr>
          <w:rFonts w:hint="eastAsia" w:ascii="仿宋_GB2312" w:hAnsi="Times New Roman" w:eastAsia="仿宋_GB2312"/>
          <w:sz w:val="32"/>
          <w:szCs w:val="32"/>
        </w:rPr>
        <w:t>列明开户行、账号、用途、开户/销户日期、授权使用人；附开户、销户资料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b w:val="0"/>
          <w:bCs w:val="0"/>
          <w:sz w:val="32"/>
          <w:szCs w:val="32"/>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四）</w:t>
      </w:r>
      <w:r>
        <w:rPr>
          <w:rFonts w:hint="eastAsia" w:ascii="仿宋_GB2312" w:hAnsi="Times New Roman" w:eastAsia="仿宋_GB2312"/>
          <w:b w:val="0"/>
          <w:bCs w:val="0"/>
          <w:sz w:val="32"/>
          <w:szCs w:val="32"/>
        </w:rPr>
        <w:t>全部银行账户2024年1月1日至2025年12月31日银行对账单、银行流水、余额调节表；</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五）</w:t>
      </w:r>
      <w:r>
        <w:rPr>
          <w:rFonts w:hint="eastAsia" w:ascii="仿宋_GB2312" w:hAnsi="Times New Roman" w:eastAsia="仿宋_GB2312"/>
          <w:sz w:val="32"/>
          <w:szCs w:val="32"/>
        </w:rPr>
        <w:t>库存现金盘点表、现金日记账、备用金及个人借款明细和催收/清理记录</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六）</w:t>
      </w:r>
      <w:r>
        <w:rPr>
          <w:rFonts w:hint="eastAsia" w:ascii="仿宋_GB2312" w:hAnsi="Times New Roman" w:eastAsia="仿宋_GB2312"/>
          <w:sz w:val="32"/>
          <w:szCs w:val="32"/>
        </w:rPr>
        <w:t>年度预算、预算调整、预算执行分析、年度决算及审议批准材料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七）</w:t>
      </w:r>
      <w:r>
        <w:rPr>
          <w:rFonts w:hint="eastAsia" w:ascii="仿宋_GB2312" w:hAnsi="Times New Roman" w:eastAsia="仿宋_GB2312"/>
          <w:sz w:val="32"/>
          <w:szCs w:val="32"/>
        </w:rPr>
        <w:t>应收、应付、预收、预付、其他应收、其他应付款项明细及账龄分析，列明对方、形成原因、金额、时间、回收/支付计划</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八）</w:t>
      </w:r>
      <w:r>
        <w:rPr>
          <w:rFonts w:hint="eastAsia" w:ascii="仿宋_GB2312" w:hAnsi="Times New Roman" w:eastAsia="仿宋_GB2312"/>
          <w:sz w:val="32"/>
          <w:szCs w:val="32"/>
        </w:rPr>
        <w:t>收入、费用按项目/活动/资金来源的辅助明细及成本分摊依据；限定性和非限定性净资产明细及转换依据。</w:t>
      </w:r>
    </w:p>
    <w:p>
      <w:pPr>
        <w:widowControl/>
        <w:numPr>
          <w:ilvl w:val="0"/>
          <w:numId w:val="0"/>
        </w:numPr>
        <w:snapToGrid w:val="0"/>
        <w:spacing w:line="560" w:lineRule="exact"/>
        <w:ind w:firstLine="640" w:firstLineChars="200"/>
        <w:rPr>
          <w:rFonts w:hint="eastAsia" w:ascii="仿宋_GB2312" w:hAnsi="Times New Roman" w:eastAsia="仿宋_GB2312"/>
          <w:b w:val="0"/>
          <w:bCs w:val="0"/>
          <w:sz w:val="32"/>
          <w:szCs w:val="32"/>
          <w:lang w:eastAsia="zh-CN"/>
        </w:rPr>
      </w:pPr>
      <w:r>
        <w:rPr>
          <w:rFonts w:hint="eastAsia" w:ascii="仿宋_GB2312" w:hAnsi="Times New Roman" w:eastAsia="仿宋_GB2312"/>
          <w:b w:val="0"/>
          <w:bCs w:val="0"/>
          <w:sz w:val="32"/>
          <w:szCs w:val="32"/>
          <w:lang w:eastAsia="zh-CN"/>
        </w:rPr>
        <w:t>（</w:t>
      </w:r>
      <w:r>
        <w:rPr>
          <w:rFonts w:hint="eastAsia" w:ascii="仿宋_GB2312" w:hAnsi="Times New Roman" w:eastAsia="仿宋_GB2312"/>
          <w:b w:val="0"/>
          <w:bCs w:val="0"/>
          <w:sz w:val="32"/>
          <w:szCs w:val="32"/>
          <w:lang w:val="en-US" w:eastAsia="zh-CN"/>
        </w:rPr>
        <w:t>九）</w:t>
      </w:r>
      <w:r>
        <w:rPr>
          <w:rFonts w:hint="eastAsia" w:ascii="仿宋_GB2312" w:hAnsi="Times New Roman" w:eastAsia="仿宋_GB2312"/>
          <w:b w:val="0"/>
          <w:bCs w:val="0"/>
          <w:sz w:val="32"/>
          <w:szCs w:val="32"/>
        </w:rPr>
        <w:t>发票、收据、公益事业捐赠票据等领用、开具、作废和结存台账；未使用票据现场备查</w:t>
      </w:r>
      <w:r>
        <w:rPr>
          <w:rFonts w:hint="eastAsia" w:ascii="仿宋_GB2312" w:hAnsi="Times New Roman" w:eastAsia="仿宋_GB2312"/>
          <w:b w:val="0"/>
          <w:bCs w:val="0"/>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b w:val="0"/>
          <w:bCs w:val="0"/>
          <w:sz w:val="32"/>
          <w:szCs w:val="32"/>
          <w:lang w:eastAsia="zh-CN"/>
        </w:rPr>
      </w:pPr>
      <w:r>
        <w:rPr>
          <w:rFonts w:hint="eastAsia" w:ascii="仿宋_GB2312" w:hAnsi="Times New Roman" w:eastAsia="仿宋_GB2312"/>
          <w:b w:val="0"/>
          <w:bCs w:val="0"/>
          <w:sz w:val="32"/>
          <w:szCs w:val="32"/>
          <w:lang w:eastAsia="zh-CN"/>
        </w:rPr>
        <w:t>（</w:t>
      </w:r>
      <w:r>
        <w:rPr>
          <w:rFonts w:hint="eastAsia" w:ascii="仿宋_GB2312" w:hAnsi="Times New Roman" w:eastAsia="仿宋_GB2312"/>
          <w:b w:val="0"/>
          <w:bCs w:val="0"/>
          <w:sz w:val="32"/>
          <w:szCs w:val="32"/>
          <w:lang w:val="en-US" w:eastAsia="zh-CN"/>
        </w:rPr>
        <w:t>十）</w:t>
      </w:r>
      <w:r>
        <w:rPr>
          <w:rFonts w:hint="eastAsia" w:ascii="仿宋_GB2312" w:hAnsi="Times New Roman" w:eastAsia="仿宋_GB2312"/>
          <w:b w:val="0"/>
          <w:bCs w:val="0"/>
          <w:sz w:val="32"/>
          <w:szCs w:val="32"/>
        </w:rPr>
        <w:t>纳税申报表、完税凭证、税收优惠或免税资格材料、个人所得税申报及与账面数据的核对说明</w:t>
      </w:r>
      <w:r>
        <w:rPr>
          <w:rFonts w:hint="eastAsia" w:ascii="仿宋_GB2312" w:hAnsi="Times New Roman" w:eastAsia="仿宋_GB2312"/>
          <w:b w:val="0"/>
          <w:bCs w:val="0"/>
          <w:sz w:val="32"/>
          <w:szCs w:val="32"/>
          <w:lang w:eastAsia="zh-CN"/>
        </w:rPr>
        <w:t>。</w:t>
      </w:r>
    </w:p>
    <w:p>
      <w:pPr>
        <w:widowControl/>
        <w:numPr>
          <w:ilvl w:val="0"/>
          <w:numId w:val="0"/>
        </w:numPr>
        <w:snapToGrid w:val="0"/>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五、收入、收费、会费与捐赠</w:t>
      </w:r>
      <w:r>
        <w:rPr>
          <w:rFonts w:hint="eastAsia" w:ascii="黑体" w:hAnsi="黑体" w:eastAsia="黑体" w:cs="黑体"/>
          <w:b w:val="0"/>
          <w:bCs w:val="0"/>
          <w:sz w:val="32"/>
          <w:szCs w:val="32"/>
          <w:lang w:val="en-US" w:eastAsia="zh-CN"/>
        </w:rPr>
        <w:t>的相关资料</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一）</w:t>
      </w:r>
      <w:r>
        <w:rPr>
          <w:rFonts w:hint="eastAsia" w:ascii="仿宋_GB2312" w:hAnsi="Times New Roman" w:eastAsia="仿宋_GB2312"/>
          <w:sz w:val="32"/>
          <w:szCs w:val="32"/>
        </w:rPr>
        <w:t>全部收入明细，列明日期、付款方、项目/活动、收入类别、金额、收款账户、票据号码、合同或政策依据</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二）</w:t>
      </w:r>
      <w:r>
        <w:rPr>
          <w:rFonts w:hint="eastAsia" w:ascii="仿宋_GB2312" w:hAnsi="Times New Roman" w:eastAsia="仿宋_GB2312"/>
          <w:sz w:val="32"/>
          <w:szCs w:val="32"/>
        </w:rPr>
        <w:t>会费标准制定或修改的会议资料、无记名投票或章程规定表决材料、会费标准公示、会费收缴明细和会费票据</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三）</w:t>
      </w:r>
      <w:r>
        <w:rPr>
          <w:rFonts w:hint="eastAsia" w:ascii="仿宋_GB2312" w:hAnsi="Times New Roman" w:eastAsia="仿宋_GB2312"/>
          <w:sz w:val="32"/>
          <w:szCs w:val="32"/>
        </w:rPr>
        <w:t>会员基本服务项目及实际提供服务的记录；减免、退费、欠费和催缴情形说明</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四）</w:t>
      </w:r>
      <w:r>
        <w:rPr>
          <w:rFonts w:hint="eastAsia" w:ascii="仿宋_GB2312" w:hAnsi="Times New Roman" w:eastAsia="仿宋_GB2312"/>
          <w:sz w:val="32"/>
          <w:szCs w:val="32"/>
        </w:rPr>
        <w:t>服务收费、培训、论坛、展会、评比表彰、职业资格认定、团体标准等收费项目清单、收费依据、标准、合同、通知、票据和成本明细</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五）</w:t>
      </w:r>
      <w:r>
        <w:rPr>
          <w:rFonts w:hint="eastAsia" w:ascii="仿宋_GB2312" w:hAnsi="Times New Roman" w:eastAsia="仿宋_GB2312"/>
          <w:sz w:val="32"/>
          <w:szCs w:val="32"/>
        </w:rPr>
        <w:t>涉及行政机关委托、授权事项的文件，说明是否收费、收费依据及资金收支</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六）</w:t>
      </w:r>
      <w:r>
        <w:rPr>
          <w:rFonts w:hint="eastAsia" w:ascii="仿宋_GB2312" w:hAnsi="Times New Roman" w:eastAsia="仿宋_GB2312"/>
          <w:sz w:val="32"/>
          <w:szCs w:val="32"/>
        </w:rPr>
        <w:t>捐赠协议、捐赠人限制条件、接收凭证、捐赠票据、使用明细、信息公开及使用反馈资料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七）</w:t>
      </w:r>
      <w:r>
        <w:rPr>
          <w:rFonts w:hint="eastAsia" w:ascii="仿宋_GB2312" w:hAnsi="Times New Roman" w:eastAsia="仿宋_GB2312"/>
          <w:sz w:val="32"/>
          <w:szCs w:val="32"/>
        </w:rPr>
        <w:t>财政补助、专项资金、政府购买服务收入的立项、预算、合同/任务书、拨款通知、收款凭证和资金用途要求</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八）</w:t>
      </w:r>
      <w:r>
        <w:rPr>
          <w:rFonts w:hint="eastAsia" w:ascii="仿宋_GB2312" w:hAnsi="Times New Roman" w:eastAsia="仿宋_GB2312"/>
          <w:sz w:val="32"/>
          <w:szCs w:val="32"/>
        </w:rPr>
        <w:t>投资收益、资产处置、利息及其他收入明细和计算依据</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九）</w:t>
      </w:r>
      <w:r>
        <w:rPr>
          <w:rFonts w:hint="eastAsia" w:ascii="仿宋_GB2312" w:hAnsi="Times New Roman" w:eastAsia="仿宋_GB2312"/>
          <w:sz w:val="32"/>
          <w:szCs w:val="32"/>
        </w:rPr>
        <w:t>是否存在现金收款、个人账户代收、分支机构自行收款或账外收款的书面说明及相关明细。</w:t>
      </w:r>
    </w:p>
    <w:p>
      <w:pPr>
        <w:widowControl/>
        <w:numPr>
          <w:ilvl w:val="0"/>
          <w:numId w:val="0"/>
        </w:numPr>
        <w:snapToGrid w:val="0"/>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六、业务活动、项目和合同履行</w:t>
      </w:r>
      <w:r>
        <w:rPr>
          <w:rFonts w:hint="eastAsia" w:ascii="黑体" w:hAnsi="黑体" w:eastAsia="黑体" w:cs="黑体"/>
          <w:b w:val="0"/>
          <w:bCs w:val="0"/>
          <w:sz w:val="32"/>
          <w:szCs w:val="32"/>
          <w:lang w:val="en-US" w:eastAsia="zh-CN"/>
        </w:rPr>
        <w:t>相关资料</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一）</w:t>
      </w:r>
      <w:r>
        <w:rPr>
          <w:rFonts w:hint="eastAsia" w:ascii="仿宋_GB2312" w:hAnsi="Times New Roman" w:eastAsia="仿宋_GB2312"/>
          <w:sz w:val="32"/>
          <w:szCs w:val="32"/>
        </w:rPr>
        <w:t>2024、2025年度业务活动和项目总台账，列明名称、时间、地点、对象、资金来源、预算、实际收支、负责人、完成及验收情况</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二）</w:t>
      </w:r>
      <w:r>
        <w:rPr>
          <w:rFonts w:hint="eastAsia" w:ascii="仿宋_GB2312" w:hAnsi="Times New Roman" w:eastAsia="仿宋_GB2312"/>
          <w:sz w:val="32"/>
          <w:szCs w:val="32"/>
        </w:rPr>
        <w:t>各项目立项、申报、合同/任务书、实施方案、预算、进度、变更、成果、验收、绩效评价和结项资料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三）</w:t>
      </w:r>
      <w:r>
        <w:rPr>
          <w:rFonts w:hint="eastAsia" w:ascii="仿宋_GB2312" w:hAnsi="Times New Roman" w:eastAsia="仿宋_GB2312"/>
          <w:sz w:val="32"/>
          <w:szCs w:val="32"/>
        </w:rPr>
        <w:t>财政资金或政府购买服务项目的服务对象/受益人名册、签到、服务记录、活动照片、问卷、成果统计等履约证据</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四）</w:t>
      </w:r>
      <w:r>
        <w:rPr>
          <w:rFonts w:hint="eastAsia" w:ascii="仿宋_GB2312" w:hAnsi="Times New Roman" w:eastAsia="仿宋_GB2312"/>
          <w:sz w:val="32"/>
          <w:szCs w:val="32"/>
        </w:rPr>
        <w:t>论坛、展会、培训、会议、评比表彰、达标、创建示范等活动的审批/报备、通知、方案、名单、收费、支出、宣传及总结材料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五）</w:t>
      </w:r>
      <w:r>
        <w:rPr>
          <w:rFonts w:hint="eastAsia" w:ascii="仿宋_GB2312" w:hAnsi="Times New Roman" w:eastAsia="仿宋_GB2312"/>
          <w:sz w:val="32"/>
          <w:szCs w:val="32"/>
        </w:rPr>
        <w:t>贯彻中央八项规定及其实施细则精神、整治形式主义为基层减负等要求的内部安排、费用控制和检查资料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六）</w:t>
      </w:r>
      <w:r>
        <w:rPr>
          <w:rFonts w:hint="eastAsia" w:ascii="仿宋_GB2312" w:hAnsi="Times New Roman" w:eastAsia="仿宋_GB2312"/>
          <w:sz w:val="32"/>
          <w:szCs w:val="32"/>
        </w:rPr>
        <w:t>所属期刊、内刊或出版物的批准、出版、采编、发行、广告经营、合作或外包合同及收支资料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七）</w:t>
      </w:r>
      <w:r>
        <w:rPr>
          <w:rFonts w:hint="eastAsia" w:ascii="仿宋_GB2312" w:hAnsi="Times New Roman" w:eastAsia="仿宋_GB2312"/>
          <w:sz w:val="32"/>
          <w:szCs w:val="32"/>
        </w:rPr>
        <w:t>全部合同台账，列明合同方、内容、金额、期限、采购方式、审批、付款、验收和履行状态；提供大额及高风险合同原件备查</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八）</w:t>
      </w:r>
      <w:r>
        <w:rPr>
          <w:rFonts w:hint="eastAsia" w:ascii="仿宋_GB2312" w:hAnsi="Times New Roman" w:eastAsia="仿宋_GB2312"/>
          <w:sz w:val="32"/>
          <w:szCs w:val="32"/>
        </w:rPr>
        <w:t>采购台账及招标、比选、询价、单一来源等采购过程资料，包括需求、预算、邀请/公告、报价、评审、定标、合同、验收和付款</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九）</w:t>
      </w:r>
      <w:r>
        <w:rPr>
          <w:rFonts w:hint="eastAsia" w:ascii="仿宋_GB2312" w:hAnsi="Times New Roman" w:eastAsia="仿宋_GB2312"/>
          <w:sz w:val="32"/>
          <w:szCs w:val="32"/>
        </w:rPr>
        <w:t>未完成、延期、变更、中止或存在争议的项目/合同清单及原因、处理和资金影响说明</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七、</w:t>
      </w:r>
      <w:bookmarkStart w:id="0" w:name="_GoBack"/>
      <w:bookmarkEnd w:id="0"/>
      <w:r>
        <w:rPr>
          <w:rFonts w:hint="eastAsia" w:ascii="黑体" w:hAnsi="黑体" w:eastAsia="黑体" w:cs="黑体"/>
          <w:b w:val="0"/>
          <w:bCs w:val="0"/>
          <w:sz w:val="32"/>
          <w:szCs w:val="32"/>
        </w:rPr>
        <w:t>分支（代表）机构、专项基金及所属实体</w:t>
      </w:r>
      <w:r>
        <w:rPr>
          <w:rFonts w:hint="eastAsia" w:ascii="黑体" w:hAnsi="黑体" w:eastAsia="黑体" w:cs="黑体"/>
          <w:b w:val="0"/>
          <w:bCs w:val="0"/>
          <w:sz w:val="32"/>
          <w:szCs w:val="32"/>
          <w:lang w:val="en-US" w:eastAsia="zh-CN"/>
        </w:rPr>
        <w:t>的相关资料</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一）</w:t>
      </w:r>
      <w:r>
        <w:rPr>
          <w:rFonts w:hint="eastAsia" w:ascii="仿宋_GB2312" w:hAnsi="Times New Roman" w:eastAsia="仿宋_GB2312"/>
          <w:sz w:val="32"/>
          <w:szCs w:val="32"/>
        </w:rPr>
        <w:t>分支机构、代表机构、专项基金、办事机构及所属实体完整清单，列明名称、设立时间、负责人、业务范围、办公地点、账户和存续状态</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二）</w:t>
      </w:r>
      <w:r>
        <w:rPr>
          <w:rFonts w:hint="eastAsia" w:ascii="仿宋_GB2312" w:hAnsi="Times New Roman" w:eastAsia="仿宋_GB2312"/>
          <w:sz w:val="32"/>
          <w:szCs w:val="32"/>
        </w:rPr>
        <w:t>设立、变更、终止的内部决策、登记/备案、授权及对外公告材料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三）</w:t>
      </w:r>
      <w:r>
        <w:rPr>
          <w:rFonts w:hint="eastAsia" w:ascii="仿宋_GB2312" w:hAnsi="Times New Roman" w:eastAsia="仿宋_GB2312"/>
          <w:sz w:val="32"/>
          <w:szCs w:val="32"/>
        </w:rPr>
        <w:t>分支（代表）机构名称、业务范围、地域范围及是否下设机构的说明</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四）</w:t>
      </w:r>
      <w:r>
        <w:rPr>
          <w:rFonts w:hint="eastAsia" w:ascii="仿宋_GB2312" w:hAnsi="Times New Roman" w:eastAsia="仿宋_GB2312"/>
          <w:sz w:val="32"/>
          <w:szCs w:val="32"/>
        </w:rPr>
        <w:t>分支（代表）机构、专项基金全部收支、账户、票据、合同和资产资料，并说明是否纳入本组织统一账户和统一核算</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五）</w:t>
      </w:r>
      <w:r>
        <w:rPr>
          <w:rFonts w:hint="eastAsia" w:ascii="仿宋_GB2312" w:hAnsi="Times New Roman" w:eastAsia="仿宋_GB2312"/>
          <w:sz w:val="32"/>
          <w:szCs w:val="32"/>
        </w:rPr>
        <w:t>对分支（代表）机构的年度检查、负责人考核、财务监督、印章证照、活动审批和风险管理记录</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六）</w:t>
      </w:r>
      <w:r>
        <w:rPr>
          <w:rFonts w:hint="eastAsia" w:ascii="仿宋_GB2312" w:hAnsi="Times New Roman" w:eastAsia="仿宋_GB2312"/>
          <w:sz w:val="32"/>
          <w:szCs w:val="32"/>
        </w:rPr>
        <w:t>向分支（代表）机构、专项基金收取管理费、赞助费或其他费用的标准、依据、决策和收支明细</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七）</w:t>
      </w:r>
      <w:r>
        <w:rPr>
          <w:rFonts w:hint="eastAsia" w:ascii="仿宋_GB2312" w:hAnsi="Times New Roman" w:eastAsia="仿宋_GB2312"/>
          <w:sz w:val="32"/>
          <w:szCs w:val="32"/>
        </w:rPr>
        <w:t>与分支机构负责人、工作人员或其关联企业发生交易、资金往来或业务合作的清单和完整资料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八、支出、人员报酬与资产管理</w:t>
      </w:r>
      <w:r>
        <w:rPr>
          <w:rFonts w:hint="eastAsia" w:ascii="黑体" w:hAnsi="黑体" w:eastAsia="黑体" w:cs="黑体"/>
          <w:b w:val="0"/>
          <w:bCs w:val="0"/>
          <w:sz w:val="32"/>
          <w:szCs w:val="32"/>
          <w:lang w:val="en-US" w:eastAsia="zh-CN"/>
        </w:rPr>
        <w:t>的相关资料</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一）</w:t>
      </w:r>
      <w:r>
        <w:rPr>
          <w:rFonts w:hint="eastAsia" w:ascii="仿宋_GB2312" w:hAnsi="Times New Roman" w:eastAsia="仿宋_GB2312"/>
          <w:sz w:val="32"/>
          <w:szCs w:val="32"/>
        </w:rPr>
        <w:t>全部支出明细，列明日期、凭证号、收款方、用途、项目、金额、合同/审批/票据情况和支付账户</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二）</w:t>
      </w:r>
      <w:r>
        <w:rPr>
          <w:rFonts w:hint="eastAsia" w:ascii="仿宋_GB2312" w:hAnsi="Times New Roman" w:eastAsia="仿宋_GB2312"/>
          <w:sz w:val="32"/>
          <w:szCs w:val="32"/>
        </w:rPr>
        <w:t>工资、奖金、补贴、劳务费、专家费和其他人员费用明细，列明人员、身份/岗位、服务事项、标准、期间、金额、审批、个税和支付账户</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三）</w:t>
      </w:r>
      <w:r>
        <w:rPr>
          <w:rFonts w:hint="eastAsia" w:ascii="仿宋_GB2312" w:hAnsi="Times New Roman" w:eastAsia="仿宋_GB2312"/>
          <w:sz w:val="32"/>
          <w:szCs w:val="32"/>
        </w:rPr>
        <w:t>负责人、理事、监事、兼职人员取得报酬或费用的政策依据、内部决策、履职/服务证据和支付明细</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四）</w:t>
      </w:r>
      <w:r>
        <w:rPr>
          <w:rFonts w:hint="eastAsia" w:ascii="仿宋_GB2312" w:hAnsi="Times New Roman" w:eastAsia="仿宋_GB2312"/>
          <w:sz w:val="32"/>
          <w:szCs w:val="32"/>
        </w:rPr>
        <w:t>大额、异常、频繁、整数金额、现金支付、个人收款或与业务范围关联度较低的支出明细及书面说明</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五）</w:t>
      </w:r>
      <w:r>
        <w:rPr>
          <w:rFonts w:hint="eastAsia" w:ascii="仿宋_GB2312" w:hAnsi="Times New Roman" w:eastAsia="仿宋_GB2312"/>
          <w:sz w:val="32"/>
          <w:szCs w:val="32"/>
        </w:rPr>
        <w:t>固定资产、无形资产、存货和低值易耗品台账，列明资产编码、名称、取得日期、原值、折旧/摊销、位置、保管人、状态和资金来源</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六）</w:t>
      </w:r>
      <w:r>
        <w:rPr>
          <w:rFonts w:hint="eastAsia" w:ascii="仿宋_GB2312" w:hAnsi="Times New Roman" w:eastAsia="仿宋_GB2312"/>
          <w:sz w:val="32"/>
          <w:szCs w:val="32"/>
        </w:rPr>
        <w:t>资产采购、验收、领用、调拨、出租、出借、盘点、报废和处置资料；附年度盘点表及盘盈盘亏处理</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七）</w:t>
      </w:r>
      <w:r>
        <w:rPr>
          <w:rFonts w:hint="eastAsia" w:ascii="仿宋_GB2312" w:hAnsi="Times New Roman" w:eastAsia="仿宋_GB2312"/>
          <w:sz w:val="32"/>
          <w:szCs w:val="32"/>
        </w:rPr>
        <w:t>对外投资、担保、借款、资金拆借、委托理财及大额资产无偿使用/出借的决策、合同、评估、资金和收益资料。</w:t>
      </w:r>
    </w:p>
    <w:p>
      <w:pPr>
        <w:widowControl/>
        <w:numPr>
          <w:ilvl w:val="0"/>
          <w:numId w:val="0"/>
        </w:numPr>
        <w:snapToGrid w:val="0"/>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九、关联方、利益冲突和异常资金往来</w:t>
      </w:r>
      <w:r>
        <w:rPr>
          <w:rFonts w:hint="eastAsia" w:ascii="黑体" w:hAnsi="黑体" w:eastAsia="黑体" w:cs="黑体"/>
          <w:b w:val="0"/>
          <w:bCs w:val="0"/>
          <w:sz w:val="32"/>
          <w:szCs w:val="32"/>
          <w:lang w:val="en-US" w:eastAsia="zh-CN"/>
        </w:rPr>
        <w:t>的相关资料</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一）</w:t>
      </w:r>
      <w:r>
        <w:rPr>
          <w:rFonts w:hint="eastAsia" w:ascii="仿宋_GB2312" w:hAnsi="Times New Roman" w:eastAsia="仿宋_GB2312"/>
          <w:sz w:val="32"/>
          <w:szCs w:val="32"/>
        </w:rPr>
        <w:t>关联方完整清单，包括发起人/举办者、负责人、理事监事、主要管理人员及其控制或有重大影响的单位，并说明关系</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二）</w:t>
      </w:r>
      <w:r>
        <w:rPr>
          <w:rFonts w:hint="eastAsia" w:ascii="仿宋_GB2312" w:hAnsi="Times New Roman" w:eastAsia="仿宋_GB2312"/>
          <w:sz w:val="32"/>
          <w:szCs w:val="32"/>
        </w:rPr>
        <w:t>关联交易和关联资金往来明细，列明对方、关系、事项、金额、定价、决策程序、合同、结算和披露情况</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三）</w:t>
      </w:r>
      <w:r>
        <w:rPr>
          <w:rFonts w:hint="eastAsia" w:ascii="仿宋_GB2312" w:hAnsi="Times New Roman" w:eastAsia="仿宋_GB2312"/>
          <w:sz w:val="32"/>
          <w:szCs w:val="32"/>
        </w:rPr>
        <w:t>关联交易比价、公允性证明、利益冲突回避、理事会/会员大会审议及财务报表披露材料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四）</w:t>
      </w:r>
      <w:r>
        <w:rPr>
          <w:rFonts w:hint="eastAsia" w:ascii="仿宋_GB2312" w:hAnsi="Times New Roman" w:eastAsia="仿宋_GB2312"/>
          <w:sz w:val="32"/>
          <w:szCs w:val="32"/>
        </w:rPr>
        <w:t>向负责人或其实际控制实体投资、采购、委托业务、出租出借资产或支付费用的完整资料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五）</w:t>
      </w:r>
      <w:r>
        <w:rPr>
          <w:rFonts w:hint="eastAsia" w:ascii="仿宋_GB2312" w:hAnsi="Times New Roman" w:eastAsia="仿宋_GB2312"/>
          <w:sz w:val="32"/>
          <w:szCs w:val="32"/>
        </w:rPr>
        <w:t>使用其他组织或个人银行账户收付款、代收代付、资金体外循环的全部明细、原因、审批和清理情况</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六）</w:t>
      </w:r>
      <w:r>
        <w:rPr>
          <w:rFonts w:hint="eastAsia" w:ascii="仿宋_GB2312" w:hAnsi="Times New Roman" w:eastAsia="仿宋_GB2312"/>
          <w:sz w:val="32"/>
          <w:szCs w:val="32"/>
        </w:rPr>
        <w:t>诉讼、仲裁、行政处罚、重大投诉举报、舞弊或侵占线索及处理情况。</w:t>
      </w:r>
    </w:p>
    <w:p>
      <w:pPr>
        <w:widowControl/>
        <w:numPr>
          <w:ilvl w:val="0"/>
          <w:numId w:val="0"/>
        </w:numPr>
        <w:snapToGrid w:val="0"/>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十、重大事项报告、风险与信息公开</w:t>
      </w:r>
      <w:r>
        <w:rPr>
          <w:rFonts w:hint="eastAsia" w:ascii="黑体" w:hAnsi="黑体" w:eastAsia="黑体" w:cs="黑体"/>
          <w:b w:val="0"/>
          <w:bCs w:val="0"/>
          <w:sz w:val="32"/>
          <w:szCs w:val="32"/>
          <w:lang w:val="en-US" w:eastAsia="zh-CN"/>
        </w:rPr>
        <w:t>的相关资料</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一）</w:t>
      </w:r>
      <w:r>
        <w:rPr>
          <w:rFonts w:hint="eastAsia" w:ascii="仿宋_GB2312" w:hAnsi="Times New Roman" w:eastAsia="仿宋_GB2312"/>
          <w:sz w:val="32"/>
          <w:szCs w:val="32"/>
        </w:rPr>
        <w:t>重大事项清单及报批、报备、审批意见、执行和结果报告资料，包括重大活动、涉外活动、重大资产事项等</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二）</w:t>
      </w:r>
      <w:r>
        <w:rPr>
          <w:rFonts w:hint="eastAsia" w:ascii="仿宋_GB2312" w:hAnsi="Times New Roman" w:eastAsia="仿宋_GB2312"/>
          <w:sz w:val="32"/>
          <w:szCs w:val="32"/>
        </w:rPr>
        <w:t>重大风险台账、风险识别和研判记录、处置方案、责任分工、跟踪结果及向有关部门报告材料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三）</w:t>
      </w:r>
      <w:r>
        <w:rPr>
          <w:rFonts w:hint="eastAsia" w:ascii="仿宋_GB2312" w:hAnsi="Times New Roman" w:eastAsia="仿宋_GB2312"/>
          <w:sz w:val="32"/>
          <w:szCs w:val="32"/>
        </w:rPr>
        <w:t>登记事项、章程、负责人、住所、业务范围、印章、银行账户等变更的决策及登记备案材料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四）</w:t>
      </w:r>
      <w:r>
        <w:rPr>
          <w:rFonts w:hint="eastAsia" w:ascii="仿宋_GB2312" w:hAnsi="Times New Roman" w:eastAsia="仿宋_GB2312"/>
          <w:sz w:val="32"/>
          <w:szCs w:val="32"/>
        </w:rPr>
        <w:t>重大舆情、安全事故、群体性事件、数据泄露或其他突发事项及处置材料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五）</w:t>
      </w:r>
      <w:r>
        <w:rPr>
          <w:rFonts w:hint="eastAsia" w:ascii="仿宋_GB2312" w:hAnsi="Times New Roman" w:eastAsia="仿宋_GB2312"/>
          <w:sz w:val="32"/>
          <w:szCs w:val="32"/>
        </w:rPr>
        <w:t>依法依章程应向会员、捐赠人或社会公开的信息及公开渠道、时间、内容和反馈资料</w:t>
      </w:r>
      <w:r>
        <w:rPr>
          <w:rFonts w:hint="eastAsia" w:ascii="仿宋_GB2312" w:hAnsi="Times New Roman" w:eastAsia="仿宋_GB2312"/>
          <w:sz w:val="32"/>
          <w:szCs w:val="32"/>
          <w:lang w:eastAsia="zh-CN"/>
        </w:rPr>
        <w:t>；</w:t>
      </w:r>
    </w:p>
    <w:p>
      <w:pPr>
        <w:widowControl/>
        <w:numPr>
          <w:ilvl w:val="0"/>
          <w:numId w:val="0"/>
        </w:numPr>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六）</w:t>
      </w:r>
      <w:r>
        <w:rPr>
          <w:rFonts w:hint="eastAsia" w:ascii="仿宋_GB2312" w:hAnsi="Times New Roman" w:eastAsia="仿宋_GB2312"/>
          <w:sz w:val="32"/>
          <w:szCs w:val="32"/>
        </w:rPr>
        <w:t>截至审计进场日的重大期后事项和可能影响审计结论的未决事项说明。</w:t>
      </w:r>
    </w:p>
    <w:p>
      <w:pPr>
        <w:pStyle w:val="2"/>
        <w:ind w:firstLine="0"/>
        <w:rPr>
          <w:rFonts w:ascii="仿宋_GB2312" w:eastAsia="仿宋_GB2312" w:cs="仿宋_GB2312"/>
          <w:snapToGrid w:val="0"/>
          <w:kern w:val="0"/>
          <w:szCs w:val="32"/>
        </w:rPr>
      </w:pPr>
    </w:p>
    <w:p>
      <w:pPr>
        <w:adjustRightInd w:val="0"/>
        <w:snapToGrid w:val="0"/>
        <w:spacing w:line="579" w:lineRule="exact"/>
        <w:ind w:right="840" w:rightChars="400"/>
        <w:rPr>
          <w:rFonts w:hint="default" w:ascii="Times New Roman" w:hAnsi="Times New Roman" w:eastAsia="黑体" w:cs="黑体"/>
          <w:snapToGrid w:val="0"/>
          <w:kern w:val="0"/>
          <w:sz w:val="32"/>
          <w:szCs w:val="32"/>
          <w:lang w:val="en-US" w:eastAsia="zh-CN"/>
        </w:rPr>
      </w:pPr>
      <w:r>
        <w:rPr>
          <w:rFonts w:ascii="Times New Roman" w:hAnsi="Times New Roman" w:eastAsia="仿宋_GB2312"/>
          <w:snapToGrid w:val="0"/>
          <w:kern w:val="0"/>
          <w:sz w:val="32"/>
          <w:szCs w:val="21"/>
        </w:rPr>
        <w:br w:type="page"/>
      </w:r>
      <w:r>
        <w:rPr>
          <w:rFonts w:hint="eastAsia" w:ascii="黑体" w:hAnsi="黑体" w:eastAsia="黑体" w:cs="黑体"/>
          <w:snapToGrid w:val="0"/>
          <w:kern w:val="0"/>
          <w:sz w:val="32"/>
          <w:szCs w:val="32"/>
        </w:rPr>
        <w:t>附件</w:t>
      </w:r>
      <w:r>
        <w:rPr>
          <w:rFonts w:hint="eastAsia" w:ascii="黑体" w:hAnsi="黑体" w:eastAsia="黑体" w:cs="黑体"/>
          <w:snapToGrid w:val="0"/>
          <w:kern w:val="0"/>
          <w:sz w:val="32"/>
          <w:szCs w:val="32"/>
          <w:lang w:val="en-US" w:eastAsia="zh-CN"/>
        </w:rPr>
        <w:t>1-1</w:t>
      </w:r>
    </w:p>
    <w:p>
      <w:pPr>
        <w:adjustRightInd w:val="0"/>
        <w:snapToGrid w:val="0"/>
        <w:spacing w:line="579" w:lineRule="exact"/>
        <w:jc w:val="center"/>
        <w:rPr>
          <w:rFonts w:ascii="微软雅黑" w:hAnsi="Times New Roman" w:eastAsia="微软雅黑" w:cs="宋体"/>
          <w:snapToGrid w:val="0"/>
          <w:kern w:val="0"/>
          <w:sz w:val="44"/>
          <w:szCs w:val="44"/>
        </w:rPr>
      </w:pPr>
    </w:p>
    <w:p>
      <w:pPr>
        <w:pBdr>
          <w:top w:val="none" w:color="auto" w:sz="0" w:space="1"/>
          <w:left w:val="none" w:color="auto" w:sz="0" w:space="3"/>
          <w:bottom w:val="none" w:color="auto" w:sz="0" w:space="1"/>
          <w:right w:val="none" w:color="auto" w:sz="0" w:space="4"/>
        </w:pBdr>
        <w:adjustRightInd w:val="0"/>
        <w:snapToGrid w:val="0"/>
        <w:spacing w:line="560" w:lineRule="exact"/>
        <w:jc w:val="center"/>
        <w:rPr>
          <w:rFonts w:ascii="Times New Roman" w:hAnsi="Times New Roman" w:eastAsia="仿宋_GB2312"/>
          <w:snapToGrid w:val="0"/>
          <w:kern w:val="0"/>
          <w:sz w:val="32"/>
          <w:szCs w:val="32"/>
        </w:rPr>
      </w:pPr>
      <w:r>
        <w:rPr>
          <w:rFonts w:hint="eastAsia" w:ascii="方正黑体_GBK" w:hAnsi="方正黑体_GBK" w:eastAsia="方正黑体_GBK" w:cs="方正黑体_GBK"/>
          <w:sz w:val="44"/>
          <w:szCs w:val="44"/>
        </w:rPr>
        <w:t>被审计单位承诺书</w:t>
      </w:r>
    </w:p>
    <w:p>
      <w:pPr>
        <w:adjustRightInd w:val="0"/>
        <w:snapToGrid w:val="0"/>
        <w:spacing w:line="579" w:lineRule="exact"/>
        <w:rPr>
          <w:rFonts w:ascii="仿宋_GB2312" w:hAnsi="Times New Roman" w:eastAsia="仿宋_GB2312"/>
          <w:sz w:val="32"/>
          <w:szCs w:val="32"/>
        </w:rPr>
      </w:pPr>
    </w:p>
    <w:p>
      <w:pPr>
        <w:adjustRightInd w:val="0"/>
        <w:snapToGrid w:val="0"/>
        <w:spacing w:line="579" w:lineRule="exact"/>
        <w:rPr>
          <w:rFonts w:ascii="Times New Roman" w:hAnsi="Times New Roman" w:eastAsia="仿宋_GB2312"/>
          <w:snapToGrid w:val="0"/>
          <w:kern w:val="0"/>
          <w:sz w:val="32"/>
          <w:szCs w:val="32"/>
        </w:rPr>
      </w:pPr>
      <w:r>
        <w:rPr>
          <w:rFonts w:hint="eastAsia" w:ascii="仿宋_GB2312" w:hAnsi="Times New Roman" w:eastAsia="仿宋_GB2312"/>
          <w:sz w:val="32"/>
          <w:szCs w:val="32"/>
          <w:lang w:val="en-US" w:eastAsia="zh-CN"/>
        </w:rPr>
        <w:t>深圳中法会计师事务所（普通合伙）</w:t>
      </w:r>
      <w:r>
        <w:rPr>
          <w:rFonts w:hint="eastAsia" w:ascii="Times New Roman" w:hAnsi="Times New Roman" w:eastAsia="仿宋_GB2312" w:cs="仿宋_GB2312"/>
          <w:snapToGrid w:val="0"/>
          <w:kern w:val="0"/>
          <w:sz w:val="32"/>
          <w:szCs w:val="32"/>
        </w:rPr>
        <w:t>：</w:t>
      </w: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r>
        <w:rPr>
          <w:rFonts w:hint="eastAsia" w:ascii="仿宋_GB2312" w:hAnsi="仿宋_GB2312" w:eastAsia="仿宋_GB2312" w:cs="仿宋_GB2312"/>
          <w:snapToGrid w:val="0"/>
          <w:kern w:val="0"/>
          <w:sz w:val="32"/>
          <w:szCs w:val="32"/>
        </w:rPr>
        <w:t>本单位已知悉本次专项审计主要覆盖2024年1月1日至2025年12月31日，重要事项可根据审计需要追溯以前年度或延伸至审计日。为配合审计工作，本单位就向审计</w:t>
      </w:r>
      <w:r>
        <w:rPr>
          <w:rFonts w:hint="eastAsia" w:ascii="Times New Roman" w:hAnsi="Times New Roman" w:eastAsia="仿宋_GB2312" w:cs="仿宋_GB2312"/>
          <w:snapToGrid w:val="0"/>
          <w:kern w:val="0"/>
          <w:sz w:val="32"/>
          <w:szCs w:val="32"/>
        </w:rPr>
        <w:t>组提供的资料、数据、说明及配合事项郑重承诺如下：</w:t>
      </w: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一、资料真实准确。本单位提供的纸质资料、电子数据、复印件、扫描件、口头及书面说明均来源真实、内容准确，不存在伪造、变造、篡改、倒签、补签后不作说明，或者以汇总资料替代原始资料等情形。复印件、扫描件与原件一致，电子数据与业务系统、财务账套及原始记录一致。</w:t>
      </w: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二、资料完整充分。本单位已按照审计资料清单及审计组补充要求，完整提供与审计事项有关的登记、章程、内部治理、制度、财务会计、银行账户、收费、业务活动、合同采购、资产、人员报酬、分支机构、重大事项和整改等资料，不存在隐瞒、遗漏、选择性提供或故意延迟提供。</w:t>
      </w: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三、资金账户完整披露。本单位已如实披露全部银行账户、第三方支付账户、现金、备用金及其他资金载体，包括已使用、停用、冻结、注销账户；不存在未入账资金、账外账、“小金库”、体外循环资金，或者通过其他组织、个人及分支机构账户代收代付而未向审计组说明的情形。</w:t>
      </w: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四、收支及资产完整入账。本单位已如实反映全部收入、收费、会费、捐赠、财政补助、政府购买服务资金及其他收入，以及全部费用、采购、合同、人员报酬、资产取得处置、投资、借款、担保和资金往来；不存在截留收入、虚列支出、侵占挪用、抽逃开办资金/活动资金、私分或变相分配社会组织财产等未披露事项。</w:t>
      </w: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五、治理与业务事项完整披露。本单位已提供审计期间会员（代表）大会、理事会、监事会等全部会议和决策资料，并如实披露换届、负责人任职、名誉职务、收费、评比表彰、论坛展会培训、期刊、分支（代表）机构、专项基金及其他业务活动的实际开展情况。</w:t>
      </w: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六、关联方及利益冲突完整披露。本单位已如实披露发起人/举办者、负责人、理事、监事、主要管理人员及其控制或有重大影响的单位等关联方，完整提供关联交易、关联资金往来、关联采购或委托业务、关联投资及利益冲突回避资料，不存在未披露关联关系或通过关联方转移、占用社会组织资金资产的情形。</w:t>
      </w: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七、重大事项及风险完整披露。本单位已如实披露应报批报备的重大事项、重大风险、重大期后事项、诉讼仲裁、行政处罚、投诉举报、舞弊或侵占线索、安全事故、数据泄露及其他可能影响审计结论的事项，并提供相应处理和整改材料。</w:t>
      </w: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八、人员与报酬信息真实。本单位提供的人员名册、劳动或劳务关系、工资奖金、补贴、劳务费、专家费、社保和个人所得税资料真实完整；负责人、理事、监事、兼职人员及其他人员取得的各项报酬和费用均已如实披露。</w:t>
      </w: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九、无法提供事项已书面说明。对于确属不适用、遗失、毁损、无法取得、尚未形成或不能按期提供的资料，本单位已逐项说明原因、责任人、替代证据和预计补充时间，不以“无”“不清楚”或口头说明替代必要的书面说明。</w:t>
      </w: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十、持续补充披露。自本承诺书签署之日起至审计报告出具前，如发现已提供资料存在遗漏或差错，或者发生可能影响审计结论的新事项，本单位将立即书面告知审计组并补充相关资料。</w:t>
      </w: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十一、配合审计核验。本单位同意审计组在项目授权范围内对相关资料进行查验、询问、函证、盘点、数据分析和延伸核实，并安排熟悉情况的人员及时、如实作出说明。</w:t>
      </w: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十二、承担相应责任。本单位法定代表人（负责人）、财务负责人及资料经办人员已对本承诺书和已提供资料进行审核。本单位对所提供资料、数据和说明的真实性、准确性、完整性、及时性负责；因隐瞒、遗漏、虚假陈述或不配合造成的影响及相应责任，由本单位及相关责任人员依法依规承担。本承诺不因审计组实施审计程序而减轻或免除。</w:t>
      </w: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p>
    <w:p>
      <w:pPr>
        <w:adjustRightInd w:val="0"/>
        <w:snapToGrid w:val="0"/>
        <w:spacing w:line="579" w:lineRule="exact"/>
        <w:ind w:firstLine="640" w:firstLineChars="200"/>
        <w:rPr>
          <w:rFonts w:hint="eastAsia" w:ascii="Times New Roman" w:hAnsi="Times New Roman" w:eastAsia="仿宋_GB2312" w:cs="仿宋_GB2312"/>
          <w:snapToGrid w:val="0"/>
          <w:kern w:val="0"/>
          <w:sz w:val="32"/>
          <w:szCs w:val="32"/>
        </w:rPr>
      </w:pPr>
    </w:p>
    <w:p>
      <w:pPr>
        <w:adjustRightInd w:val="0"/>
        <w:snapToGrid w:val="0"/>
        <w:spacing w:line="579" w:lineRule="exact"/>
        <w:ind w:firstLine="560" w:firstLineChars="200"/>
        <w:rPr>
          <w:rFonts w:ascii="Times New Roman" w:hAnsi="Times New Roman" w:eastAsia="仿宋_GB2312"/>
          <w:snapToGrid w:val="0"/>
          <w:kern w:val="0"/>
          <w:sz w:val="32"/>
          <w:szCs w:val="32"/>
        </w:rPr>
      </w:pPr>
      <w:r>
        <w:rPr>
          <w:rFonts w:hint="eastAsia" w:ascii="Times New Roman" w:hAnsi="Times New Roman" w:eastAsia="仿宋_GB2312" w:cs="仿宋_GB2312"/>
          <w:snapToGrid w:val="0"/>
          <w:kern w:val="0"/>
          <w:sz w:val="28"/>
          <w:szCs w:val="28"/>
          <w:lang w:val="en-US" w:eastAsia="zh-CN"/>
        </w:rPr>
        <w:t>备注：</w:t>
      </w:r>
      <w:r>
        <w:rPr>
          <w:rFonts w:hint="eastAsia" w:ascii="Times New Roman" w:hAnsi="Times New Roman" w:eastAsia="仿宋_GB2312" w:cs="仿宋_GB2312"/>
          <w:snapToGrid w:val="0"/>
          <w:kern w:val="0"/>
          <w:sz w:val="28"/>
          <w:szCs w:val="28"/>
        </w:rPr>
        <w:t>本承诺书所称“资料”，包括纸质文件、电子文件、系统数据、影像资料、书面说明、访谈陈述及其他与审计事项有关的信息。</w:t>
      </w:r>
    </w:p>
    <w:p>
      <w:pPr>
        <w:adjustRightInd w:val="0"/>
        <w:snapToGrid w:val="0"/>
        <w:spacing w:line="579" w:lineRule="exact"/>
        <w:ind w:firstLine="640" w:firstLineChars="200"/>
        <w:rPr>
          <w:rFonts w:hint="eastAsia" w:ascii="方正黑体_GBK" w:hAnsi="方正黑体_GBK" w:eastAsia="方正黑体_GBK" w:cs="方正黑体_GBK"/>
          <w:snapToGrid w:val="0"/>
          <w:kern w:val="0"/>
          <w:sz w:val="32"/>
          <w:szCs w:val="32"/>
        </w:rPr>
      </w:pPr>
    </w:p>
    <w:p>
      <w:pPr>
        <w:adjustRightInd w:val="0"/>
        <w:snapToGrid w:val="0"/>
        <w:spacing w:line="579" w:lineRule="exact"/>
        <w:ind w:firstLine="560" w:firstLineChars="200"/>
        <w:rPr>
          <w:rFonts w:hint="eastAsia" w:ascii="Times New Roman" w:hAnsi="Times New Roman" w:eastAsia="仿宋_GB2312" w:cs="仿宋_GB2312"/>
          <w:snapToGrid w:val="0"/>
          <w:kern w:val="0"/>
          <w:sz w:val="28"/>
          <w:szCs w:val="28"/>
        </w:rPr>
      </w:pPr>
      <w:r>
        <w:rPr>
          <w:rFonts w:hint="eastAsia" w:ascii="Times New Roman" w:hAnsi="Times New Roman" w:eastAsia="仿宋_GB2312" w:cs="仿宋_GB2312"/>
          <w:snapToGrid w:val="0"/>
          <w:kern w:val="0"/>
          <w:sz w:val="28"/>
          <w:szCs w:val="28"/>
        </w:rPr>
        <w:t>附件：社会组织财务专项审计需提供资料清单</w:t>
      </w:r>
    </w:p>
    <w:p>
      <w:pPr>
        <w:adjustRightInd w:val="0"/>
        <w:snapToGrid w:val="0"/>
        <w:spacing w:line="579" w:lineRule="exact"/>
        <w:jc w:val="center"/>
        <w:rPr>
          <w:rFonts w:hint="eastAsia" w:ascii="Times New Roman" w:hAnsi="Times New Roman" w:eastAsia="仿宋_GB2312" w:cs="仿宋_GB2312"/>
          <w:snapToGrid w:val="0"/>
          <w:kern w:val="0"/>
          <w:sz w:val="32"/>
          <w:szCs w:val="32"/>
        </w:rPr>
      </w:pPr>
    </w:p>
    <w:p>
      <w:pPr>
        <w:adjustRightInd w:val="0"/>
        <w:snapToGrid w:val="0"/>
        <w:spacing w:line="579" w:lineRule="exact"/>
        <w:jc w:val="center"/>
        <w:rPr>
          <w:rFonts w:hint="eastAsia" w:ascii="Times New Roman" w:hAnsi="Times New Roman" w:eastAsia="仿宋_GB2312" w:cs="仿宋_GB2312"/>
          <w:snapToGrid w:val="0"/>
          <w:kern w:val="0"/>
          <w:sz w:val="32"/>
          <w:szCs w:val="32"/>
        </w:rPr>
      </w:pPr>
    </w:p>
    <w:p>
      <w:pPr>
        <w:adjustRightInd w:val="0"/>
        <w:snapToGrid w:val="0"/>
        <w:spacing w:line="579" w:lineRule="exact"/>
        <w:jc w:val="center"/>
        <w:rPr>
          <w:rFonts w:ascii="Times New Roman" w:hAnsi="Times New Roman" w:eastAsia="仿宋_GB2312"/>
          <w:snapToGrid w:val="0"/>
          <w:kern w:val="0"/>
          <w:sz w:val="32"/>
          <w:szCs w:val="32"/>
        </w:rPr>
      </w:pPr>
      <w:r>
        <w:rPr>
          <w:rFonts w:hint="eastAsia" w:ascii="Times New Roman" w:hAnsi="Times New Roman" w:eastAsia="仿宋_GB2312" w:cs="仿宋_GB2312"/>
          <w:snapToGrid w:val="0"/>
          <w:kern w:val="0"/>
          <w:sz w:val="32"/>
          <w:szCs w:val="32"/>
        </w:rPr>
        <w:t xml:space="preserve">  承诺单位（印章）：</w:t>
      </w:r>
    </w:p>
    <w:p>
      <w:pPr>
        <w:adjustRightInd w:val="0"/>
        <w:snapToGrid w:val="0"/>
        <w:spacing w:line="579" w:lineRule="exact"/>
        <w:jc w:val="center"/>
        <w:rPr>
          <w:rFonts w:ascii="Times New Roman" w:hAnsi="Times New Roman" w:eastAsia="仿宋_GB2312"/>
          <w:snapToGrid w:val="0"/>
          <w:kern w:val="0"/>
          <w:sz w:val="32"/>
          <w:szCs w:val="32"/>
        </w:rPr>
      </w:pPr>
      <w:r>
        <w:rPr>
          <w:rFonts w:hint="eastAsia" w:ascii="Times New Roman" w:hAnsi="Times New Roman" w:eastAsia="仿宋_GB2312" w:cs="仿宋_GB2312"/>
          <w:snapToGrid w:val="0"/>
          <w:kern w:val="0"/>
          <w:sz w:val="32"/>
          <w:szCs w:val="32"/>
        </w:rPr>
        <w:t>单位负责人签字：</w:t>
      </w:r>
    </w:p>
    <w:p>
      <w:pPr>
        <w:adjustRightInd w:val="0"/>
        <w:snapToGrid w:val="0"/>
        <w:spacing w:line="579" w:lineRule="exact"/>
        <w:jc w:val="center"/>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财务负责人签字：</w:t>
      </w:r>
    </w:p>
    <w:p>
      <w:pPr>
        <w:adjustRightInd w:val="0"/>
        <w:snapToGrid w:val="0"/>
        <w:spacing w:line="579" w:lineRule="exact"/>
        <w:ind w:right="840" w:rightChars="400"/>
        <w:jc w:val="right"/>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年</w:t>
      </w:r>
      <w:r>
        <w:rPr>
          <w:rFonts w:hint="eastAsia" w:ascii="仿宋_GB2312" w:hAnsi="仿宋_GB2312" w:eastAsia="仿宋_GB2312" w:cs="仿宋_GB2312"/>
          <w:snapToGrid w:val="0"/>
          <w:kern w:val="0"/>
          <w:sz w:val="32"/>
          <w:szCs w:val="32"/>
          <w:lang w:val="en-US" w:eastAsia="zh-CN"/>
        </w:rPr>
        <w:t xml:space="preserve">   </w:t>
      </w:r>
      <w:r>
        <w:rPr>
          <w:rFonts w:hint="eastAsia" w:ascii="Times New Roman" w:hAnsi="Times New Roman" w:eastAsia="仿宋_GB2312" w:cs="仿宋_GB2312"/>
          <w:snapToGrid w:val="0"/>
          <w:kern w:val="0"/>
          <w:sz w:val="32"/>
          <w:szCs w:val="32"/>
        </w:rPr>
        <w:t>月</w:t>
      </w:r>
      <w:r>
        <w:rPr>
          <w:rFonts w:hint="eastAsia" w:ascii="仿宋_GB2312" w:hAnsi="仿宋_GB2312" w:eastAsia="仿宋_GB2312" w:cs="仿宋_GB2312"/>
          <w:snapToGrid w:val="0"/>
          <w:kern w:val="0"/>
          <w:sz w:val="32"/>
          <w:szCs w:val="32"/>
          <w:lang w:val="en-US" w:eastAsia="zh-CN"/>
        </w:rPr>
        <w:t xml:space="preserve">   </w:t>
      </w:r>
      <w:r>
        <w:rPr>
          <w:rFonts w:hint="eastAsia" w:ascii="Times New Roman" w:hAnsi="Times New Roman" w:eastAsia="仿宋_GB2312" w:cs="仿宋_GB2312"/>
          <w:snapToGrid w:val="0"/>
          <w:kern w:val="0"/>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744C70"/>
    <w:rsid w:val="01087940"/>
    <w:rsid w:val="04BC2847"/>
    <w:rsid w:val="076B366D"/>
    <w:rsid w:val="095F6B9C"/>
    <w:rsid w:val="11F8659F"/>
    <w:rsid w:val="13744C70"/>
    <w:rsid w:val="197E3186"/>
    <w:rsid w:val="1B7E7DF7"/>
    <w:rsid w:val="30DA0BF5"/>
    <w:rsid w:val="378A184E"/>
    <w:rsid w:val="38BF672E"/>
    <w:rsid w:val="3AFF8B8F"/>
    <w:rsid w:val="3B3715B4"/>
    <w:rsid w:val="46BEA783"/>
    <w:rsid w:val="5EE412EC"/>
    <w:rsid w:val="6B1A0AAF"/>
    <w:rsid w:val="6B472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5609</Words>
  <Characters>5682</Characters>
  <Lines>0</Lines>
  <Paragraphs>0</Paragraphs>
  <TotalTime>1135</TotalTime>
  <ScaleCrop>false</ScaleCrop>
  <LinksUpToDate>false</LinksUpToDate>
  <CharactersWithSpaces>5691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2025-09-28T10:30:00Z</dcterms:created>
  <dc:creator>蔡思行</dc:creator>
  <cp:lastModifiedBy>user</cp:lastModifiedBy>
  <dcterms:modified xsi:type="dcterms:W3CDTF">2026-08-20T11:13:30Z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A7D9CBFA6E8FFC4C8B6F866A1C823E5B</vt:lpwstr>
  </property>
  <property fmtid="{D5CDD505-2E9C-101B-9397-08002B2CF9AE}" pid="4" name="KSOTemplateDocerSaveRecord">
    <vt:lpwstr>eyJoZGlkIjoiMTAyMzJkOGNiMDEyZDQzM2FkNGM4ODJmZGE4NDczMDMiLCJ1c2VySWQiOiI0MjA1NTQ2NjQifQ==</vt:lpwstr>
  </property>
</Properties>
</file>