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深圳市第47届市民长跑日龙华区主会场活动暨2026年全民健身活动月启动仪式</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项目</w:t>
      </w:r>
      <w:r>
        <w:rPr>
          <w:rFonts w:hint="eastAsia" w:ascii="方正小标宋简体" w:hAnsi="方正小标宋简体" w:eastAsia="方正小标宋简体" w:cs="方正小标宋简体"/>
          <w:sz w:val="44"/>
          <w:szCs w:val="44"/>
        </w:rPr>
        <w:t>需求书</w:t>
      </w:r>
    </w:p>
    <w:p>
      <w:pPr>
        <w:pStyle w:val="12"/>
        <w:keepNext w:val="0"/>
        <w:keepLines w:val="0"/>
        <w:pageBreakBefore w:val="0"/>
        <w:kinsoku/>
        <w:wordWrap/>
        <w:overflowPunct/>
        <w:topLinePunct w:val="0"/>
        <w:autoSpaceDE/>
        <w:autoSpaceDN/>
        <w:bidi w:val="0"/>
        <w:spacing w:before="0" w:after="0" w:line="560" w:lineRule="exact"/>
        <w:ind w:left="0" w:leftChars="0" w:right="0" w:rightChars="0"/>
        <w:jc w:val="center"/>
        <w:textAlignment w:val="auto"/>
        <w:rPr>
          <w:rFonts w:hint="eastAsia" w:ascii="微软雅黑" w:hAnsi="微软雅黑" w:eastAsia="微软雅黑" w:cs="微软雅黑"/>
          <w:b/>
          <w:bCs w:val="0"/>
          <w:kern w:val="2"/>
          <w:sz w:val="52"/>
          <w:szCs w:val="52"/>
          <w:lang w:val="en-US" w:eastAsia="zh-CN" w:bidi="ar-SA"/>
        </w:rPr>
      </w:pPr>
    </w:p>
    <w:p>
      <w:pPr>
        <w:keepNext w:val="0"/>
        <w:keepLines w:val="0"/>
        <w:pageBreakBefore w:val="0"/>
        <w:numPr>
          <w:ilvl w:val="0"/>
          <w:numId w:val="0"/>
        </w:numPr>
        <w:tabs>
          <w:tab w:val="left" w:pos="359"/>
          <w:tab w:val="left" w:pos="1820"/>
        </w:tabs>
        <w:kinsoku/>
        <w:wordWrap/>
        <w:overflowPunct/>
        <w:topLinePunct w:val="0"/>
        <w:autoSpaceDE/>
        <w:autoSpaceDN/>
        <w:bidi w:val="0"/>
        <w:snapToGrid w:val="0"/>
        <w:spacing w:line="560" w:lineRule="exact"/>
        <w:ind w:left="0" w:leftChars="0" w:right="0" w:rightChars="0" w:firstLine="640" w:firstLineChars="200"/>
        <w:jc w:val="both"/>
        <w:textAlignment w:val="auto"/>
        <w:rPr>
          <w:rFonts w:hint="eastAsia" w:ascii="黑体" w:hAnsi="黑体" w:eastAsia="黑体" w:cs="黑体"/>
          <w:bCs/>
          <w:sz w:val="32"/>
          <w:szCs w:val="32"/>
          <w:lang w:eastAsia="zh-CN"/>
        </w:rPr>
      </w:pPr>
      <w:r>
        <w:rPr>
          <w:rFonts w:hint="eastAsia" w:ascii="黑体" w:hAnsi="黑体" w:eastAsia="黑体" w:cs="黑体"/>
          <w:bCs/>
          <w:kern w:val="2"/>
          <w:sz w:val="32"/>
          <w:szCs w:val="32"/>
          <w:lang w:val="en-US" w:eastAsia="zh-CN" w:bidi="ar-SA"/>
        </w:rPr>
        <w:t>一、</w:t>
      </w:r>
      <w:r>
        <w:rPr>
          <w:rFonts w:hint="eastAsia" w:ascii="黑体" w:hAnsi="黑体" w:eastAsia="黑体" w:cs="黑体"/>
          <w:bCs/>
          <w:sz w:val="32"/>
          <w:szCs w:val="32"/>
          <w:lang w:eastAsia="zh-CN"/>
        </w:rPr>
        <w:t>项目</w:t>
      </w:r>
      <w:r>
        <w:rPr>
          <w:rFonts w:hint="eastAsia" w:ascii="黑体" w:hAnsi="黑体" w:eastAsia="黑体" w:cs="黑体"/>
          <w:bCs/>
          <w:sz w:val="32"/>
          <w:szCs w:val="32"/>
        </w:rPr>
        <w:t>目</w:t>
      </w:r>
      <w:r>
        <w:rPr>
          <w:rFonts w:hint="eastAsia" w:ascii="黑体" w:hAnsi="黑体" w:eastAsia="黑体" w:cs="黑体"/>
          <w:bCs/>
          <w:sz w:val="32"/>
          <w:szCs w:val="32"/>
          <w:lang w:eastAsia="zh-CN"/>
        </w:rPr>
        <w:t>标</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 w:eastAsia="仿宋_GB2312" w:cs="仿宋"/>
          <w:kern w:val="2"/>
          <w:sz w:val="32"/>
          <w:szCs w:val="32"/>
          <w:lang w:val="en-US" w:eastAsia="zh-CN" w:bidi="ar-SA"/>
        </w:rPr>
        <w:t>完成深圳市第47届市民长跑日龙华区主会场活动暨2026年全民健身活动月启动仪式落地执行。</w:t>
      </w:r>
    </w:p>
    <w:p>
      <w:pPr>
        <w:keepNext w:val="0"/>
        <w:keepLines w:val="0"/>
        <w:pageBreakBefore w:val="0"/>
        <w:numPr>
          <w:ilvl w:val="0"/>
          <w:numId w:val="0"/>
        </w:numPr>
        <w:tabs>
          <w:tab w:val="left" w:pos="359"/>
          <w:tab w:val="left" w:pos="1820"/>
        </w:tabs>
        <w:kinsoku/>
        <w:wordWrap/>
        <w:overflowPunct/>
        <w:topLinePunct w:val="0"/>
        <w:autoSpaceDE/>
        <w:autoSpaceDN/>
        <w:bidi w:val="0"/>
        <w:snapToGrid w:val="0"/>
        <w:spacing w:line="560" w:lineRule="exact"/>
        <w:ind w:left="0" w:leftChars="0" w:right="0" w:rightChars="0" w:firstLine="640" w:firstLineChars="200"/>
        <w:jc w:val="both"/>
        <w:textAlignment w:val="auto"/>
        <w:rPr>
          <w:rFonts w:hint="eastAsia" w:ascii="黑体" w:hAnsi="黑体" w:eastAsia="黑体" w:cs="黑体"/>
          <w:bCs/>
          <w:sz w:val="32"/>
          <w:szCs w:val="32"/>
          <w:lang w:val="en-US" w:eastAsia="zh-CN"/>
        </w:rPr>
      </w:pPr>
      <w:r>
        <w:rPr>
          <w:rFonts w:hint="eastAsia" w:ascii="黑体" w:hAnsi="黑体" w:eastAsia="黑体" w:cs="黑体"/>
          <w:bCs/>
          <w:kern w:val="2"/>
          <w:sz w:val="32"/>
          <w:szCs w:val="32"/>
          <w:lang w:val="en-US" w:eastAsia="zh-CN" w:bidi="ar-SA"/>
        </w:rPr>
        <w:t>二、</w:t>
      </w:r>
      <w:r>
        <w:rPr>
          <w:rFonts w:hint="eastAsia" w:ascii="黑体" w:hAnsi="黑体" w:eastAsia="黑体" w:cs="黑体"/>
          <w:bCs/>
          <w:sz w:val="32"/>
          <w:szCs w:val="32"/>
          <w:lang w:val="en-US" w:eastAsia="zh-CN"/>
        </w:rPr>
        <w:t>时间安排</w:t>
      </w:r>
    </w:p>
    <w:p>
      <w:pPr>
        <w:keepNext w:val="0"/>
        <w:keepLines w:val="0"/>
        <w:pageBreakBefore w:val="0"/>
        <w:widowControl/>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 w:eastAsia="zh-CN"/>
        </w:rPr>
        <w:t>月</w:t>
      </w:r>
      <w:r>
        <w:rPr>
          <w:rFonts w:hint="eastAsia" w:ascii="仿宋_GB2312" w:eastAsia="仿宋_GB2312"/>
          <w:sz w:val="32"/>
          <w:szCs w:val="32"/>
          <w:lang w:val="en-US" w:eastAsia="zh-CN"/>
        </w:rPr>
        <w:t>2日</w:t>
      </w:r>
      <w:r>
        <w:rPr>
          <w:rFonts w:hint="eastAsia" w:ascii="仿宋_GB2312" w:hAnsi="仿宋_GB2312" w:eastAsia="仿宋_GB2312" w:cs="仿宋_GB2312"/>
          <w:sz w:val="32"/>
          <w:szCs w:val="36"/>
        </w:rPr>
        <w:t>（暂定）</w:t>
      </w:r>
    </w:p>
    <w:p>
      <w:pPr>
        <w:keepNext w:val="0"/>
        <w:keepLines w:val="0"/>
        <w:pageBreakBefore w:val="0"/>
        <w:numPr>
          <w:ilvl w:val="0"/>
          <w:numId w:val="0"/>
        </w:numPr>
        <w:tabs>
          <w:tab w:val="left" w:pos="1820"/>
        </w:tabs>
        <w:kinsoku/>
        <w:wordWrap/>
        <w:overflowPunct/>
        <w:topLinePunct w:val="0"/>
        <w:autoSpaceDE/>
        <w:autoSpaceDN/>
        <w:bidi w:val="0"/>
        <w:snapToGrid w:val="0"/>
        <w:spacing w:line="560" w:lineRule="exact"/>
        <w:ind w:left="0" w:leftChars="0" w:right="0" w:rightChars="0" w:firstLine="640" w:firstLineChars="200"/>
        <w:jc w:val="both"/>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kern w:val="2"/>
          <w:sz w:val="32"/>
          <w:szCs w:val="32"/>
          <w:lang w:val="en-US" w:eastAsia="zh-CN" w:bidi="ar-SA"/>
        </w:rPr>
        <w:t>三、</w:t>
      </w:r>
      <w:r>
        <w:rPr>
          <w:rFonts w:hint="eastAsia" w:ascii="黑体" w:hAnsi="黑体" w:eastAsia="黑体" w:cs="黑体"/>
          <w:b w:val="0"/>
          <w:bCs/>
          <w:sz w:val="32"/>
          <w:szCs w:val="32"/>
          <w:highlight w:val="none"/>
          <w:lang w:eastAsia="zh-CN"/>
        </w:rPr>
        <w:t>项目</w:t>
      </w:r>
      <w:r>
        <w:rPr>
          <w:rFonts w:hint="eastAsia" w:ascii="黑体" w:hAnsi="黑体" w:eastAsia="黑体" w:cs="黑体"/>
          <w:b w:val="0"/>
          <w:bCs/>
          <w:sz w:val="32"/>
          <w:szCs w:val="32"/>
          <w:highlight w:val="none"/>
        </w:rPr>
        <w:t>内容</w:t>
      </w:r>
      <w:r>
        <w:rPr>
          <w:rFonts w:hint="eastAsia" w:ascii="黑体" w:hAnsi="黑体" w:eastAsia="黑体" w:cs="黑体"/>
          <w:b w:val="0"/>
          <w:bCs/>
          <w:sz w:val="32"/>
          <w:szCs w:val="32"/>
          <w:highlight w:val="none"/>
          <w:lang w:val="en-US" w:eastAsia="zh-CN"/>
        </w:rPr>
        <w:t>及要求</w:t>
      </w:r>
    </w:p>
    <w:p>
      <w:pPr>
        <w:pStyle w:val="4"/>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left="0" w:leftChars="0" w:right="0" w:rightChars="0" w:firstLine="640" w:firstLineChars="200"/>
        <w:jc w:val="both"/>
        <w:textAlignment w:val="auto"/>
        <w:outlineLvl w:val="1"/>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（一）项目内容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为深入落实《深圳经济特区促进全民健身条例》第十条相关规定，每年11月1日为市民长跑日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在市民长跑日，市、区体育主管部门应当组织开展长跑活动，鼓励其他机关、企事业单位和各类社会团体组织开展长跑活动，鼓励市民参加长跑活动。</w:t>
      </w:r>
      <w:r>
        <w:rPr>
          <w:rFonts w:hint="eastAsia" w:ascii="仿宋_GB2312" w:hAnsi="Times New Roman" w:eastAsia="仿宋_GB2312" w:cs="Times New Roman"/>
          <w:color w:val="auto"/>
          <w:sz w:val="32"/>
          <w:szCs w:val="32"/>
          <w:lang w:eastAsia="zh-CN"/>
        </w:rPr>
        <w:t>暂定于11月</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日在</w:t>
      </w:r>
      <w:r>
        <w:rPr>
          <w:rFonts w:hint="eastAsia" w:ascii="仿宋_GB2312" w:hAnsi="仿宋_GB2312" w:eastAsia="仿宋_GB2312" w:cs="仿宋_GB2312"/>
          <w:color w:val="auto"/>
          <w:sz w:val="32"/>
          <w:szCs w:val="32"/>
          <w:lang w:eastAsia="zh-CN"/>
        </w:rPr>
        <w:t>龙华文体中心</w:t>
      </w:r>
      <w:r>
        <w:rPr>
          <w:rFonts w:hint="eastAsia" w:ascii="仿宋_GB2312" w:hAnsi="Times New Roman" w:eastAsia="仿宋_GB2312" w:cs="Times New Roman"/>
          <w:color w:val="auto"/>
          <w:sz w:val="32"/>
          <w:szCs w:val="32"/>
          <w:lang w:eastAsia="zh-CN"/>
        </w:rPr>
        <w:t>举办</w:t>
      </w:r>
      <w:r>
        <w:rPr>
          <w:rFonts w:hint="eastAsia" w:ascii="仿宋_GB2312" w:hAnsi="仿宋_GB2312" w:eastAsia="仿宋_GB2312" w:cs="仿宋_GB2312"/>
          <w:color w:val="auto"/>
          <w:sz w:val="32"/>
          <w:szCs w:val="32"/>
          <w:lang w:eastAsia="zh-CN"/>
        </w:rPr>
        <w:t>深圳市</w:t>
      </w:r>
      <w:r>
        <w:rPr>
          <w:rFonts w:hint="eastAsia" w:ascii="仿宋_GB2312" w:hAnsi="仿宋_GB2312" w:eastAsia="仿宋_GB2312" w:cs="仿宋_GB2312"/>
          <w:color w:val="auto"/>
          <w:sz w:val="32"/>
          <w:szCs w:val="32"/>
        </w:rPr>
        <w:t>第4</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届市民长跑日</w:t>
      </w:r>
      <w:r>
        <w:rPr>
          <w:rFonts w:hint="eastAsia" w:ascii="仿宋_GB2312" w:hAnsi="仿宋_GB2312" w:eastAsia="仿宋_GB2312" w:cs="仿宋_GB2312"/>
          <w:color w:val="auto"/>
          <w:sz w:val="32"/>
          <w:szCs w:val="32"/>
          <w:lang w:eastAsia="zh-CN"/>
        </w:rPr>
        <w:t>龙华区主会场</w:t>
      </w:r>
      <w:r>
        <w:rPr>
          <w:rFonts w:hint="eastAsia" w:ascii="仿宋_GB2312" w:hAnsi="仿宋_GB2312" w:eastAsia="仿宋_GB2312" w:cs="仿宋_GB2312"/>
          <w:color w:val="auto"/>
          <w:sz w:val="32"/>
          <w:szCs w:val="32"/>
        </w:rPr>
        <w:t>活动暨</w:t>
      </w:r>
      <w:r>
        <w:rPr>
          <w:rFonts w:hint="eastAsia" w:ascii="仿宋_GB2312" w:hAnsi="仿宋_GB2312" w:eastAsia="仿宋_GB2312" w:cs="仿宋_GB2312"/>
          <w:color w:val="auto"/>
          <w:sz w:val="32"/>
          <w:szCs w:val="32"/>
          <w:lang w:val="en-US" w:eastAsia="zh-CN"/>
        </w:rPr>
        <w:t>2026年</w:t>
      </w:r>
      <w:r>
        <w:rPr>
          <w:rFonts w:hint="eastAsia" w:ascii="仿宋_GB2312" w:hAnsi="仿宋_GB2312" w:eastAsia="仿宋_GB2312" w:cs="仿宋_GB2312"/>
          <w:color w:val="auto"/>
          <w:sz w:val="32"/>
          <w:szCs w:val="32"/>
        </w:rPr>
        <w:t>全民健身活动月启动仪式</w:t>
      </w:r>
      <w:r>
        <w:rPr>
          <w:rFonts w:hint="eastAsia" w:ascii="仿宋_GB2312" w:hAnsi="宋体" w:eastAsia="仿宋_GB2312" w:cs="仿宋_GB2312"/>
          <w:color w:val="auto"/>
          <w:sz w:val="32"/>
          <w:szCs w:val="32"/>
          <w:lang w:bidi="ar"/>
        </w:rPr>
        <w:t>。</w:t>
      </w:r>
    </w:p>
    <w:p>
      <w:pPr>
        <w:ind w:firstLine="640" w:firstLineChars="200"/>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（二）具体要求</w:t>
      </w:r>
    </w:p>
    <w:p>
      <w:pPr>
        <w:pStyle w:val="2"/>
        <w:numPr>
          <w:ilvl w:val="-1"/>
          <w:numId w:val="0"/>
        </w:numPr>
        <w:ind w:left="0" w:leftChars="0" w:firstLine="640" w:firstLineChars="200"/>
        <w:rPr>
          <w:rFonts w:hint="eastAsia" w:ascii="仿宋_GB2312" w:hAnsi="仿宋_GB2312" w:eastAsia="仿宋_GB2312" w:cs="仿宋_GB2312"/>
          <w:sz w:val="32"/>
          <w:szCs w:val="32"/>
          <w:lang w:val="en-US" w:eastAsia="zh-CN"/>
        </w:rPr>
      </w:pPr>
      <w:r>
        <w:rPr>
          <w:rFonts w:hint="default" w:ascii="仿宋_GB2312" w:hAnsi="仿宋" w:eastAsia="仿宋_GB2312" w:cs="仿宋"/>
          <w:kern w:val="2"/>
          <w:sz w:val="32"/>
          <w:szCs w:val="32"/>
          <w:lang w:val="en-US" w:eastAsia="zh-CN" w:bidi="ar-SA"/>
        </w:rPr>
        <w:t>1.</w:t>
      </w:r>
      <w:r>
        <w:rPr>
          <w:rFonts w:hint="eastAsia" w:ascii="仿宋_GB2312" w:hAnsi="仿宋" w:eastAsia="仿宋_GB2312" w:cs="仿宋"/>
          <w:kern w:val="2"/>
          <w:sz w:val="32"/>
          <w:szCs w:val="32"/>
          <w:lang w:val="en-US" w:eastAsia="zh-CN" w:bidi="ar-SA"/>
        </w:rPr>
        <w:t>负责场地布置、运输搭建及物料采购、租赁等工作；</w:t>
      </w:r>
    </w:p>
    <w:p>
      <w:pPr>
        <w:pStyle w:val="2"/>
        <w:numPr>
          <w:ilvl w:val="-1"/>
          <w:numId w:val="0"/>
        </w:numPr>
        <w:ind w:left="0" w:leftChars="0" w:firstLine="640" w:firstLineChars="200"/>
        <w:rPr>
          <w:rFonts w:hint="eastAsia" w:ascii="仿宋_GB2312" w:hAnsi="仿宋_GB2312" w:eastAsia="仿宋_GB2312" w:cs="仿宋_GB2312"/>
          <w:sz w:val="32"/>
          <w:szCs w:val="32"/>
          <w:lang w:val="en-US" w:eastAsia="zh-CN"/>
        </w:rPr>
      </w:pPr>
      <w:r>
        <w:rPr>
          <w:rFonts w:hint="default" w:ascii="仿宋_GB2312" w:hAnsi="仿宋" w:eastAsia="仿宋_GB2312" w:cs="仿宋"/>
          <w:kern w:val="2"/>
          <w:sz w:val="32"/>
          <w:szCs w:val="32"/>
          <w:lang w:val="en-US" w:eastAsia="zh-CN" w:bidi="ar-SA"/>
        </w:rPr>
        <w:t>2.</w:t>
      </w:r>
      <w:r>
        <w:rPr>
          <w:rFonts w:hint="eastAsia" w:ascii="仿宋_GB2312" w:hAnsi="仿宋" w:eastAsia="仿宋_GB2312" w:cs="仿宋"/>
          <w:kern w:val="2"/>
          <w:sz w:val="32"/>
          <w:szCs w:val="32"/>
          <w:lang w:val="en-US" w:eastAsia="zh-CN" w:bidi="ar-SA"/>
        </w:rPr>
        <w:t>负责聘请教官、安保人员、热身教练、主持人、医疗人员等工作；</w:t>
      </w:r>
    </w:p>
    <w:p>
      <w:pPr>
        <w:pStyle w:val="2"/>
        <w:numPr>
          <w:ilvl w:val="-1"/>
          <w:numId w:val="0"/>
        </w:numPr>
        <w:ind w:left="0" w:leftChars="0" w:firstLine="640" w:firstLineChars="200"/>
        <w:rPr>
          <w:rFonts w:hint="eastAsia"/>
          <w:lang w:val="en-US" w:eastAsia="zh-CN"/>
        </w:rPr>
      </w:pPr>
      <w:r>
        <w:rPr>
          <w:rFonts w:hint="eastAsia" w:ascii="仿宋_GB2312" w:hAnsi="仿宋" w:eastAsia="仿宋_GB2312" w:cs="仿宋"/>
          <w:kern w:val="2"/>
          <w:sz w:val="32"/>
          <w:szCs w:val="32"/>
          <w:lang w:val="en-US" w:eastAsia="zh-CN" w:bidi="ar-SA"/>
        </w:rPr>
        <w:t>3</w:t>
      </w:r>
      <w:r>
        <w:rPr>
          <w:rFonts w:hint="default" w:ascii="仿宋_GB2312" w:hAnsi="仿宋" w:eastAsia="仿宋_GB2312" w:cs="仿宋"/>
          <w:kern w:val="2"/>
          <w:sz w:val="32"/>
          <w:szCs w:val="32"/>
          <w:lang w:val="en-US" w:eastAsia="zh-CN" w:bidi="ar-SA"/>
        </w:rPr>
        <w:t>.</w:t>
      </w:r>
      <w:r>
        <w:rPr>
          <w:rFonts w:hint="eastAsia" w:ascii="仿宋_GB2312" w:hAnsi="仿宋" w:eastAsia="仿宋_GB2312" w:cs="仿宋"/>
          <w:kern w:val="2"/>
          <w:sz w:val="32"/>
          <w:szCs w:val="32"/>
          <w:lang w:val="en-US" w:eastAsia="zh-CN" w:bidi="ar-SA"/>
        </w:rPr>
        <w:t>负责主办方交办的其他事项。</w:t>
      </w:r>
    </w:p>
    <w:p>
      <w:pPr>
        <w:keepNext w:val="0"/>
        <w:keepLines w:val="0"/>
        <w:pageBreakBefore w:val="0"/>
        <w:numPr>
          <w:ilvl w:val="0"/>
          <w:numId w:val="0"/>
        </w:numPr>
        <w:tabs>
          <w:tab w:val="left" w:pos="1820"/>
        </w:tabs>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lang w:eastAsia="zh-CN"/>
        </w:rPr>
        <w:t>报价限额</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i w:val="0"/>
          <w:color w:val="000000"/>
          <w:sz w:val="32"/>
          <w:szCs w:val="32"/>
          <w:highlight w:val="none"/>
          <w:lang w:val="en-US" w:eastAsia="zh-CN"/>
        </w:rPr>
        <w:t>14.8</w:t>
      </w:r>
      <w:r>
        <w:rPr>
          <w:rFonts w:hint="eastAsia" w:ascii="仿宋_GB2312" w:hAnsi="仿宋_GB2312" w:eastAsia="仿宋_GB2312" w:cs="仿宋_GB2312"/>
          <w:color w:val="auto"/>
          <w:sz w:val="32"/>
          <w:szCs w:val="36"/>
          <w:highlight w:val="none"/>
          <w:lang w:eastAsia="zh-CN"/>
        </w:rPr>
        <w:t>万元</w:t>
      </w:r>
      <w:r>
        <w:rPr>
          <w:rFonts w:hint="eastAsia" w:ascii="仿宋_GB2312" w:hAnsi="仿宋" w:eastAsia="仿宋_GB2312" w:cs="仿宋"/>
          <w:kern w:val="2"/>
          <w:sz w:val="32"/>
          <w:szCs w:val="32"/>
          <w:highlight w:val="none"/>
          <w:lang w:val="en-US" w:eastAsia="zh-CN" w:bidi="ar-SA"/>
        </w:rPr>
        <w:t>，</w:t>
      </w:r>
      <w:r>
        <w:rPr>
          <w:rFonts w:hint="eastAsia" w:ascii="仿宋_GB2312" w:hAnsi="仿宋_GB2312" w:eastAsia="仿宋_GB2312" w:cs="仿宋_GB2312"/>
          <w:b/>
          <w:bCs/>
          <w:color w:val="auto"/>
          <w:sz w:val="32"/>
          <w:szCs w:val="32"/>
          <w:highlight w:val="none"/>
          <w:lang w:eastAsia="zh-CN"/>
        </w:rPr>
        <w:t>项目报价表</w:t>
      </w:r>
      <w:r>
        <w:rPr>
          <w:rFonts w:hint="eastAsia" w:ascii="仿宋_GB2312" w:hAnsi="仿宋_GB2312" w:eastAsia="仿宋_GB2312" w:cs="仿宋_GB2312"/>
          <w:color w:val="auto"/>
          <w:sz w:val="32"/>
          <w:szCs w:val="32"/>
          <w:highlight w:val="none"/>
        </w:rPr>
        <w:t>需</w:t>
      </w:r>
      <w:r>
        <w:rPr>
          <w:rFonts w:hint="eastAsia" w:ascii="仿宋_GB2312" w:hAnsi="仿宋_GB2312" w:eastAsia="仿宋_GB2312" w:cs="仿宋_GB2312"/>
          <w:color w:val="auto"/>
          <w:sz w:val="32"/>
          <w:szCs w:val="32"/>
          <w:highlight w:val="none"/>
          <w:lang w:eastAsia="zh-CN"/>
        </w:rPr>
        <w:t>按格式提供，与下表</w:t>
      </w:r>
      <w:r>
        <w:rPr>
          <w:rFonts w:hint="eastAsia" w:ascii="仿宋_GB2312" w:hAnsi="仿宋_GB2312" w:eastAsia="仿宋_GB2312" w:cs="仿宋_GB2312"/>
          <w:color w:val="auto"/>
          <w:sz w:val="32"/>
          <w:szCs w:val="32"/>
          <w:highlight w:val="none"/>
        </w:rPr>
        <w:t>保持一致</w:t>
      </w:r>
      <w:r>
        <w:rPr>
          <w:rFonts w:hint="eastAsia" w:ascii="仿宋_GB2312" w:hAnsi="仿宋_GB2312" w:eastAsia="仿宋_GB2312" w:cs="仿宋_GB2312"/>
          <w:color w:val="auto"/>
          <w:sz w:val="32"/>
          <w:szCs w:val="32"/>
          <w:highlight w:val="none"/>
          <w:lang w:eastAsia="zh-CN"/>
        </w:rPr>
        <w:t>：</w:t>
      </w:r>
    </w:p>
    <w:tbl>
      <w:tblPr>
        <w:tblStyle w:val="13"/>
        <w:tblW w:w="978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7"/>
        <w:gridCol w:w="1213"/>
        <w:gridCol w:w="2144"/>
        <w:gridCol w:w="3774"/>
        <w:gridCol w:w="938"/>
        <w:gridCol w:w="8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0"/>
                <w:sz w:val="28"/>
                <w:szCs w:val="28"/>
                <w:u w:val="none"/>
                <w:lang w:val="en-US" w:eastAsia="zh-CN" w:bidi="ar"/>
              </w:rPr>
            </w:pPr>
            <w:r>
              <w:rPr>
                <w:rFonts w:hint="eastAsia" w:ascii="宋体" w:hAnsi="宋体" w:eastAsia="宋体" w:cs="宋体"/>
                <w:b/>
                <w:bCs/>
                <w:i w:val="0"/>
                <w:iCs w:val="0"/>
                <w:color w:val="auto"/>
                <w:kern w:val="0"/>
                <w:sz w:val="28"/>
                <w:szCs w:val="28"/>
                <w:u w:val="none"/>
                <w:lang w:val="en-US" w:eastAsia="zh-CN" w:bidi="ar"/>
              </w:rPr>
              <w:t>深圳市第47届市民长跑日龙华区主会场活动暨2026年全民健身活动月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36"/>
                <w:szCs w:val="36"/>
                <w:u w:val="none"/>
              </w:rPr>
            </w:pPr>
            <w:r>
              <w:rPr>
                <w:rFonts w:hint="eastAsia" w:ascii="宋体" w:hAnsi="宋体" w:eastAsia="宋体" w:cs="宋体"/>
                <w:b/>
                <w:bCs/>
                <w:i w:val="0"/>
                <w:iCs w:val="0"/>
                <w:color w:val="auto"/>
                <w:kern w:val="0"/>
                <w:sz w:val="28"/>
                <w:szCs w:val="28"/>
                <w:u w:val="none"/>
                <w:lang w:val="en-US" w:eastAsia="zh-CN" w:bidi="ar"/>
              </w:rPr>
              <w:t>启动仪式活动报价表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分类</w:t>
            </w: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内容</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规格材质说明</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2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场地布置</w:t>
            </w: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主背景</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12*4米，桁架+黑底高清喷绘</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主舞台</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12.2*3.66*0.8米，钢木结构，含地毯</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音响</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小型线阵（租赁）</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主题三角彩旗</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定制，警戒装饰用</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起跑造型门</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6米*8米</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起跑区地贴</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6米*1米</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起跑区A字板</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3*1米双面</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签到、物资发放、医疗处布置</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帐篷+长条桌+套布+折叠椅，含分区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签到处指示牌</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木质+KT板+背胶</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旗杆放置架</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9*0.8米，桁架+喷绘+承重支撑</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12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活动物料</w:t>
            </w: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列队指示水牌+标牌</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专用定制水牌</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单位旗帜</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旗帜+旗杆，3号旗</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146</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区旗旗帜</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旗帜+旗杆，3号旗</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主题旗帜</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旗帜+旗杆，3号旗</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口号刀旗</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5.5米高旗杆+旗面</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大型口号横幅</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高清喷绘，20*1米，</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主题标语手持横幅</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双面横幅+手举杆</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矿泉水</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24支装</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配套趣味运动游戏摊位</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配套趣味运动游戏摊位不少于5点（含奖品）</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213"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人员费用</w:t>
            </w: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教官</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整队指挥</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工作人员</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工作人员（含领跑举旗）</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安保人员</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安保人员35人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热身教练</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起跑前专业热身带领</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活动主持</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主持人1人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摄影师</w:t>
            </w:r>
          </w:p>
        </w:tc>
        <w:tc>
          <w:tcPr>
            <w:tcW w:w="3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摄影师2人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12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医疗保障</w:t>
            </w:r>
          </w:p>
        </w:tc>
        <w:tc>
          <w:tcPr>
            <w:tcW w:w="3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现场医疗救护（救护车、2名医护人员）</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27</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宣传设计</w:t>
            </w: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设计费</w:t>
            </w:r>
          </w:p>
        </w:tc>
        <w:tc>
          <w:tcPr>
            <w:tcW w:w="3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活动整体设计</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w:t>
            </w: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宣传视频拍摄</w:t>
            </w:r>
          </w:p>
        </w:tc>
        <w:tc>
          <w:tcPr>
            <w:tcW w:w="3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宣传视频1条</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29</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其他</w:t>
            </w: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物料运输</w:t>
            </w:r>
          </w:p>
        </w:tc>
        <w:tc>
          <w:tcPr>
            <w:tcW w:w="3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物料运输摆放（含自有铁马摆放搬运）</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工作餐</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工作餐</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7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投标价格（万元）：                  （以万元为单位，最多保留两位小数）</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sz w:val="32"/>
          <w:szCs w:val="32"/>
          <w:highlight w:val="none"/>
          <w:lang w:eastAsia="zh-CN"/>
        </w:rPr>
        <w:t>五、</w:t>
      </w:r>
      <w:r>
        <w:rPr>
          <w:rFonts w:hint="eastAsia" w:ascii="黑体" w:hAnsi="黑体" w:eastAsia="黑体" w:cs="黑体"/>
          <w:color w:val="auto"/>
          <w:sz w:val="32"/>
          <w:szCs w:val="32"/>
          <w:highlight w:val="none"/>
        </w:rPr>
        <w:t>供应商的资质要求</w:t>
      </w:r>
    </w:p>
    <w:p>
      <w:pPr>
        <w:widowControl/>
        <w:spacing w:line="240" w:lineRule="auto"/>
        <w:ind w:firstLine="640" w:firstLineChars="200"/>
        <w:jc w:val="both"/>
        <w:rPr>
          <w:rFonts w:hint="eastAsia" w:ascii="仿宋_GB2312" w:hAnsi="仿宋" w:eastAsia="仿宋_GB2312" w:cs="仿宋"/>
          <w:color w:val="FF0000"/>
          <w:sz w:val="32"/>
          <w:szCs w:val="32"/>
          <w:highlight w:val="yellow"/>
        </w:rPr>
      </w:pPr>
      <w:r>
        <w:rPr>
          <w:rFonts w:hint="eastAsia" w:ascii="仿宋_GB2312" w:hAnsi="仿宋" w:eastAsia="仿宋_GB2312" w:cs="仿宋"/>
          <w:color w:val="auto"/>
          <w:sz w:val="32"/>
          <w:szCs w:val="32"/>
          <w:highlight w:val="none"/>
        </w:rPr>
        <w:t>（一）在中国境内注册的独立法人或其他组织（提供营业执照、事业法人证书、社会团体法人登记证书等扫描件）</w:t>
      </w:r>
      <w:r>
        <w:rPr>
          <w:rFonts w:hint="eastAsia" w:ascii="仿宋_GB2312" w:hAnsi="仿宋" w:eastAsia="仿宋_GB2312" w:cs="仿宋"/>
          <w:bCs/>
          <w:color w:val="auto"/>
          <w:kern w:val="2"/>
          <w:sz w:val="32"/>
          <w:szCs w:val="32"/>
          <w:highlight w:val="none"/>
          <w:lang w:val="en-US" w:eastAsia="zh-CN" w:bidi="ar-SA"/>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w:t>
      </w:r>
      <w:r>
        <w:rPr>
          <w:rFonts w:hint="eastAsia" w:ascii="仿宋_GB2312" w:hAnsi="仿宋" w:eastAsia="仿宋_GB2312" w:cs="仿宋"/>
          <w:bCs/>
          <w:color w:val="auto"/>
          <w:sz w:val="32"/>
          <w:szCs w:val="32"/>
          <w:highlight w:val="none"/>
        </w:rPr>
        <w:t>照扫描件</w:t>
      </w:r>
      <w:r>
        <w:rPr>
          <w:rFonts w:hint="eastAsia" w:ascii="仿宋_GB2312" w:hAnsi="仿宋" w:eastAsia="仿宋_GB2312" w:cs="仿宋"/>
          <w:bCs/>
          <w:color w:val="auto"/>
          <w:kern w:val="2"/>
          <w:sz w:val="32"/>
          <w:szCs w:val="32"/>
          <w:highlight w:val="none"/>
          <w:lang w:val="en-US" w:eastAsia="zh-CN" w:bidi="ar-SA"/>
        </w:rPr>
        <w:t>；</w:t>
      </w:r>
    </w:p>
    <w:p>
      <w:pPr>
        <w:pStyle w:val="17"/>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（二）</w:t>
      </w:r>
      <w:r>
        <w:rPr>
          <w:rFonts w:hint="eastAsia" w:ascii="仿宋_GB2312" w:hAnsi="仿宋" w:cs="仿宋"/>
          <w:color w:val="auto"/>
          <w:sz w:val="32"/>
          <w:szCs w:val="32"/>
          <w:highlight w:val="none"/>
          <w:lang w:eastAsia="zh-CN"/>
        </w:rPr>
        <w:t>投标人</w:t>
      </w:r>
      <w:r>
        <w:rPr>
          <w:rFonts w:hint="eastAsia" w:ascii="仿宋_GB2312" w:hAnsi="仿宋" w:eastAsia="仿宋_GB2312" w:cs="仿宋"/>
          <w:color w:val="auto"/>
          <w:sz w:val="32"/>
          <w:szCs w:val="32"/>
          <w:highlight w:val="none"/>
        </w:rPr>
        <w:t>近三年内（成立不足三年的</w:t>
      </w:r>
      <w:r>
        <w:rPr>
          <w:rFonts w:hint="eastAsia" w:ascii="仿宋_GB2312" w:hAnsi="仿宋" w:cs="仿宋"/>
          <w:color w:val="auto"/>
          <w:sz w:val="32"/>
          <w:szCs w:val="32"/>
          <w:highlight w:val="none"/>
          <w:lang w:eastAsia="zh-CN"/>
        </w:rPr>
        <w:t>，自</w:t>
      </w:r>
      <w:r>
        <w:rPr>
          <w:rFonts w:hint="eastAsia" w:ascii="仿宋_GB2312" w:hAnsi="仿宋" w:eastAsia="仿宋_GB2312" w:cs="仿宋"/>
          <w:color w:val="auto"/>
          <w:sz w:val="32"/>
          <w:szCs w:val="32"/>
          <w:highlight w:val="none"/>
        </w:rPr>
        <w:t>成立之日起算），在经营活动中没有重大违法记录以及不存在被有关部门禁止参与政府采购活动且在有效期内的情况</w:t>
      </w:r>
      <w:r>
        <w:rPr>
          <w:rFonts w:hint="eastAsia" w:ascii="仿宋_GB2312" w:hAnsi="仿宋" w:cs="仿宋"/>
          <w:color w:val="auto"/>
          <w:sz w:val="32"/>
          <w:szCs w:val="32"/>
          <w:highlight w:val="none"/>
          <w:lang w:eastAsia="zh-CN"/>
        </w:rPr>
        <w:t>；</w:t>
      </w:r>
    </w:p>
    <w:p>
      <w:pPr>
        <w:pStyle w:val="17"/>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（三）</w:t>
      </w:r>
      <w:r>
        <w:rPr>
          <w:rFonts w:hint="eastAsia" w:ascii="仿宋_GB2312" w:hAnsi="仿宋" w:eastAsia="仿宋_GB2312" w:cs="仿宋"/>
          <w:bCs/>
          <w:color w:val="auto"/>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color w:val="auto"/>
          <w:kern w:val="2"/>
          <w:sz w:val="32"/>
          <w:szCs w:val="32"/>
          <w:highlight w:val="none"/>
          <w:lang w:val="en-US" w:eastAsia="zh-CN" w:bidi="ar-SA"/>
        </w:rPr>
        <w:t>也不得隶属</w:t>
      </w:r>
      <w:r>
        <w:rPr>
          <w:rFonts w:hint="eastAsia" w:ascii="仿宋_GB2312" w:hAnsi="仿宋" w:eastAsia="仿宋_GB2312" w:cs="仿宋"/>
          <w:bCs/>
          <w:color w:val="auto"/>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color w:val="auto"/>
          <w:sz w:val="32"/>
          <w:szCs w:val="32"/>
          <w:highlight w:val="none"/>
        </w:rPr>
        <w:t>，不得同时参加本项目的采购活动</w:t>
      </w:r>
      <w:r>
        <w:rPr>
          <w:rFonts w:hint="eastAsia" w:ascii="仿宋_GB2312" w:hAnsi="仿宋" w:cs="仿宋"/>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六、选定</w:t>
      </w:r>
      <w:r>
        <w:rPr>
          <w:rFonts w:hint="eastAsia" w:ascii="黑体" w:hAnsi="黑体" w:eastAsia="黑体" w:cs="黑体"/>
          <w:color w:val="auto"/>
          <w:sz w:val="32"/>
          <w:szCs w:val="32"/>
          <w:highlight w:val="none"/>
        </w:rPr>
        <w:t>供应商方法</w:t>
      </w:r>
    </w:p>
    <w:p>
      <w:pPr>
        <w:keepNext w:val="0"/>
        <w:keepLines w:val="0"/>
        <w:pageBreakBefore w:val="0"/>
        <w:tabs>
          <w:tab w:val="left" w:pos="1820"/>
        </w:tabs>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 w:eastAsia="仿宋_GB2312"/>
          <w:color w:val="auto"/>
          <w:sz w:val="32"/>
          <w:highlight w:val="none"/>
          <w:lang w:eastAsia="zh-CN"/>
        </w:rPr>
      </w:pPr>
      <w:r>
        <w:rPr>
          <w:rFonts w:hint="eastAsia" w:ascii="仿宋_GB2312" w:hAnsi="仿宋" w:eastAsia="仿宋_GB2312"/>
          <w:sz w:val="32"/>
          <w:highlight w:val="none"/>
        </w:rPr>
        <w:t>综合评分法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七、评分要求</w:t>
      </w:r>
    </w:p>
    <w:p>
      <w:pPr>
        <w:pStyle w:val="16"/>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楷体" w:hAnsi="楷体" w:eastAsia="楷体" w:cs="楷体"/>
          <w:b w:val="0"/>
          <w:bCs/>
          <w:color w:val="000000"/>
          <w:sz w:val="32"/>
          <w:szCs w:val="32"/>
          <w:lang w:eastAsia="zh-CN"/>
        </w:rPr>
      </w:pPr>
      <w:r>
        <w:rPr>
          <w:rFonts w:hint="eastAsia" w:ascii="楷体" w:hAnsi="楷体" w:eastAsia="楷体" w:cs="楷体"/>
          <w:b w:val="0"/>
          <w:bCs/>
          <w:color w:val="000000"/>
          <w:sz w:val="32"/>
          <w:szCs w:val="32"/>
          <w:lang w:eastAsia="zh-CN"/>
        </w:rPr>
        <w:t>（一）评分规则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仿宋_GB2312"/>
          <w:bCs/>
          <w:color w:val="000000"/>
          <w:sz w:val="32"/>
          <w:szCs w:val="32"/>
        </w:rPr>
      </w:pPr>
      <w:r>
        <w:rPr>
          <w:rFonts w:hint="eastAsia" w:ascii="仿宋_GB2312" w:eastAsia="仿宋_GB2312"/>
          <w:color w:val="000000"/>
          <w:sz w:val="32"/>
          <w:szCs w:val="32"/>
        </w:rPr>
        <w:t>采取综合评分标准，</w:t>
      </w:r>
      <w:r>
        <w:rPr>
          <w:rFonts w:hint="eastAsia" w:ascii="仿宋_GB2312" w:eastAsia="仿宋_GB2312"/>
          <w:color w:val="000000"/>
          <w:sz w:val="32"/>
          <w:szCs w:val="32"/>
          <w:lang w:eastAsia="zh-CN"/>
        </w:rPr>
        <w:t>平均分</w:t>
      </w:r>
      <w:r>
        <w:rPr>
          <w:rFonts w:hint="eastAsia" w:ascii="仿宋_GB2312" w:eastAsia="仿宋_GB2312"/>
          <w:color w:val="000000"/>
          <w:sz w:val="32"/>
          <w:szCs w:val="32"/>
        </w:rPr>
        <w:t>最高的投标人为本项目中标人。</w:t>
      </w:r>
    </w:p>
    <w:p>
      <w:pPr>
        <w:pStyle w:val="16"/>
        <w:spacing w:line="560" w:lineRule="exact"/>
        <w:ind w:firstLine="640" w:firstLineChars="200"/>
        <w:jc w:val="both"/>
        <w:rPr>
          <w:rFonts w:hint="eastAsia" w:ascii="楷体_GB2312" w:hAnsi="楷体_GB2312" w:eastAsia="楷体_GB2312" w:cs="楷体_GB2312"/>
          <w:b w:val="0"/>
          <w:bCs/>
          <w:color w:val="auto"/>
          <w:sz w:val="32"/>
          <w:szCs w:val="32"/>
          <w:highlight w:val="none"/>
          <w:lang w:eastAsia="zh-CN"/>
        </w:rPr>
      </w:pPr>
      <w:r>
        <w:rPr>
          <w:rFonts w:hint="eastAsia" w:ascii="楷体_GB2312" w:hAnsi="楷体_GB2312" w:eastAsia="楷体_GB2312" w:cs="楷体_GB2312"/>
          <w:b w:val="0"/>
          <w:bCs/>
          <w:color w:val="auto"/>
          <w:sz w:val="32"/>
          <w:szCs w:val="32"/>
          <w:highlight w:val="none"/>
        </w:rPr>
        <w:t>（二）评分权重</w:t>
      </w:r>
    </w:p>
    <w:tbl>
      <w:tblPr>
        <w:tblStyle w:val="13"/>
        <w:tblW w:w="8756"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314"/>
        <w:gridCol w:w="2104"/>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6"/>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评分内容</w:t>
            </w:r>
          </w:p>
        </w:tc>
        <w:tc>
          <w:tcPr>
            <w:tcW w:w="2314" w:type="dxa"/>
            <w:tcBorders>
              <w:top w:val="single" w:color="auto" w:sz="4" w:space="0"/>
              <w:left w:val="single" w:color="auto" w:sz="4" w:space="0"/>
              <w:bottom w:val="single" w:color="auto" w:sz="4" w:space="0"/>
              <w:right w:val="single" w:color="auto" w:sz="4" w:space="0"/>
            </w:tcBorders>
            <w:noWrap w:val="0"/>
            <w:vAlign w:val="top"/>
          </w:tcPr>
          <w:p>
            <w:pPr>
              <w:pStyle w:val="16"/>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报价</w:t>
            </w:r>
          </w:p>
        </w:tc>
        <w:tc>
          <w:tcPr>
            <w:tcW w:w="2104" w:type="dxa"/>
            <w:tcBorders>
              <w:top w:val="single" w:color="auto" w:sz="4" w:space="0"/>
              <w:left w:val="single" w:color="auto" w:sz="4" w:space="0"/>
              <w:bottom w:val="single" w:color="auto" w:sz="4" w:space="0"/>
              <w:right w:val="single" w:color="auto" w:sz="4" w:space="0"/>
            </w:tcBorders>
            <w:noWrap w:val="0"/>
            <w:vAlign w:val="top"/>
          </w:tcPr>
          <w:p>
            <w:pPr>
              <w:pStyle w:val="16"/>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商务</w:t>
            </w:r>
            <w:r>
              <w:rPr>
                <w:rFonts w:hint="eastAsia" w:ascii="仿宋_GB2312" w:hAnsi="仿宋_GB2312" w:eastAsia="仿宋_GB2312" w:cs="仿宋_GB2312"/>
                <w:b w:val="0"/>
                <w:bCs/>
                <w:color w:val="auto"/>
                <w:szCs w:val="24"/>
                <w:highlight w:val="none"/>
                <w:lang w:eastAsia="zh-CN"/>
              </w:rPr>
              <w:t>部分</w:t>
            </w:r>
          </w:p>
        </w:tc>
        <w:tc>
          <w:tcPr>
            <w:tcW w:w="2250" w:type="dxa"/>
            <w:tcBorders>
              <w:top w:val="single" w:color="auto" w:sz="4" w:space="0"/>
              <w:left w:val="single" w:color="auto" w:sz="4" w:space="0"/>
              <w:bottom w:val="single" w:color="auto" w:sz="4" w:space="0"/>
              <w:right w:val="single" w:color="auto" w:sz="4" w:space="0"/>
            </w:tcBorders>
            <w:noWrap w:val="0"/>
            <w:vAlign w:val="top"/>
          </w:tcPr>
          <w:p>
            <w:pPr>
              <w:pStyle w:val="16"/>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技术</w:t>
            </w:r>
            <w:r>
              <w:rPr>
                <w:rFonts w:hint="eastAsia" w:ascii="仿宋_GB2312" w:hAnsi="仿宋_GB2312" w:eastAsia="仿宋_GB2312" w:cs="仿宋_GB2312"/>
                <w:b w:val="0"/>
                <w:bCs/>
                <w:color w:val="auto"/>
                <w:szCs w:val="24"/>
                <w:highlight w:val="none"/>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6"/>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分值</w:t>
            </w:r>
          </w:p>
        </w:tc>
        <w:tc>
          <w:tcPr>
            <w:tcW w:w="2314" w:type="dxa"/>
            <w:tcBorders>
              <w:top w:val="single" w:color="auto" w:sz="4" w:space="0"/>
              <w:left w:val="single" w:color="auto" w:sz="4" w:space="0"/>
              <w:bottom w:val="single" w:color="auto" w:sz="4" w:space="0"/>
              <w:right w:val="single" w:color="auto" w:sz="4" w:space="0"/>
            </w:tcBorders>
            <w:noWrap w:val="0"/>
            <w:vAlign w:val="top"/>
          </w:tcPr>
          <w:p>
            <w:pPr>
              <w:pStyle w:val="16"/>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 w:val="24"/>
                <w:szCs w:val="24"/>
                <w:highlight w:val="none"/>
                <w:lang w:val="en-US" w:eastAsia="zh-CN"/>
              </w:rPr>
              <w:t>30</w:t>
            </w:r>
            <w:r>
              <w:rPr>
                <w:rFonts w:hint="eastAsia" w:ascii="仿宋_GB2312" w:hAnsi="仿宋_GB2312" w:eastAsia="仿宋_GB2312" w:cs="仿宋_GB2312"/>
                <w:b w:val="0"/>
                <w:bCs/>
                <w:color w:val="auto"/>
                <w:szCs w:val="24"/>
                <w:highlight w:val="none"/>
              </w:rPr>
              <w:t>分</w:t>
            </w:r>
          </w:p>
        </w:tc>
        <w:tc>
          <w:tcPr>
            <w:tcW w:w="2104" w:type="dxa"/>
            <w:tcBorders>
              <w:top w:val="single" w:color="auto" w:sz="4" w:space="0"/>
              <w:left w:val="single" w:color="auto" w:sz="4" w:space="0"/>
              <w:bottom w:val="single" w:color="auto" w:sz="4" w:space="0"/>
              <w:right w:val="single" w:color="auto" w:sz="4" w:space="0"/>
            </w:tcBorders>
            <w:noWrap w:val="0"/>
            <w:vAlign w:val="top"/>
          </w:tcPr>
          <w:p>
            <w:pPr>
              <w:pStyle w:val="16"/>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 w:val="24"/>
                <w:szCs w:val="24"/>
                <w:highlight w:val="none"/>
                <w:lang w:val="en-US" w:eastAsia="zh-CN"/>
              </w:rPr>
              <w:t>25</w:t>
            </w:r>
            <w:r>
              <w:rPr>
                <w:rFonts w:hint="eastAsia" w:ascii="仿宋_GB2312" w:hAnsi="仿宋_GB2312" w:eastAsia="仿宋_GB2312" w:cs="仿宋_GB2312"/>
                <w:b w:val="0"/>
                <w:bCs/>
                <w:color w:val="auto"/>
                <w:szCs w:val="24"/>
                <w:highlight w:val="none"/>
              </w:rPr>
              <w:t>分</w:t>
            </w:r>
          </w:p>
        </w:tc>
        <w:tc>
          <w:tcPr>
            <w:tcW w:w="2250" w:type="dxa"/>
            <w:tcBorders>
              <w:top w:val="single" w:color="auto" w:sz="4" w:space="0"/>
              <w:left w:val="single" w:color="auto" w:sz="4" w:space="0"/>
              <w:bottom w:val="single" w:color="auto" w:sz="4" w:space="0"/>
              <w:right w:val="single" w:color="auto" w:sz="4" w:space="0"/>
            </w:tcBorders>
            <w:noWrap w:val="0"/>
            <w:vAlign w:val="top"/>
          </w:tcPr>
          <w:p>
            <w:pPr>
              <w:pStyle w:val="16"/>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 w:val="24"/>
                <w:szCs w:val="24"/>
                <w:highlight w:val="none"/>
                <w:lang w:val="en-US" w:eastAsia="zh-CN"/>
              </w:rPr>
              <w:t>45</w:t>
            </w:r>
            <w:r>
              <w:rPr>
                <w:rFonts w:hint="eastAsia" w:ascii="仿宋_GB2312" w:hAnsi="仿宋_GB2312" w:eastAsia="仿宋_GB2312" w:cs="仿宋_GB2312"/>
                <w:b w:val="0"/>
                <w:bCs/>
                <w:color w:val="auto"/>
                <w:szCs w:val="24"/>
                <w:highlight w:val="none"/>
              </w:rPr>
              <w:t>分</w:t>
            </w:r>
          </w:p>
        </w:tc>
      </w:tr>
    </w:tbl>
    <w:p>
      <w:pPr>
        <w:pStyle w:val="16"/>
        <w:spacing w:line="560" w:lineRule="exact"/>
        <w:ind w:firstLine="640" w:firstLineChars="200"/>
        <w:jc w:val="both"/>
        <w:rPr>
          <w:rFonts w:ascii="仿宋_GB2312" w:eastAsia="仿宋_GB2312"/>
          <w:color w:val="auto"/>
          <w:sz w:val="32"/>
          <w:szCs w:val="32"/>
          <w:highlight w:val="none"/>
        </w:rPr>
      </w:pPr>
      <w:r>
        <w:rPr>
          <w:rFonts w:hint="eastAsia" w:ascii="楷体_GB2312" w:hAnsi="楷体_GB2312" w:eastAsia="楷体_GB2312" w:cs="楷体_GB2312"/>
          <w:b w:val="0"/>
          <w:bCs/>
          <w:color w:val="auto"/>
          <w:sz w:val="32"/>
          <w:szCs w:val="32"/>
          <w:highlight w:val="none"/>
        </w:rPr>
        <w:t>（三）评分标准</w:t>
      </w:r>
    </w:p>
    <w:tbl>
      <w:tblPr>
        <w:tblStyle w:val="14"/>
        <w:tblW w:w="9206"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861"/>
        <w:gridCol w:w="7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7563"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7563"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7"/>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b w:val="0"/>
                <w:bCs/>
                <w:sz w:val="24"/>
                <w:szCs w:val="24"/>
                <w:vertAlign w:val="baseline"/>
                <w:lang w:eastAsia="zh-CN"/>
              </w:rPr>
            </w:pPr>
            <w:r>
              <w:rPr>
                <w:rFonts w:hint="eastAsia" w:ascii="仿宋_GB2312" w:hAnsi="仿宋_GB2312" w:eastAsia="仿宋_GB2312" w:cs="仿宋_GB2312"/>
                <w:b w:val="0"/>
                <w:bCs/>
                <w:sz w:val="24"/>
                <w:szCs w:val="24"/>
                <w:vertAlign w:val="baseline"/>
                <w:lang w:eastAsia="zh-CN"/>
              </w:rPr>
              <w:t>部分</w:t>
            </w:r>
          </w:p>
          <w:p>
            <w:pPr>
              <w:pStyle w:val="7"/>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sz w:val="24"/>
                <w:szCs w:val="24"/>
                <w:vertAlign w:val="baseline"/>
                <w:lang w:eastAsia="zh-CN"/>
              </w:rPr>
              <w:t>（</w:t>
            </w:r>
            <w:r>
              <w:rPr>
                <w:rFonts w:hint="eastAsia" w:ascii="仿宋_GB2312" w:hAnsi="仿宋_GB2312" w:eastAsia="仿宋_GB2312" w:cs="仿宋_GB2312"/>
                <w:b w:val="0"/>
                <w:bCs/>
                <w:sz w:val="24"/>
                <w:szCs w:val="24"/>
                <w:vertAlign w:val="baseline"/>
                <w:lang w:val="en-US" w:eastAsia="zh-CN"/>
              </w:rPr>
              <w:t>25分</w:t>
            </w:r>
            <w:r>
              <w:rPr>
                <w:rFonts w:hint="eastAsia" w:ascii="仿宋_GB2312" w:hAnsi="仿宋_GB2312" w:eastAsia="仿宋_GB2312" w:cs="仿宋_GB2312"/>
                <w:b w:val="0"/>
                <w:bCs/>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7563"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7563"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7563" w:type="dxa"/>
            <w:shd w:val="clear" w:color="auto" w:fill="auto"/>
            <w:noWrap w:val="0"/>
            <w:vAlign w:val="center"/>
          </w:tcPr>
          <w:p>
            <w:pPr>
              <w:keepNext w:val="0"/>
              <w:keepLines w:val="0"/>
              <w:pageBreakBefore w:val="0"/>
              <w:numPr>
                <w:ilvl w:val="0"/>
                <w:numId w:val="1"/>
              </w:numPr>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keepNext w:val="0"/>
              <w:keepLines w:val="0"/>
              <w:pageBreakBefore w:val="0"/>
              <w:numPr>
                <w:ilvl w:val="0"/>
                <w:numId w:val="0"/>
              </w:numPr>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keepNext w:val="0"/>
              <w:keepLines w:val="0"/>
              <w:pageBreakBefore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每提供一类专业学历证明资料的得分比例要求如下：具有</w:t>
            </w:r>
            <w:r>
              <w:rPr>
                <w:rFonts w:hint="eastAsia" w:ascii="仿宋_GB2312" w:hAnsi="宋体" w:eastAsia="仿宋_GB2312" w:cs="仿宋_GB2312"/>
                <w:i w:val="0"/>
                <w:iCs w:val="0"/>
                <w:color w:val="000000"/>
                <w:kern w:val="0"/>
                <w:sz w:val="24"/>
                <w:szCs w:val="24"/>
                <w:u w:val="none"/>
                <w:lang w:val="en-US" w:eastAsia="zh-CN" w:bidi="ar"/>
              </w:rPr>
              <w:t>体育专业大专学历得2分；具有体育专业本科及以上学历得3分，</w:t>
            </w:r>
            <w:r>
              <w:rPr>
                <w:rFonts w:hint="eastAsia" w:ascii="仿宋_GB2312" w:hAnsi="仿宋_GB2312" w:eastAsia="仿宋_GB2312" w:cs="仿宋_GB2312"/>
                <w:sz w:val="24"/>
                <w:szCs w:val="24"/>
                <w:lang w:eastAsia="zh-CN"/>
              </w:rPr>
              <w:t>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keepNext w:val="0"/>
              <w:keepLines w:val="0"/>
              <w:pageBreakBefore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keepNext w:val="0"/>
              <w:keepLines w:val="0"/>
              <w:pageBreakBefore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6"/>
              <w:keepNext w:val="0"/>
              <w:keepLines w:val="0"/>
              <w:pageBreakBefore w:val="0"/>
              <w:kinsoku/>
              <w:wordWrap/>
              <w:overflowPunct/>
              <w:autoSpaceDE/>
              <w:autoSpaceDN/>
              <w:bidi w:val="0"/>
              <w:adjustRightInd/>
              <w:spacing w:line="240" w:lineRule="auto"/>
              <w:ind w:left="0" w:leftChars="0" w:firstLine="0" w:firstLineChars="0"/>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topLinePunct/>
              <w:snapToGrid w:val="0"/>
              <w:jc w:val="both"/>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782"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项目完成（服务期满）后的服务承诺（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7563"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7"/>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b w:val="0"/>
                <w:bCs/>
                <w:sz w:val="24"/>
                <w:szCs w:val="24"/>
                <w:vertAlign w:val="baseline"/>
                <w:lang w:eastAsia="zh-CN"/>
              </w:rPr>
              <w:t>（</w:t>
            </w:r>
            <w:r>
              <w:rPr>
                <w:rFonts w:hint="eastAsia" w:ascii="仿宋_GB2312" w:hAnsi="仿宋_GB2312" w:eastAsia="仿宋_GB2312" w:cs="仿宋_GB2312"/>
                <w:b w:val="0"/>
                <w:bCs/>
                <w:sz w:val="24"/>
                <w:szCs w:val="24"/>
                <w:vertAlign w:val="baseline"/>
                <w:lang w:val="en-US" w:eastAsia="zh-CN"/>
              </w:rPr>
              <w:t>25分</w:t>
            </w:r>
            <w:r>
              <w:rPr>
                <w:rFonts w:hint="eastAsia" w:ascii="仿宋_GB2312" w:hAnsi="仿宋_GB2312" w:eastAsia="仿宋_GB2312" w:cs="仿宋_GB2312"/>
                <w:b w:val="0"/>
                <w:bCs/>
                <w:sz w:val="24"/>
                <w:szCs w:val="24"/>
                <w:vertAlign w:val="baseline"/>
                <w:lang w:eastAsia="zh-CN"/>
              </w:rPr>
              <w:t>）</w:t>
            </w:r>
          </w:p>
        </w:tc>
        <w:tc>
          <w:tcPr>
            <w:tcW w:w="7563"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满足以上任意一项要求得4分，最高得16分，在此基础上。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7563"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6"/>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黑体" w:hAnsi="黑体" w:eastAsia="黑体" w:cs="黑体"/>
          <w:b w:val="0"/>
          <w:bCs/>
          <w:color w:val="000000"/>
          <w:sz w:val="32"/>
          <w:szCs w:val="32"/>
          <w:lang w:val="en-US" w:eastAsia="zh-CN"/>
        </w:rPr>
        <w:t>八、</w:t>
      </w:r>
      <w:r>
        <w:rPr>
          <w:rFonts w:hint="eastAsia" w:ascii="黑体" w:hAnsi="黑体" w:eastAsia="黑体" w:cs="黑体"/>
          <w:b w:val="0"/>
          <w:bCs/>
          <w:color w:val="000000"/>
          <w:sz w:val="32"/>
          <w:szCs w:val="32"/>
        </w:rPr>
        <w:t>供应商提供资料清单</w:t>
      </w:r>
    </w:p>
    <w:p>
      <w:pPr>
        <w:spacing w:line="560" w:lineRule="exact"/>
        <w:ind w:firstLine="642" w:firstLineChars="20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spacing w:line="560" w:lineRule="exact"/>
        <w:ind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1.营业执照、事业法人证书、社会团体法人登记证书；</w:t>
      </w:r>
    </w:p>
    <w:p>
      <w:pPr>
        <w:spacing w:line="560" w:lineRule="exact"/>
        <w:ind w:firstLine="640" w:firstLineChars="200"/>
        <w:jc w:val="both"/>
        <w:rPr>
          <w:color w:val="auto"/>
          <w:sz w:val="32"/>
          <w:szCs w:val="32"/>
          <w:highlight w:val="none"/>
        </w:rPr>
      </w:pPr>
      <w:r>
        <w:rPr>
          <w:rFonts w:hint="eastAsia" w:ascii="仿宋_GB2312" w:hAnsi="仿宋" w:eastAsia="仿宋_GB2312" w:cs="Times New Roman"/>
          <w:color w:val="auto"/>
          <w:sz w:val="32"/>
          <w:szCs w:val="32"/>
          <w:highlight w:val="none"/>
        </w:rPr>
        <w:t>2.法定代表人身份证复印件；</w:t>
      </w:r>
    </w:p>
    <w:p>
      <w:pPr>
        <w:pStyle w:val="8"/>
        <w:spacing w:after="0" w:line="560" w:lineRule="exact"/>
        <w:ind w:left="0" w:leftChars="0" w:right="0" w:rightChars="0" w:firstLine="64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3.项目报价</w:t>
      </w:r>
      <w:r>
        <w:rPr>
          <w:rFonts w:hint="eastAsia" w:ascii="仿宋_GB2312" w:hAnsi="仿宋" w:eastAsia="仿宋_GB2312" w:cs="Times New Roman"/>
          <w:color w:val="auto"/>
          <w:sz w:val="32"/>
          <w:highlight w:val="none"/>
          <w:lang w:eastAsia="zh-CN"/>
        </w:rPr>
        <w:t>表</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b/>
          <w:bCs/>
          <w:color w:val="FF0000"/>
          <w:sz w:val="32"/>
          <w:highlight w:val="none"/>
          <w:lang w:eastAsia="zh-CN"/>
        </w:rPr>
        <w:t>需按格式提供</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color w:val="auto"/>
          <w:sz w:val="32"/>
          <w:highlight w:val="none"/>
        </w:rPr>
        <w:t>；</w:t>
      </w:r>
    </w:p>
    <w:p>
      <w:pPr>
        <w:pStyle w:val="8"/>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4.诚信承诺书（详见附件1）；</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kern w:val="2"/>
          <w:sz w:val="32"/>
          <w:szCs w:val="24"/>
          <w:highlight w:val="none"/>
          <w:lang w:val="en-US" w:eastAsia="zh-CN" w:bidi="ar-SA"/>
        </w:rPr>
        <w:t>5.填写《供应商基本情况表》（加盖单位公章，详见附件2），</w:t>
      </w:r>
      <w:r>
        <w:rPr>
          <w:rFonts w:hint="eastAsia" w:ascii="仿宋_GB2312" w:hAnsi="仿宋" w:eastAsia="仿宋_GB2312" w:cs="Times New Roman"/>
          <w:b/>
          <w:bCs/>
          <w:color w:val="auto"/>
          <w:kern w:val="2"/>
          <w:sz w:val="32"/>
          <w:szCs w:val="24"/>
          <w:highlight w:val="none"/>
          <w:lang w:val="en-US" w:eastAsia="zh-CN" w:bidi="ar-SA"/>
        </w:rPr>
        <w:t>并完整提交表格列明的供应商相关人员近</w:t>
      </w:r>
      <w:r>
        <w:rPr>
          <w:rFonts w:hint="eastAsia" w:ascii="仿宋_GB2312" w:hAnsi="仿宋" w:eastAsia="仿宋_GB2312" w:cs="Times New Roman"/>
          <w:b/>
          <w:bCs/>
          <w:color w:val="FF0000"/>
          <w:kern w:val="2"/>
          <w:sz w:val="32"/>
          <w:szCs w:val="24"/>
          <w:highlight w:val="none"/>
          <w:lang w:val="en-US" w:eastAsia="zh-CN" w:bidi="ar-SA"/>
        </w:rPr>
        <w:t>三</w:t>
      </w:r>
      <w:r>
        <w:rPr>
          <w:rFonts w:hint="eastAsia" w:ascii="仿宋_GB2312" w:hAnsi="仿宋" w:eastAsia="仿宋_GB2312" w:cs="Times New Roman"/>
          <w:b/>
          <w:bCs/>
          <w:color w:val="auto"/>
          <w:kern w:val="2"/>
          <w:sz w:val="32"/>
          <w:szCs w:val="24"/>
          <w:highlight w:val="none"/>
          <w:lang w:val="en-US" w:eastAsia="zh-CN" w:bidi="ar-SA"/>
        </w:rPr>
        <w:t>个月社保缴纳证明</w:t>
      </w:r>
      <w:r>
        <w:rPr>
          <w:rFonts w:hint="eastAsia" w:ascii="仿宋_GB2312" w:hAnsi="仿宋" w:eastAsia="仿宋_GB2312" w:cs="Times New Roman"/>
          <w:color w:val="auto"/>
          <w:kern w:val="2"/>
          <w:sz w:val="32"/>
          <w:szCs w:val="24"/>
          <w:highlight w:val="none"/>
          <w:lang w:val="en-US" w:eastAsia="zh-CN" w:bidi="ar-SA"/>
        </w:rPr>
        <w:t>；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kern w:val="2"/>
          <w:sz w:val="32"/>
          <w:szCs w:val="24"/>
          <w:highlight w:val="none"/>
          <w:lang w:val="en-US" w:eastAsia="zh-CN" w:bidi="ar-SA"/>
        </w:rPr>
        <w:t>投标人未完整按要求提供对应人员社保材料的，将作投标无效处理。</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6</w:t>
      </w:r>
      <w:r>
        <w:rPr>
          <w:rFonts w:hint="eastAsia" w:ascii="仿宋_GB2312" w:hAnsi="仿宋" w:eastAsia="仿宋_GB2312" w:cs="Times New Roman"/>
          <w:color w:val="auto"/>
          <w:sz w:val="32"/>
          <w:highlight w:val="none"/>
        </w:rPr>
        <w:t>.评分规则所需资料（同类业绩证明、方案等）</w:t>
      </w:r>
      <w:r>
        <w:rPr>
          <w:rFonts w:hint="eastAsia" w:ascii="仿宋_GB2312" w:hAnsi="仿宋" w:eastAsia="仿宋_GB2312" w:cs="Times New Roman"/>
          <w:color w:val="auto"/>
          <w:sz w:val="32"/>
          <w:highlight w:val="none"/>
          <w:lang w:eastAsia="zh-CN"/>
        </w:rPr>
        <w:t>。</w:t>
      </w:r>
    </w:p>
    <w:p>
      <w:pPr>
        <w:pStyle w:val="8"/>
        <w:spacing w:after="0" w:line="560" w:lineRule="exact"/>
        <w:ind w:left="0" w:leftChars="0" w:right="0" w:rightChars="0" w:firstLine="640"/>
        <w:rPr>
          <w:rFonts w:hint="eastAsia" w:ascii="仿宋_GB2312" w:hAnsi="仿宋" w:eastAsia="仿宋_GB2312" w:cs="Times New Roman"/>
          <w:sz w:val="32"/>
          <w:lang w:val="en-US" w:eastAsia="zh-CN"/>
        </w:rPr>
      </w:pPr>
      <w:r>
        <w:rPr>
          <w:rFonts w:hint="eastAsia" w:ascii="仿宋_GB2312" w:hAnsi="仿宋" w:eastAsia="仿宋_GB2312" w:cs="Times New Roman"/>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ind w:firstLine="640" w:firstLineChars="20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方式提供5</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highlight w:val="none"/>
          <w:lang w:val="en-US" w:eastAsia="zh-CN"/>
        </w:rPr>
        <w:t>并在封面备注</w:t>
      </w:r>
      <w:r>
        <w:rPr>
          <w:rFonts w:hint="eastAsia" w:ascii="仿宋_GB2312" w:hAnsi="仿宋" w:eastAsia="仿宋_GB2312" w:cs="Times New Roman"/>
          <w:sz w:val="32"/>
          <w:lang w:val="en-US" w:eastAsia="zh-CN"/>
        </w:rPr>
        <w:t>“</w:t>
      </w:r>
      <w:r>
        <w:rPr>
          <w:rFonts w:hint="eastAsia" w:ascii="仿宋_GB2312" w:hAnsi="仿宋_GB2312" w:eastAsia="仿宋_GB2312" w:cs="仿宋_GB2312"/>
          <w:sz w:val="32"/>
          <w:szCs w:val="32"/>
          <w:lang w:eastAsia="zh-CN"/>
        </w:rPr>
        <w:t>深圳市</w:t>
      </w:r>
      <w:r>
        <w:rPr>
          <w:rFonts w:hint="eastAsia" w:ascii="仿宋_GB2312" w:hAnsi="仿宋_GB2312" w:eastAsia="仿宋_GB2312" w:cs="仿宋_GB2312"/>
          <w:sz w:val="32"/>
          <w:szCs w:val="32"/>
        </w:rPr>
        <w:t>第4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届市民长跑日</w:t>
      </w:r>
      <w:r>
        <w:rPr>
          <w:rFonts w:hint="eastAsia" w:ascii="仿宋_GB2312" w:hAnsi="仿宋_GB2312" w:eastAsia="仿宋_GB2312" w:cs="仿宋_GB2312"/>
          <w:sz w:val="32"/>
          <w:szCs w:val="32"/>
          <w:lang w:eastAsia="zh-CN"/>
        </w:rPr>
        <w:t>龙华区主会场</w:t>
      </w:r>
      <w:r>
        <w:rPr>
          <w:rFonts w:hint="eastAsia" w:ascii="仿宋_GB2312" w:hAnsi="仿宋_GB2312" w:eastAsia="仿宋_GB2312" w:cs="仿宋_GB2312"/>
          <w:sz w:val="32"/>
          <w:szCs w:val="32"/>
        </w:rPr>
        <w:t>活动暨</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全民健身活动月启动仪式</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8"/>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0"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0"/>
    </w:p>
    <w:p>
      <w:pPr>
        <w:pStyle w:val="19"/>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color w:val="auto"/>
          <w:sz w:val="32"/>
          <w:szCs w:val="22"/>
          <w:highlight w:val="none"/>
          <w:lang w:val="en-US"/>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color w:val="auto"/>
          <w:sz w:val="32"/>
          <w:szCs w:val="22"/>
          <w:highlight w:val="none"/>
        </w:rPr>
        <w:t>0755-23338</w:t>
      </w:r>
      <w:r>
        <w:rPr>
          <w:rFonts w:hint="default" w:ascii="仿宋_GB2312" w:hAnsi="仿宋" w:eastAsia="仿宋_GB2312" w:cs="Times New Roman"/>
          <w:color w:val="auto"/>
          <w:sz w:val="32"/>
          <w:szCs w:val="22"/>
          <w:highlight w:val="none"/>
          <w:lang w:val="en-US"/>
        </w:rPr>
        <w:t>032</w:t>
      </w:r>
    </w:p>
    <w:p>
      <w:pPr>
        <w:rPr>
          <w:rFonts w:hint="eastAsia"/>
          <w:lang w:eastAsia="zh-CN"/>
        </w:rPr>
      </w:pPr>
      <w:r>
        <w:rPr>
          <w:rFonts w:hint="default" w:ascii="仿宋_GB2312" w:hAnsi="仿宋" w:eastAsia="仿宋_GB2312" w:cs="Times New Roman"/>
          <w:color w:val="auto"/>
          <w:sz w:val="32"/>
          <w:szCs w:val="22"/>
          <w:highlight w:val="none"/>
          <w:lang w:val="en-US"/>
        </w:rPr>
        <w:br w:type="page"/>
      </w:r>
      <w:bookmarkStart w:id="1" w:name="_GoBack"/>
      <w:bookmarkEnd w:id="1"/>
    </w:p>
    <w:p>
      <w:pPr>
        <w:pStyle w:val="19"/>
        <w:spacing w:line="560" w:lineRule="exact"/>
        <w:ind w:firstLine="0" w:firstLineChars="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5"/>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r>
        <w:rPr>
          <w:rFonts w:hint="default"/>
          <w:lang w:val="en-US" w:eastAsia="zh-CN"/>
        </w:rPr>
        <w:br w:type="page"/>
      </w:r>
    </w:p>
    <w:p>
      <w:pPr>
        <w:pStyle w:val="19"/>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2"/>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4"/>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6"/>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pPr>
    </w:p>
    <w:sectPr>
      <w:pgSz w:w="11906" w:h="16838"/>
      <w:pgMar w:top="1898" w:right="1474" w:bottom="1625"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99746B"/>
    <w:multiLevelType w:val="singleLevel"/>
    <w:tmpl w:val="4A9974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3ZTMwN2Y3NDYwNDBhNDA3NTFiMzA0ZThhZWM1M2EifQ=="/>
  </w:docVars>
  <w:rsids>
    <w:rsidRoot w:val="FFF64914"/>
    <w:rsid w:val="0096076A"/>
    <w:rsid w:val="014F6F93"/>
    <w:rsid w:val="022D2583"/>
    <w:rsid w:val="02A800EA"/>
    <w:rsid w:val="05655623"/>
    <w:rsid w:val="058A094E"/>
    <w:rsid w:val="05ED6FAB"/>
    <w:rsid w:val="06102631"/>
    <w:rsid w:val="067E2742"/>
    <w:rsid w:val="069C7AF9"/>
    <w:rsid w:val="09213488"/>
    <w:rsid w:val="09BE680A"/>
    <w:rsid w:val="0A254A2D"/>
    <w:rsid w:val="0AE803AB"/>
    <w:rsid w:val="0CC37F97"/>
    <w:rsid w:val="0E7D53B8"/>
    <w:rsid w:val="0F8B8B91"/>
    <w:rsid w:val="0FBA259F"/>
    <w:rsid w:val="0FC71FAC"/>
    <w:rsid w:val="11127D79"/>
    <w:rsid w:val="115832F0"/>
    <w:rsid w:val="11671282"/>
    <w:rsid w:val="119D676C"/>
    <w:rsid w:val="12FB3668"/>
    <w:rsid w:val="13134AB0"/>
    <w:rsid w:val="133E79B2"/>
    <w:rsid w:val="13890BDB"/>
    <w:rsid w:val="15130045"/>
    <w:rsid w:val="1594066F"/>
    <w:rsid w:val="15A021BE"/>
    <w:rsid w:val="1A151493"/>
    <w:rsid w:val="1D45755C"/>
    <w:rsid w:val="1DD75CB6"/>
    <w:rsid w:val="1E6C1934"/>
    <w:rsid w:val="1E8C36C6"/>
    <w:rsid w:val="1EBD4792"/>
    <w:rsid w:val="1EF41A96"/>
    <w:rsid w:val="1F32331D"/>
    <w:rsid w:val="1F564138"/>
    <w:rsid w:val="1F5FD7CF"/>
    <w:rsid w:val="1F9437D9"/>
    <w:rsid w:val="21C81DCC"/>
    <w:rsid w:val="227D1C1D"/>
    <w:rsid w:val="22F53F69"/>
    <w:rsid w:val="238F4CDB"/>
    <w:rsid w:val="23D0088A"/>
    <w:rsid w:val="23F434C9"/>
    <w:rsid w:val="24A40AEE"/>
    <w:rsid w:val="25AA75DE"/>
    <w:rsid w:val="26EB501C"/>
    <w:rsid w:val="27EC0CE3"/>
    <w:rsid w:val="28FE2D82"/>
    <w:rsid w:val="299D02AB"/>
    <w:rsid w:val="2A1E1CDB"/>
    <w:rsid w:val="2A981691"/>
    <w:rsid w:val="2BD663EE"/>
    <w:rsid w:val="2CC95A74"/>
    <w:rsid w:val="2D400D07"/>
    <w:rsid w:val="2E6C2393"/>
    <w:rsid w:val="2EFD23C7"/>
    <w:rsid w:val="2F1D5B2D"/>
    <w:rsid w:val="2FC00985"/>
    <w:rsid w:val="2FCEC403"/>
    <w:rsid w:val="2FD76C4F"/>
    <w:rsid w:val="2FDD3D85"/>
    <w:rsid w:val="2FFF79D9"/>
    <w:rsid w:val="311727C9"/>
    <w:rsid w:val="322B53D5"/>
    <w:rsid w:val="326B6DA8"/>
    <w:rsid w:val="32CC54CC"/>
    <w:rsid w:val="33DA9892"/>
    <w:rsid w:val="344B04D7"/>
    <w:rsid w:val="35CF4199"/>
    <w:rsid w:val="369606A6"/>
    <w:rsid w:val="374874B7"/>
    <w:rsid w:val="384F556D"/>
    <w:rsid w:val="396A0117"/>
    <w:rsid w:val="3BF21527"/>
    <w:rsid w:val="3C5B4FAA"/>
    <w:rsid w:val="3D1461AB"/>
    <w:rsid w:val="3EF23B8C"/>
    <w:rsid w:val="405DBB97"/>
    <w:rsid w:val="41E60E43"/>
    <w:rsid w:val="43C24B92"/>
    <w:rsid w:val="44D2693A"/>
    <w:rsid w:val="45E416CD"/>
    <w:rsid w:val="45E71448"/>
    <w:rsid w:val="47AB3356"/>
    <w:rsid w:val="48CA5339"/>
    <w:rsid w:val="492F224C"/>
    <w:rsid w:val="4AFD1440"/>
    <w:rsid w:val="4CFC1623"/>
    <w:rsid w:val="4D994EAC"/>
    <w:rsid w:val="4F980780"/>
    <w:rsid w:val="507A5CCD"/>
    <w:rsid w:val="509C327C"/>
    <w:rsid w:val="514D49AF"/>
    <w:rsid w:val="51A2567A"/>
    <w:rsid w:val="530E3AB2"/>
    <w:rsid w:val="53A215A6"/>
    <w:rsid w:val="54975631"/>
    <w:rsid w:val="56736574"/>
    <w:rsid w:val="57DFD3E1"/>
    <w:rsid w:val="57E115C8"/>
    <w:rsid w:val="58D85DBD"/>
    <w:rsid w:val="5A317DFD"/>
    <w:rsid w:val="5AC1544A"/>
    <w:rsid w:val="5BFDE88F"/>
    <w:rsid w:val="5BFF0E04"/>
    <w:rsid w:val="5EB31998"/>
    <w:rsid w:val="5EEA7876"/>
    <w:rsid w:val="5F32D00A"/>
    <w:rsid w:val="5F8B76F4"/>
    <w:rsid w:val="5FAF2722"/>
    <w:rsid w:val="63D108EB"/>
    <w:rsid w:val="661F2C0A"/>
    <w:rsid w:val="673E6E35"/>
    <w:rsid w:val="686448E3"/>
    <w:rsid w:val="688C3DBB"/>
    <w:rsid w:val="6AA77C70"/>
    <w:rsid w:val="6B864EA6"/>
    <w:rsid w:val="6BDFA046"/>
    <w:rsid w:val="6D1F25AD"/>
    <w:rsid w:val="6E96BA6A"/>
    <w:rsid w:val="6FEDCB89"/>
    <w:rsid w:val="6FF36FF9"/>
    <w:rsid w:val="701B6B38"/>
    <w:rsid w:val="704A7998"/>
    <w:rsid w:val="710B2583"/>
    <w:rsid w:val="71B67453"/>
    <w:rsid w:val="72316892"/>
    <w:rsid w:val="753231B8"/>
    <w:rsid w:val="76DFDCE5"/>
    <w:rsid w:val="76E7DC48"/>
    <w:rsid w:val="76ED0E45"/>
    <w:rsid w:val="777E7A71"/>
    <w:rsid w:val="77B26536"/>
    <w:rsid w:val="77F539DA"/>
    <w:rsid w:val="77FB6E77"/>
    <w:rsid w:val="793795FC"/>
    <w:rsid w:val="7A2F0100"/>
    <w:rsid w:val="7C4D5483"/>
    <w:rsid w:val="7D39300F"/>
    <w:rsid w:val="7D5E0838"/>
    <w:rsid w:val="7DFF8683"/>
    <w:rsid w:val="7E1BBB15"/>
    <w:rsid w:val="7FBBCC4F"/>
    <w:rsid w:val="7FCBB371"/>
    <w:rsid w:val="7FDEAB7F"/>
    <w:rsid w:val="7FFD264E"/>
    <w:rsid w:val="94DB79A7"/>
    <w:rsid w:val="9FF66C64"/>
    <w:rsid w:val="AEDFF020"/>
    <w:rsid w:val="AFEF8779"/>
    <w:rsid w:val="AFF285C4"/>
    <w:rsid w:val="B4FF433E"/>
    <w:rsid w:val="B5EED450"/>
    <w:rsid w:val="B7EB2269"/>
    <w:rsid w:val="B7F491BE"/>
    <w:rsid w:val="B7FBB2FD"/>
    <w:rsid w:val="BCFA04A1"/>
    <w:rsid w:val="BF7D1E98"/>
    <w:rsid w:val="CBE562F8"/>
    <w:rsid w:val="D1CFC744"/>
    <w:rsid w:val="D7BD82A1"/>
    <w:rsid w:val="DA0FAF55"/>
    <w:rsid w:val="E7AF56FE"/>
    <w:rsid w:val="E9CFC697"/>
    <w:rsid w:val="EA15AD81"/>
    <w:rsid w:val="EFD51DAF"/>
    <w:rsid w:val="F375C07F"/>
    <w:rsid w:val="F9DF90A7"/>
    <w:rsid w:val="FA3A912B"/>
    <w:rsid w:val="FBEEC994"/>
    <w:rsid w:val="FBFA8467"/>
    <w:rsid w:val="FD47C543"/>
    <w:rsid w:val="FDBDBB88"/>
    <w:rsid w:val="FEFA2E63"/>
    <w:rsid w:val="FFF64914"/>
    <w:rsid w:val="FFFD0B54"/>
    <w:rsid w:val="FFFF58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Lines="0" w:beforeAutospacing="0" w:afterLines="0" w:afterAutospacing="0" w:line="560" w:lineRule="exact"/>
      <w:ind w:firstLine="643"/>
      <w:outlineLvl w:val="1"/>
    </w:pPr>
    <w:rPr>
      <w:rFonts w:ascii="Arial" w:hAnsi="Arial" w:eastAsia="黑体"/>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eastAsia="宋体"/>
      <w:sz w:val="32"/>
      <w:szCs w:val="20"/>
    </w:rPr>
  </w:style>
  <w:style w:type="paragraph" w:styleId="6">
    <w:name w:val="Normal Indent"/>
    <w:basedOn w:val="1"/>
    <w:qFormat/>
    <w:uiPriority w:val="0"/>
    <w:pPr>
      <w:ind w:firstLine="420"/>
    </w:pPr>
    <w:rPr>
      <w:szCs w:val="20"/>
    </w:rPr>
  </w:style>
  <w:style w:type="paragraph" w:styleId="7">
    <w:name w:val="Body Text"/>
    <w:basedOn w:val="1"/>
    <w:next w:val="1"/>
    <w:qFormat/>
    <w:uiPriority w:val="99"/>
    <w:pPr>
      <w:spacing w:line="360" w:lineRule="auto"/>
    </w:pPr>
    <w:rPr>
      <w:b/>
      <w:sz w:val="24"/>
      <w:szCs w:val="24"/>
    </w:rPr>
  </w:style>
  <w:style w:type="paragraph" w:styleId="8">
    <w:name w:val="Block Text"/>
    <w:basedOn w:val="1"/>
    <w:qFormat/>
    <w:uiPriority w:val="0"/>
    <w:pPr>
      <w:tabs>
        <w:tab w:val="left" w:pos="426"/>
      </w:tabs>
      <w:spacing w:after="120"/>
      <w:ind w:left="1440" w:leftChars="700" w:right="1440" w:rightChars="700"/>
    </w:pPr>
  </w:style>
  <w:style w:type="paragraph" w:styleId="9">
    <w:name w:val="toc 1"/>
    <w:basedOn w:val="1"/>
    <w:next w:val="1"/>
    <w:qFormat/>
    <w:uiPriority w:val="39"/>
    <w:rPr>
      <w:rFonts w:ascii="Calibri" w:hAnsi="Calibri" w:eastAsia="宋体" w:cs="Times New Roman"/>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99"/>
    <w:rPr>
      <w:sz w:val="24"/>
    </w:rPr>
  </w:style>
  <w:style w:type="paragraph" w:styleId="12">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USE 1"/>
    <w:basedOn w:val="1"/>
    <w:qFormat/>
    <w:uiPriority w:val="0"/>
    <w:pPr>
      <w:spacing w:line="200" w:lineRule="atLeast"/>
      <w:jc w:val="left"/>
    </w:pPr>
    <w:rPr>
      <w:rFonts w:ascii="宋体" w:hAnsi="宋体"/>
      <w:b/>
      <w:sz w:val="24"/>
      <w:szCs w:val="28"/>
    </w:rPr>
  </w:style>
  <w:style w:type="paragraph" w:styleId="17">
    <w:name w:val="List Paragraph"/>
    <w:basedOn w:val="18"/>
    <w:qFormat/>
    <w:uiPriority w:val="34"/>
    <w:pPr>
      <w:ind w:firstLine="420" w:firstLineChars="200"/>
    </w:pPr>
  </w:style>
  <w:style w:type="paragraph" w:customStyle="1" w:styleId="18">
    <w:name w:val="星耀正文"/>
    <w:basedOn w:val="1"/>
    <w:qFormat/>
    <w:uiPriority w:val="3"/>
    <w:pPr>
      <w:ind w:firstLine="422" w:firstLineChars="200"/>
    </w:pPr>
    <w:rPr>
      <w:rFonts w:ascii="宋体" w:hAnsi="宋体" w:eastAsia="仿宋_GB2312"/>
      <w:bCs/>
    </w:rPr>
  </w:style>
  <w:style w:type="paragraph" w:customStyle="1" w:styleId="19">
    <w:name w:val="l正文"/>
    <w:basedOn w:val="1"/>
    <w:qFormat/>
    <w:uiPriority w:val="0"/>
    <w:pPr>
      <w:spacing w:line="300" w:lineRule="auto"/>
      <w:ind w:firstLine="200" w:firstLineChars="200"/>
      <w:jc w:val="left"/>
    </w:pPr>
    <w:rPr>
      <w:rFonts w:ascii="楷体_GB2312" w:hAnsi="Times" w:eastAsia="楷体_GB2312" w:cs="等线"/>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643</Words>
  <Characters>670</Characters>
  <Lines>0</Lines>
  <Paragraphs>0</Paragraphs>
  <TotalTime>2</TotalTime>
  <ScaleCrop>false</ScaleCrop>
  <LinksUpToDate>false</LinksUpToDate>
  <CharactersWithSpaces>673</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2021-12-31T11:00:00Z</dcterms:created>
  <dc:creator>lihui123</dc:creator>
  <cp:lastModifiedBy>lxy</cp:lastModifiedBy>
  <cp:lastPrinted>2025-06-06T05:00:00Z</cp:lastPrinted>
  <dcterms:modified xsi:type="dcterms:W3CDTF">2026-09-09T17:02:21Z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009EBED3617044ED800C274F4CE512DD_13</vt:lpwstr>
  </property>
  <property fmtid="{D5CDD505-2E9C-101B-9397-08002B2CF9AE}" pid="4" name="KSOTemplateDocerSaveRecord">
    <vt:lpwstr>eyJoZGlkIjoiNWI2OGY4YjZjNzhiN2U1MzE2MmFhZjc0YTFmN2NjY2MiLCJ1c2VySWQiOiI2MTc5ODAyODIifQ==</vt:lpwstr>
  </property>
</Properties>
</file>