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kern w:val="0"/>
          <w:sz w:val="44"/>
          <w:szCs w:val="44"/>
          <w:highlight w:val="none"/>
          <w:lang w:val="en" w:eastAsia="zh-CN" w:bidi="ar-SA"/>
        </w:rPr>
      </w:pPr>
      <w:r>
        <w:rPr>
          <w:rFonts w:hint="eastAsia" w:ascii="方正小标宋简体" w:hAnsi="方正小标宋简体" w:eastAsia="方正小标宋简体" w:cs="方正小标宋简体"/>
          <w:b w:val="0"/>
          <w:bCs w:val="0"/>
          <w:color w:val="auto"/>
          <w:kern w:val="0"/>
          <w:sz w:val="44"/>
          <w:szCs w:val="44"/>
          <w:highlight w:val="none"/>
          <w:lang w:val="en" w:eastAsia="zh-CN" w:bidi="ar-SA"/>
        </w:rPr>
        <w:t>“Explore Longhua”（探索龙华）</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color w:val="auto"/>
          <w:kern w:val="0"/>
          <w:sz w:val="44"/>
          <w:szCs w:val="44"/>
          <w:highlight w:val="none"/>
          <w:lang w:val="en" w:eastAsia="zh-CN" w:bidi="ar-SA"/>
        </w:rPr>
        <w:t>文旅国际传播活动</w:t>
      </w:r>
      <w:r>
        <w:rPr>
          <w:rFonts w:hint="eastAsia" w:ascii="方正小标宋简体" w:hAnsi="方正小标宋简体" w:eastAsia="方正小标宋简体" w:cs="方正小标宋简体"/>
          <w:sz w:val="44"/>
          <w:szCs w:val="44"/>
        </w:rPr>
        <w:t>项目需求书</w:t>
      </w:r>
    </w:p>
    <w:p>
      <w:pPr>
        <w:pStyle w:val="2"/>
      </w:pPr>
    </w:p>
    <w:p>
      <w:pPr>
        <w:numPr>
          <w:ilvl w:val="0"/>
          <w:numId w:val="1"/>
        </w:num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项目目标</w:t>
      </w:r>
    </w:p>
    <w:p>
      <w:pPr>
        <w:keepNext w:val="0"/>
        <w:keepLines w:val="0"/>
        <w:pageBreakBefore w:val="0"/>
        <w:widowControl w:val="0"/>
        <w:tabs>
          <w:tab w:val="left" w:pos="1820"/>
        </w:tabs>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 w:eastAsia="仿宋_GB2312" w:cs="仿宋"/>
          <w:b w:val="0"/>
          <w:bCs w:val="0"/>
          <w:kern w:val="0"/>
          <w:sz w:val="32"/>
          <w:szCs w:val="32"/>
          <w:highlight w:val="none"/>
          <w:shd w:val="clear" w:color="auto" w:fill="FFFFFF"/>
          <w:lang w:val="en-US" w:eastAsia="zh-CN" w:bidi="ar-SA"/>
        </w:rPr>
      </w:pPr>
      <w:r>
        <w:rPr>
          <w:rFonts w:hint="eastAsia" w:ascii="仿宋_GB2312" w:hAnsi="仿宋" w:eastAsia="仿宋_GB2312" w:cs="仿宋"/>
          <w:b w:val="0"/>
          <w:bCs w:val="0"/>
          <w:kern w:val="0"/>
          <w:sz w:val="32"/>
          <w:szCs w:val="32"/>
          <w:highlight w:val="none"/>
          <w:shd w:val="clear" w:color="auto" w:fill="FFFFFF"/>
          <w:lang w:val="en-US" w:eastAsia="zh-CN" w:bidi="ar-SA"/>
        </w:rPr>
        <w:t>为提升龙华国际知名度和影响力，现开展“Explore Longhua”（探索龙华）文旅国际传播活动。活动拟邀请垂直领域双语达人/博主担任“龙华文旅国际传播官”，开展龙华文体旅深度体验，围绕龙华区文化艺术、城市创新、非遗传承等特色资源，以国际化视角感受龙华城市魅力，策划3期龙华文体旅深度体验内容，由达人参与体验并拍摄制作3期双语视频，发布于达人海内外社交平台，以达人真实体验和国际化视角向全球受众推介龙华。此外，达人还将出席1次龙华区文体旅活动现场，参与活动互动体验，借助其海内外社交平台影响力为活动引流扩圈，扩大活动传播声量，并配合做好媒体采访报道。</w:t>
      </w:r>
    </w:p>
    <w:p>
      <w:pPr>
        <w:keepNext w:val="0"/>
        <w:keepLines w:val="0"/>
        <w:pageBreakBefore w:val="0"/>
        <w:widowControl w:val="0"/>
        <w:tabs>
          <w:tab w:val="left" w:pos="1820"/>
        </w:tabs>
        <w:kinsoku/>
        <w:wordWrap/>
        <w:overflowPunct/>
        <w:topLinePunct w:val="0"/>
        <w:autoSpaceDE/>
        <w:autoSpaceDN/>
        <w:bidi w:val="0"/>
        <w:adjustRightInd/>
        <w:snapToGrid w:val="0"/>
        <w:spacing w:line="560" w:lineRule="exact"/>
        <w:ind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keepNext w:val="0"/>
        <w:keepLines w:val="0"/>
        <w:pageBreakBefore w:val="0"/>
        <w:widowControl w:val="0"/>
        <w:tabs>
          <w:tab w:val="left" w:pos="1820"/>
        </w:tabs>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 w:eastAsia="仿宋_GB2312" w:cs="仿宋"/>
          <w:kern w:val="0"/>
          <w:sz w:val="32"/>
          <w:szCs w:val="32"/>
          <w:highlight w:val="none"/>
          <w:shd w:val="clear" w:color="auto" w:fill="FFFFFF"/>
        </w:rPr>
      </w:pPr>
      <w:r>
        <w:rPr>
          <w:rFonts w:hint="eastAsia" w:ascii="仿宋_GB2312" w:hAnsi="仿宋" w:eastAsia="仿宋_GB2312" w:cs="仿宋"/>
          <w:kern w:val="0"/>
          <w:sz w:val="32"/>
          <w:szCs w:val="32"/>
          <w:highlight w:val="none"/>
          <w:shd w:val="clear" w:color="auto" w:fill="FFFFFF"/>
          <w:lang w:val="en-US" w:eastAsia="zh-CN"/>
        </w:rPr>
        <w:t>2026</w:t>
      </w:r>
      <w:r>
        <w:rPr>
          <w:rFonts w:hint="eastAsia" w:ascii="仿宋_GB2312" w:hAnsi="仿宋" w:eastAsia="仿宋_GB2312" w:cs="仿宋"/>
          <w:kern w:val="0"/>
          <w:sz w:val="32"/>
          <w:szCs w:val="32"/>
          <w:highlight w:val="none"/>
          <w:shd w:val="clear" w:color="auto" w:fill="FFFFFF"/>
        </w:rPr>
        <w:t>年</w:t>
      </w:r>
      <w:r>
        <w:rPr>
          <w:rFonts w:hint="eastAsia" w:ascii="仿宋_GB2312" w:hAnsi="仿宋" w:eastAsia="仿宋_GB2312" w:cs="仿宋"/>
          <w:kern w:val="0"/>
          <w:sz w:val="32"/>
          <w:szCs w:val="32"/>
          <w:highlight w:val="none"/>
          <w:shd w:val="clear" w:color="auto" w:fill="FFFFFF"/>
          <w:lang w:val="en-US" w:eastAsia="zh-CN"/>
        </w:rPr>
        <w:t>9</w:t>
      </w:r>
      <w:r>
        <w:rPr>
          <w:rFonts w:hint="eastAsia" w:ascii="仿宋_GB2312" w:hAnsi="仿宋" w:eastAsia="仿宋_GB2312" w:cs="仿宋"/>
          <w:kern w:val="0"/>
          <w:sz w:val="32"/>
          <w:szCs w:val="32"/>
          <w:highlight w:val="none"/>
          <w:shd w:val="clear" w:color="auto" w:fill="FFFFFF"/>
        </w:rPr>
        <w:t>月</w:t>
      </w:r>
      <w:r>
        <w:rPr>
          <w:rFonts w:hint="eastAsia" w:ascii="仿宋_GB2312" w:hAnsi="仿宋" w:eastAsia="仿宋_GB2312" w:cs="仿宋"/>
          <w:kern w:val="0"/>
          <w:sz w:val="32"/>
          <w:szCs w:val="32"/>
          <w:highlight w:val="none"/>
          <w:shd w:val="clear" w:color="auto" w:fill="FFFFFF"/>
          <w:lang w:eastAsia="zh-CN"/>
        </w:rPr>
        <w:t>—</w:t>
      </w:r>
      <w:r>
        <w:rPr>
          <w:rFonts w:hint="eastAsia" w:ascii="仿宋_GB2312" w:hAnsi="仿宋" w:eastAsia="仿宋_GB2312" w:cs="仿宋"/>
          <w:kern w:val="0"/>
          <w:sz w:val="32"/>
          <w:szCs w:val="32"/>
          <w:highlight w:val="none"/>
          <w:shd w:val="clear" w:color="auto" w:fill="FFFFFF"/>
          <w:lang w:val="en-US" w:eastAsia="zh-CN"/>
        </w:rPr>
        <w:t>2026年12</w:t>
      </w:r>
      <w:r>
        <w:rPr>
          <w:rFonts w:hint="eastAsia" w:ascii="仿宋_GB2312" w:hAnsi="仿宋" w:eastAsia="仿宋_GB2312" w:cs="仿宋"/>
          <w:kern w:val="0"/>
          <w:sz w:val="32"/>
          <w:szCs w:val="32"/>
          <w:highlight w:val="none"/>
          <w:shd w:val="clear" w:color="auto" w:fill="FFFFFF"/>
        </w:rPr>
        <w:t>月</w:t>
      </w:r>
    </w:p>
    <w:p>
      <w:pPr>
        <w:keepNext w:val="0"/>
        <w:keepLines w:val="0"/>
        <w:pageBreakBefore w:val="0"/>
        <w:widowControl w:val="0"/>
        <w:tabs>
          <w:tab w:val="left" w:pos="1820"/>
        </w:tabs>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 w:eastAsia="仿宋_GB2312" w:cs="仿宋"/>
          <w:kern w:val="0"/>
          <w:sz w:val="32"/>
          <w:szCs w:val="32"/>
          <w:highlight w:val="none"/>
          <w:shd w:val="clear" w:color="auto" w:fill="FFFFFF"/>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rPr>
          <w:rFonts w:hint="eastAsia" w:ascii="楷体_GB2312" w:hAnsi="仿宋" w:eastAsia="楷体_GB2312" w:cs="宋体"/>
          <w:bCs/>
          <w:color w:val="000000"/>
          <w:kern w:val="0"/>
          <w:sz w:val="32"/>
          <w:szCs w:val="32"/>
          <w:highlight w:val="none"/>
        </w:rPr>
      </w:pPr>
      <w:r>
        <w:rPr>
          <w:rFonts w:hint="eastAsia" w:ascii="楷体_GB2312" w:hAnsi="仿宋" w:eastAsia="楷体_GB2312" w:cs="宋体"/>
          <w:bCs/>
          <w:color w:val="000000"/>
          <w:kern w:val="0"/>
          <w:sz w:val="32"/>
          <w:szCs w:val="32"/>
          <w:highlight w:val="none"/>
        </w:rPr>
        <w:t>（一）项目内容</w:t>
      </w:r>
    </w:p>
    <w:p>
      <w:pPr>
        <w:tabs>
          <w:tab w:val="left" w:pos="1820"/>
        </w:tabs>
        <w:snapToGrid w:val="0"/>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1.达人国际传播合作：邀请垂直领域双语达人/博主担任“龙华文旅国际传播官”，围绕龙华区文化、艺术、城市创新、非遗传承等特色资源，策划3期龙华文体旅深度体验内容，以达人真实体验和国际化视角向全球受众推介龙华。此外，达人还将出席1次龙华区文体旅活动现场，参与活动互动体验，借助其海内外社交平台影响力为活动引流扩圈，扩大活动传播声量，并配合做好媒体采访报道。</w:t>
      </w:r>
    </w:p>
    <w:p>
      <w:pPr>
        <w:tabs>
          <w:tab w:val="left" w:pos="1820"/>
        </w:tabs>
        <w:snapToGrid w:val="0"/>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2.活动内容策划与影像制作：围绕3期深度体验活动主题及龙华区文化、艺术、城市创新等特色资源，策划国际化传播选题方向与叙事框架，制定活动执行方案；对活动期间拍摄的素材进行专业后期制作，包括视频剪辑、画面调色、音效配乐、动态包装及特效制作等，确保成片达到国际传播水准。</w:t>
      </w:r>
    </w:p>
    <w:p>
      <w:pPr>
        <w:tabs>
          <w:tab w:val="left" w:pos="1820"/>
        </w:tabs>
        <w:snapToGrid w:val="0"/>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3.活动内容全平台发布与传播：将活动产出内容同步发布于国内外主流社交媒体平台，每期发布不少于5个平台，配合定向推流、话题运营等传播工作，持续扩大活动曝光量和国际影响力。</w:t>
      </w:r>
    </w:p>
    <w:p>
      <w:pPr>
        <w:tabs>
          <w:tab w:val="left" w:pos="1820"/>
        </w:tabs>
        <w:snapToGrid w:val="0"/>
        <w:spacing w:line="560" w:lineRule="exact"/>
        <w:ind w:firstLine="640" w:firstLineChars="200"/>
        <w:jc w:val="left"/>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spacing w:line="560" w:lineRule="exact"/>
        <w:ind w:firstLine="640" w:firstLineChars="200"/>
        <w:jc w:val="left"/>
        <w:rPr>
          <w:rFonts w:hint="eastAsia" w:ascii="黑体" w:hAnsi="黑体" w:eastAsia="黑体" w:cs="黑体"/>
          <w:bCs/>
          <w:sz w:val="32"/>
          <w:szCs w:val="32"/>
        </w:rPr>
      </w:pPr>
      <w:r>
        <w:rPr>
          <w:rFonts w:hint="eastAsia" w:ascii="仿宋_GB2312" w:hAnsi="仿宋_GB2312" w:eastAsia="仿宋_GB2312" w:cs="仿宋_GB2312"/>
          <w:sz w:val="32"/>
          <w:szCs w:val="36"/>
          <w:highlight w:val="none"/>
          <w:lang w:val="en-US" w:eastAsia="zh-CN"/>
        </w:rPr>
        <w:t>22万</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3"/>
        <w:tblW w:w="80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5"/>
        <w:gridCol w:w="2413"/>
        <w:gridCol w:w="970"/>
        <w:gridCol w:w="41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序号</w:t>
            </w:r>
          </w:p>
        </w:tc>
        <w:tc>
          <w:tcPr>
            <w:tcW w:w="2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项目内容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数量</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明细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9"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达人国际传播合作</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邀请垂直领域双语达人/博主担任“龙华文旅国际传播官”，围绕龙华区文化、艺术、城市创新、非遗传承等特色资源，策划3期龙华文体旅深度体验内容，以达人真实体验和国际化视角向全球受众推介龙华。此外，达人还将出席1次龙华区文体旅活动现场，参与活动互动体验，借助其海内外社交平台影响力为活动引流扩圈，扩大活动传播声量，并配合做好媒体采访报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活动内容策划与影像制作</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包括视频剪辑、画面调色、音效配乐、动态包装及特效制作等。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7"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活动内容全平台发布与传播</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将活动产出内容同步发布于国内外主流社交媒体平台，每期发布不少于5个平台，配合定向推流、话题运营等传播工作，持续扩大活动曝光量和国际影响力。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7" w:hRule="atLeast"/>
        </w:trPr>
        <w:tc>
          <w:tcPr>
            <w:tcW w:w="807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投标价格（万元）：______ （以万元为单位，最多保留两位小数）</w:t>
            </w:r>
          </w:p>
        </w:tc>
      </w:tr>
    </w:tbl>
    <w:p>
      <w:pPr>
        <w:spacing w:line="560" w:lineRule="exact"/>
        <w:ind w:firstLine="640" w:firstLineChars="200"/>
        <w:jc w:val="left"/>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16"/>
        <w:spacing w:line="560" w:lineRule="exact"/>
        <w:ind w:firstLine="640"/>
        <w:jc w:val="left"/>
        <w:rPr>
          <w:rFonts w:ascii="仿宋_GB2312" w:hAnsi="仿宋" w:eastAsia="仿宋_GB2312" w:cs="仿宋"/>
          <w:sz w:val="32"/>
          <w:szCs w:val="32"/>
          <w:highlight w:val="yellow"/>
        </w:rPr>
      </w:pPr>
      <w:r>
        <w:rPr>
          <w:rFonts w:hint="eastAsia" w:ascii="仿宋_GB2312" w:hAnsi="仿宋" w:eastAsia="仿宋_GB2312" w:cs="仿宋"/>
          <w:sz w:val="32"/>
          <w:szCs w:val="32"/>
        </w:rPr>
        <w:t>（一）在中国境内注册的独立法人或其他组织（提供营业执照、事业法人证书、社会团体法人登记证书等扫描件）</w:t>
      </w:r>
      <w:r>
        <w:rPr>
          <w:rFonts w:hint="eastAsia" w:ascii="仿宋_GB2312" w:hAnsi="仿宋" w:cs="仿宋"/>
          <w:sz w:val="32"/>
          <w:szCs w:val="32"/>
          <w:lang w:eastAsia="zh-CN"/>
        </w:rPr>
        <w:t>，</w:t>
      </w:r>
      <w:r>
        <w:rPr>
          <w:rFonts w:hint="eastAsia" w:ascii="仿宋_GB2312" w:hAnsi="仿宋" w:eastAsia="仿宋_GB2312" w:cs="仿宋"/>
          <w:color w:val="auto"/>
          <w:sz w:val="32"/>
          <w:szCs w:val="32"/>
          <w:highlight w:val="none"/>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6"/>
        <w:spacing w:line="560" w:lineRule="exact"/>
        <w:ind w:firstLine="640"/>
        <w:jc w:val="left"/>
        <w:rPr>
          <w:rFonts w:ascii="仿宋_GB2312" w:hAnsi="仿宋" w:eastAsia="仿宋_GB2312" w:cs="仿宋"/>
          <w:sz w:val="32"/>
          <w:szCs w:val="32"/>
        </w:rPr>
      </w:pPr>
      <w:r>
        <w:rPr>
          <w:rFonts w:hint="eastAsia" w:ascii="仿宋_GB2312" w:hAnsi="仿宋" w:eastAsia="仿宋_GB2312" w:cs="仿宋"/>
          <w:sz w:val="32"/>
          <w:szCs w:val="32"/>
        </w:rPr>
        <w:t>（二）参与本项目投标近三年内（供应商成立不足三年的可从成立之日起算），在经营活动中没有重大违法记录</w:t>
      </w:r>
      <w:r>
        <w:rPr>
          <w:rFonts w:hint="eastAsia" w:ascii="仿宋_GB2312" w:hAnsi="仿宋" w:cs="仿宋"/>
          <w:sz w:val="32"/>
          <w:szCs w:val="32"/>
          <w:lang w:eastAsia="zh-CN"/>
        </w:rPr>
        <w:t>以及</w:t>
      </w:r>
      <w:r>
        <w:rPr>
          <w:rFonts w:hint="eastAsia" w:ascii="仿宋_GB2312" w:hAnsi="仿宋" w:eastAsia="仿宋_GB2312" w:cs="仿宋"/>
          <w:sz w:val="32"/>
          <w:szCs w:val="32"/>
        </w:rPr>
        <w:t>不存在被有关部门禁止参与政府采购活动且在有效期内的情况</w:t>
      </w:r>
      <w:r>
        <w:rPr>
          <w:rFonts w:hint="eastAsia" w:ascii="仿宋_GB2312" w:hAnsi="仿宋" w:cs="仿宋"/>
          <w:sz w:val="32"/>
          <w:szCs w:val="32"/>
          <w:lang w:eastAsia="zh-CN"/>
        </w:rPr>
        <w:t>；</w:t>
      </w:r>
    </w:p>
    <w:p>
      <w:pPr>
        <w:pStyle w:val="16"/>
        <w:spacing w:line="560" w:lineRule="exact"/>
        <w:ind w:firstLine="64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cs="仿宋"/>
          <w:sz w:val="32"/>
          <w:szCs w:val="32"/>
          <w:highlight w:val="none"/>
          <w:lang w:eastAsia="zh-CN"/>
        </w:rPr>
        <w:t>。</w:t>
      </w:r>
      <w:bookmarkStart w:id="2" w:name="_GoBack"/>
      <w:bookmarkEnd w:id="2"/>
    </w:p>
    <w:p>
      <w:pPr>
        <w:spacing w:line="560" w:lineRule="exact"/>
        <w:ind w:firstLine="640" w:firstLineChars="200"/>
        <w:jc w:val="left"/>
        <w:rPr>
          <w:rFonts w:ascii="黑体" w:hAnsi="黑体" w:eastAsia="黑体" w:cs="黑体"/>
          <w:sz w:val="32"/>
          <w:szCs w:val="32"/>
          <w:highlight w:val="none"/>
        </w:rPr>
      </w:pPr>
      <w:r>
        <w:rPr>
          <w:rFonts w:hint="eastAsia" w:ascii="黑体" w:hAnsi="黑体" w:eastAsia="黑体" w:cs="黑体"/>
          <w:sz w:val="32"/>
          <w:szCs w:val="32"/>
        </w:rPr>
        <w:t>六</w:t>
      </w:r>
      <w:r>
        <w:rPr>
          <w:rFonts w:hint="eastAsia" w:ascii="黑体" w:hAnsi="黑体" w:eastAsia="黑体" w:cs="黑体"/>
          <w:sz w:val="32"/>
          <w:szCs w:val="32"/>
          <w:highlight w:val="none"/>
        </w:rPr>
        <w:t>、选定供应商方法</w:t>
      </w:r>
    </w:p>
    <w:p>
      <w:pPr>
        <w:spacing w:line="560" w:lineRule="exact"/>
        <w:ind w:firstLine="640" w:firstLineChars="200"/>
        <w:jc w:val="left"/>
        <w:rPr>
          <w:rFonts w:hint="eastAsia" w:ascii="仿宋_GB2312" w:hAnsi="仿宋" w:eastAsia="仿宋_GB2312"/>
          <w:sz w:val="32"/>
          <w:highlight w:val="none"/>
          <w:lang w:val="en-US" w:eastAsia="zh-CN"/>
        </w:rPr>
      </w:pPr>
      <w:r>
        <w:rPr>
          <w:rFonts w:hint="eastAsia" w:ascii="仿宋_GB2312" w:hAnsi="仿宋" w:eastAsia="仿宋_GB2312"/>
          <w:sz w:val="32"/>
          <w:highlight w:val="none"/>
        </w:rPr>
        <w:t>综合评分法</w:t>
      </w:r>
    </w:p>
    <w:p>
      <w:pPr>
        <w:keepNext w:val="0"/>
        <w:keepLines w:val="0"/>
        <w:pageBreakBefore w:val="0"/>
        <w:widowControl w:val="0"/>
        <w:snapToGrid/>
        <w:spacing w:line="560" w:lineRule="exact"/>
        <w:ind w:firstLine="640" w:firstLineChars="200"/>
        <w:jc w:val="left"/>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七、评分要求</w:t>
      </w:r>
      <w:r>
        <w:rPr>
          <w:rFonts w:hint="eastAsia" w:ascii="黑体" w:hAnsi="黑体" w:eastAsia="黑体" w:cs="黑体"/>
          <w:sz w:val="32"/>
          <w:szCs w:val="32"/>
          <w:highlight w:val="none"/>
          <w:lang w:eastAsia="zh-CN"/>
        </w:rPr>
        <w:t>（采取综合评分法适用）</w:t>
      </w:r>
    </w:p>
    <w:p>
      <w:pPr>
        <w:pStyle w:val="18"/>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jc w:val="left"/>
        <w:rPr>
          <w:rFonts w:ascii="楷体_GB2312" w:hAnsi="楷体_GB2312" w:eastAsia="楷体_GB2312" w:cs="楷体_GB2312"/>
          <w:bCs/>
          <w:color w:val="000000"/>
          <w:sz w:val="32"/>
          <w:szCs w:val="32"/>
        </w:rPr>
      </w:pPr>
      <w:r>
        <w:rPr>
          <w:rFonts w:hint="eastAsia" w:ascii="仿宋_GB2312" w:eastAsia="仿宋_GB2312"/>
          <w:color w:val="000000"/>
          <w:sz w:val="32"/>
          <w:szCs w:val="32"/>
        </w:rPr>
        <w:t>采取综合评分标准，平均分最高的投标人为本项目中标人。</w:t>
      </w:r>
    </w:p>
    <w:p>
      <w:pPr>
        <w:pStyle w:val="18"/>
        <w:spacing w:line="560" w:lineRule="exact"/>
        <w:ind w:firstLine="640" w:firstLineChars="200"/>
        <w:rPr>
          <w:rFonts w:hint="eastAsia" w:ascii="楷体_GB2312" w:hAnsi="楷体_GB2312" w:eastAsia="楷体_GB2312" w:cs="楷体_GB2312"/>
          <w:b w:val="0"/>
          <w:bCs/>
          <w:color w:val="000000"/>
          <w:sz w:val="32"/>
          <w:szCs w:val="32"/>
          <w:lang w:eastAsia="zh-CN"/>
        </w:rPr>
      </w:pPr>
      <w:r>
        <w:rPr>
          <w:rFonts w:hint="eastAsia" w:ascii="楷体_GB2312" w:hAnsi="楷体_GB2312" w:eastAsia="楷体_GB2312" w:cs="楷体_GB2312"/>
          <w:b w:val="0"/>
          <w:bCs/>
          <w:color w:val="000000"/>
          <w:sz w:val="32"/>
          <w:szCs w:val="32"/>
        </w:rPr>
        <w:t>（二）评分权重</w:t>
      </w:r>
    </w:p>
    <w:tbl>
      <w:tblPr>
        <w:tblStyle w:val="13"/>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left"/>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报价</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left"/>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szCs w:val="24"/>
              </w:rPr>
              <w:t>商务</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left"/>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技术</w:t>
            </w:r>
            <w:r>
              <w:rPr>
                <w:rFonts w:hint="eastAsia" w:ascii="仿宋_GB2312" w:hAnsi="仿宋_GB2312" w:eastAsia="仿宋_GB2312" w:cs="仿宋_GB2312"/>
                <w:b w:val="0"/>
                <w:bCs/>
                <w:szCs w:val="24"/>
                <w:lang w:eastAsia="zh-CN"/>
              </w:rPr>
              <w:t>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b w:val="0"/>
                <w:bCs/>
                <w:szCs w:val="24"/>
                <w:lang w:val="en-US" w:eastAsia="zh-CN"/>
              </w:rPr>
              <w:t>20</w:t>
            </w:r>
            <w:r>
              <w:rPr>
                <w:rFonts w:hint="eastAsia" w:ascii="仿宋_GB2312" w:hAnsi="仿宋_GB2312" w:eastAsia="仿宋_GB2312" w:cs="仿宋_GB2312"/>
                <w:b w:val="0"/>
                <w:bCs/>
                <w:szCs w:val="24"/>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left"/>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szCs w:val="24"/>
                <w:lang w:val="en-US" w:eastAsia="zh-CN"/>
              </w:rPr>
              <w:t>25</w:t>
            </w:r>
            <w:r>
              <w:rPr>
                <w:rFonts w:hint="eastAsia" w:ascii="仿宋_GB2312" w:hAnsi="仿宋_GB2312" w:eastAsia="仿宋_GB2312" w:cs="仿宋_GB2312"/>
                <w:b w:val="0"/>
                <w:bCs/>
                <w:szCs w:val="24"/>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left"/>
              <w:rPr>
                <w:rFonts w:ascii="仿宋_GB2312" w:hAnsi="仿宋_GB2312" w:eastAsia="仿宋_GB2312" w:cs="仿宋_GB2312"/>
                <w:b w:val="0"/>
                <w:bCs/>
                <w:szCs w:val="24"/>
              </w:rPr>
            </w:pPr>
            <w:r>
              <w:rPr>
                <w:rFonts w:hint="default" w:ascii="仿宋_GB2312" w:hAnsi="仿宋_GB2312" w:eastAsia="仿宋_GB2312" w:cs="仿宋_GB2312"/>
                <w:b w:val="0"/>
                <w:bCs/>
                <w:szCs w:val="24"/>
                <w:lang w:val="en" w:eastAsia="zh-CN"/>
              </w:rPr>
              <w:t>5</w:t>
            </w:r>
            <w:r>
              <w:rPr>
                <w:rFonts w:hint="eastAsia" w:ascii="仿宋_GB2312" w:hAnsi="仿宋_GB2312" w:eastAsia="仿宋_GB2312" w:cs="仿宋_GB2312"/>
                <w:b w:val="0"/>
                <w:bCs/>
                <w:szCs w:val="24"/>
                <w:lang w:val="en-US" w:eastAsia="zh-CN"/>
              </w:rPr>
              <w:t>5</w:t>
            </w:r>
            <w:r>
              <w:rPr>
                <w:rFonts w:hint="eastAsia" w:ascii="仿宋_GB2312" w:hAnsi="仿宋_GB2312" w:eastAsia="仿宋_GB2312" w:cs="仿宋_GB2312"/>
                <w:b w:val="0"/>
                <w:bCs/>
                <w:szCs w:val="24"/>
              </w:rPr>
              <w:t>分</w:t>
            </w:r>
          </w:p>
        </w:tc>
      </w:tr>
    </w:tbl>
    <w:p>
      <w:pPr>
        <w:pStyle w:val="18"/>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4"/>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170"/>
        <w:gridCol w:w="6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报价</w:t>
            </w:r>
          </w:p>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w:t>
            </w:r>
            <w:r>
              <w:rPr>
                <w:rFonts w:hint="default" w:ascii="仿宋_GB2312" w:hAnsi="仿宋_GB2312" w:eastAsia="仿宋_GB2312" w:cs="仿宋_GB2312"/>
                <w:sz w:val="24"/>
                <w:szCs w:val="24"/>
                <w:vertAlign w:val="baseline"/>
                <w:lang w:val="en-US" w:eastAsia="zh-CN"/>
              </w:rPr>
              <w:t>2</w:t>
            </w:r>
            <w:r>
              <w:rPr>
                <w:rFonts w:hint="eastAsia" w:ascii="仿宋_GB2312" w:hAnsi="仿宋_GB2312" w:eastAsia="仿宋_GB2312" w:cs="仿宋_GB2312"/>
                <w:sz w:val="24"/>
                <w:szCs w:val="24"/>
                <w:vertAlign w:val="baseline"/>
                <w:lang w:val="en-US" w:eastAsia="zh-CN"/>
              </w:rPr>
              <w:t>0分</w:t>
            </w:r>
            <w:r>
              <w:rPr>
                <w:rFonts w:hint="eastAsia" w:ascii="仿宋_GB2312" w:hAnsi="仿宋_GB2312" w:eastAsia="仿宋_GB2312" w:cs="仿宋_GB2312"/>
                <w:sz w:val="24"/>
                <w:szCs w:val="24"/>
                <w:vertAlign w:val="baseline"/>
                <w:lang w:eastAsia="zh-CN"/>
              </w:rPr>
              <w:t>）</w:t>
            </w:r>
          </w:p>
        </w:tc>
        <w:tc>
          <w:tcPr>
            <w:tcW w:w="1170" w:type="dxa"/>
            <w:noWrap w:val="0"/>
            <w:vAlign w:val="top"/>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w:t>
            </w:r>
          </w:p>
          <w:p>
            <w:pPr>
              <w:spacing w:line="560" w:lineRule="exact"/>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因素</w:t>
            </w:r>
          </w:p>
        </w:tc>
        <w:tc>
          <w:tcPr>
            <w:tcW w:w="6143" w:type="dxa"/>
            <w:noWrap w:val="0"/>
            <w:vAlign w:val="center"/>
          </w:tcPr>
          <w:p>
            <w:pPr>
              <w:spacing w:line="560" w:lineRule="exact"/>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价格</w:t>
            </w:r>
          </w:p>
        </w:tc>
        <w:tc>
          <w:tcPr>
            <w:tcW w:w="6143" w:type="dxa"/>
            <w:noWrap w:val="0"/>
            <w:vAlign w:val="center"/>
          </w:tcPr>
          <w:p>
            <w:pPr>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以本次报价或投标人所报的有效报价中的最低价作为基准报价。投标人报价得分=（基准价/投标人报价）*</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商务</w:t>
            </w:r>
          </w:p>
          <w:p>
            <w:pPr>
              <w:pStyle w:val="3"/>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部分</w:t>
            </w:r>
          </w:p>
          <w:p>
            <w:pPr>
              <w:pStyle w:val="3"/>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color w:val="auto"/>
                <w:sz w:val="24"/>
                <w:szCs w:val="24"/>
                <w:highlight w:val="none"/>
                <w:lang w:val="en-US" w:eastAsia="zh-CN"/>
              </w:rPr>
              <w:t>25</w:t>
            </w:r>
            <w:r>
              <w:rPr>
                <w:rFonts w:hint="eastAsia" w:ascii="仿宋_GB2312" w:hAnsi="仿宋_GB2312" w:eastAsia="仿宋_GB2312" w:cs="仿宋_GB2312"/>
                <w:sz w:val="24"/>
                <w:szCs w:val="24"/>
                <w:vertAlign w:val="baseline"/>
                <w:lang w:val="en-US" w:eastAsia="zh-CN"/>
              </w:rPr>
              <w:t>分</w:t>
            </w:r>
            <w:r>
              <w:rPr>
                <w:rFonts w:hint="eastAsia" w:ascii="仿宋_GB2312" w:hAnsi="仿宋_GB2312" w:eastAsia="仿宋_GB2312" w:cs="仿宋_GB2312"/>
                <w:sz w:val="24"/>
                <w:szCs w:val="24"/>
                <w:vertAlign w:val="baseline"/>
                <w:lang w:eastAsia="zh-CN"/>
              </w:rPr>
              <w:t>）</w:t>
            </w:r>
          </w:p>
        </w:tc>
        <w:tc>
          <w:tcPr>
            <w:tcW w:w="1170" w:type="dxa"/>
            <w:noWrap w:val="0"/>
            <w:vAlign w:val="top"/>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w:t>
            </w:r>
          </w:p>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因素</w:t>
            </w:r>
          </w:p>
        </w:tc>
        <w:tc>
          <w:tcPr>
            <w:tcW w:w="6143" w:type="dxa"/>
            <w:noWrap w:val="0"/>
            <w:vAlign w:val="center"/>
          </w:tcPr>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lang w:eastAsia="zh-CN"/>
              </w:rPr>
              <w:t>同类项目经验（</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sz w:val="24"/>
                <w:szCs w:val="24"/>
                <w:lang w:val="en-US" w:eastAsia="zh-CN"/>
              </w:rPr>
              <w:t>分</w:t>
            </w:r>
            <w:r>
              <w:rPr>
                <w:rFonts w:hint="eastAsia" w:ascii="仿宋_GB2312" w:hAnsi="仿宋_GB2312" w:eastAsia="仿宋_GB2312" w:cs="仿宋_GB2312"/>
                <w:sz w:val="24"/>
                <w:szCs w:val="24"/>
                <w:lang w:eastAsia="zh-CN"/>
              </w:rPr>
              <w:t>）</w:t>
            </w:r>
          </w:p>
        </w:tc>
        <w:tc>
          <w:tcPr>
            <w:tcW w:w="6143" w:type="dxa"/>
            <w:noWrap w:val="0"/>
            <w:vAlign w:val="top"/>
          </w:tcPr>
          <w:p>
            <w:pPr>
              <w:topLinePunct/>
              <w:snapToGrid w:val="0"/>
              <w:spacing w:line="5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（一）评审内容：</w:t>
            </w:r>
          </w:p>
          <w:p>
            <w:pPr>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投标人自202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年1月1日至本项目投标截止日（以合同签订日期为准），</w:t>
            </w:r>
            <w:r>
              <w:rPr>
                <w:rFonts w:hint="eastAsia" w:ascii="仿宋_GB2312" w:hAnsi="仿宋_GB2312" w:eastAsia="仿宋_GB2312" w:cs="仿宋_GB2312"/>
                <w:sz w:val="24"/>
                <w:szCs w:val="24"/>
                <w:lang w:val="en-US" w:eastAsia="zh-CN"/>
              </w:rPr>
              <w:t>每提供一项短视频拍摄制作/营销推广</w:t>
            </w:r>
            <w:r>
              <w:rPr>
                <w:rFonts w:hint="eastAsia" w:ascii="仿宋_GB2312" w:hAnsi="仿宋_GB2312" w:eastAsia="仿宋_GB2312" w:cs="仿宋_GB2312"/>
                <w:sz w:val="24"/>
                <w:szCs w:val="24"/>
                <w:lang w:eastAsia="zh-CN"/>
              </w:rPr>
              <w:t>类</w:t>
            </w:r>
            <w:r>
              <w:rPr>
                <w:rFonts w:hint="eastAsia" w:ascii="仿宋_GB2312" w:hAnsi="仿宋_GB2312" w:eastAsia="仿宋_GB2312" w:cs="仿宋_GB2312"/>
                <w:sz w:val="24"/>
                <w:szCs w:val="24"/>
                <w:lang w:val="en-US" w:eastAsia="zh-CN"/>
              </w:rPr>
              <w:t>项目</w:t>
            </w:r>
            <w:r>
              <w:rPr>
                <w:rFonts w:hint="eastAsia" w:ascii="仿宋_GB2312" w:hAnsi="仿宋_GB2312" w:eastAsia="仿宋_GB2312" w:cs="仿宋_GB2312"/>
                <w:sz w:val="24"/>
                <w:szCs w:val="24"/>
                <w:lang w:eastAsia="zh-CN"/>
              </w:rPr>
              <w:t>业绩得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p>
          <w:p>
            <w:pPr>
              <w:topLinePunct/>
              <w:snapToGrid w:val="0"/>
              <w:spacing w:line="5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每项业绩按以下要求提供完整准确的证明文件，一个合同计算一个业绩，一年一签的续签合同只计算一个业绩：</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合同关键页（关键信息包括但不仅限于合同的项目名称、服务内容、合同服务的起止时间、合同双方的盖章、签订日期等）；</w:t>
            </w:r>
          </w:p>
          <w:p>
            <w:pPr>
              <w:topLinePunct/>
              <w:snapToGrid w:val="0"/>
              <w:spacing w:line="56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拟安排项目团队成员</w:t>
            </w:r>
          </w:p>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sz w:val="24"/>
                <w:szCs w:val="24"/>
                <w:lang w:val="en-US" w:eastAsia="zh-CN"/>
              </w:rPr>
              <w:t>分）</w:t>
            </w:r>
          </w:p>
        </w:tc>
        <w:tc>
          <w:tcPr>
            <w:tcW w:w="6143" w:type="dxa"/>
            <w:noWrap w:val="0"/>
            <w:vAlign w:val="center"/>
          </w:tcPr>
          <w:p>
            <w:pPr>
              <w:pStyle w:val="11"/>
              <w:widowControl/>
              <w:topLinePunct w:val="0"/>
              <w:snapToGrid w:val="0"/>
              <w:spacing w:line="3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（一）评审内容</w:t>
            </w:r>
          </w:p>
          <w:p>
            <w:pPr>
              <w:pStyle w:val="11"/>
              <w:widowControl/>
              <w:topLinePunct w:val="0"/>
              <w:snapToGrid w:val="0"/>
              <w:spacing w:line="3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拟安排的项目团队成员情况：</w:t>
            </w:r>
          </w:p>
          <w:p>
            <w:pPr>
              <w:widowControl/>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具有本科（或以上）学历，每提供一人学历</w:t>
            </w:r>
            <w:r>
              <w:rPr>
                <w:rFonts w:hint="eastAsia" w:ascii="仿宋_GB2312" w:hAnsi="仿宋_GB2312" w:eastAsia="仿宋_GB2312" w:cs="仿宋_GB2312"/>
                <w:sz w:val="24"/>
                <w:szCs w:val="24"/>
                <w:lang w:val="en-US" w:eastAsia="zh-CN"/>
              </w:rPr>
              <w:t>证明</w:t>
            </w:r>
            <w:r>
              <w:rPr>
                <w:rFonts w:hint="eastAsia" w:ascii="仿宋_GB2312" w:hAnsi="仿宋_GB2312" w:eastAsia="仿宋_GB2312" w:cs="仿宋_GB2312"/>
                <w:sz w:val="24"/>
                <w:szCs w:val="24"/>
                <w:lang w:eastAsia="zh-CN"/>
              </w:rPr>
              <w:t>的得</w:t>
            </w:r>
            <w:r>
              <w:rPr>
                <w:rFonts w:hint="default" w:ascii="仿宋_GB2312" w:hAnsi="仿宋_GB2312" w:eastAsia="仿宋_GB2312" w:cs="仿宋_GB2312"/>
                <w:sz w:val="24"/>
                <w:szCs w:val="24"/>
                <w:lang w:val="en" w:eastAsia="zh-CN"/>
              </w:rPr>
              <w:t>3</w:t>
            </w:r>
            <w:r>
              <w:rPr>
                <w:rFonts w:hint="eastAsia" w:ascii="仿宋_GB2312" w:hAnsi="仿宋_GB2312" w:eastAsia="仿宋_GB2312" w:cs="仿宋_GB2312"/>
                <w:sz w:val="24"/>
                <w:szCs w:val="24"/>
                <w:lang w:eastAsia="zh-CN"/>
              </w:rPr>
              <w:t>分，最高得</w:t>
            </w:r>
            <w:r>
              <w:rPr>
                <w:rFonts w:hint="default" w:ascii="仿宋_GB2312" w:hAnsi="仿宋_GB2312" w:eastAsia="仿宋_GB2312" w:cs="仿宋_GB2312"/>
                <w:sz w:val="24"/>
                <w:szCs w:val="24"/>
                <w:lang w:val="en" w:eastAsia="zh-CN"/>
              </w:rPr>
              <w:t>6</w:t>
            </w:r>
            <w:r>
              <w:rPr>
                <w:rFonts w:hint="eastAsia" w:ascii="仿宋_GB2312" w:hAnsi="仿宋_GB2312" w:eastAsia="仿宋_GB2312" w:cs="仿宋_GB2312"/>
                <w:sz w:val="24"/>
                <w:szCs w:val="24"/>
                <w:lang w:eastAsia="zh-CN"/>
              </w:rPr>
              <w:t>分（注：同一人不同学历不累计分值）；</w:t>
            </w:r>
          </w:p>
          <w:p>
            <w:pPr>
              <w:widowControl/>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具有国际传播</w:t>
            </w:r>
            <w:r>
              <w:rPr>
                <w:rFonts w:hint="eastAsia" w:ascii="仿宋_GB2312" w:hAnsi="仿宋_GB2312" w:eastAsia="仿宋_GB2312" w:cs="仿宋_GB2312"/>
                <w:sz w:val="24"/>
                <w:szCs w:val="24"/>
                <w:lang w:val="en-US" w:eastAsia="zh-CN"/>
              </w:rPr>
              <w:t>/新闻学/营销推广/广告学/视频拍摄制作/新媒体账号运营</w:t>
            </w:r>
            <w:r>
              <w:rPr>
                <w:rFonts w:hint="eastAsia" w:ascii="仿宋_GB2312" w:hAnsi="仿宋_GB2312" w:eastAsia="仿宋_GB2312" w:cs="仿宋_GB2312"/>
                <w:sz w:val="24"/>
                <w:szCs w:val="24"/>
                <w:lang w:eastAsia="zh-CN"/>
              </w:rPr>
              <w:t>有关工作经验，每提供一人得</w:t>
            </w:r>
            <w:r>
              <w:rPr>
                <w:rFonts w:hint="default" w:ascii="仿宋_GB2312" w:hAnsi="仿宋_GB2312" w:eastAsia="仿宋_GB2312" w:cs="仿宋_GB2312"/>
                <w:sz w:val="24"/>
                <w:szCs w:val="24"/>
                <w:lang w:val="en" w:eastAsia="zh-CN"/>
              </w:rPr>
              <w:t>2</w:t>
            </w:r>
            <w:r>
              <w:rPr>
                <w:rFonts w:hint="eastAsia" w:ascii="仿宋_GB2312" w:hAnsi="仿宋_GB2312" w:eastAsia="仿宋_GB2312" w:cs="仿宋_GB2312"/>
                <w:sz w:val="24"/>
                <w:szCs w:val="24"/>
                <w:lang w:eastAsia="zh-CN"/>
              </w:rPr>
              <w:t>分，最高得</w:t>
            </w:r>
            <w:r>
              <w:rPr>
                <w:rFonts w:hint="default" w:ascii="仿宋_GB2312" w:hAnsi="仿宋_GB2312" w:eastAsia="仿宋_GB2312" w:cs="仿宋_GB2312"/>
                <w:sz w:val="24"/>
                <w:szCs w:val="24"/>
                <w:lang w:val="en" w:eastAsia="zh-CN"/>
              </w:rPr>
              <w:t>4</w:t>
            </w:r>
            <w:r>
              <w:rPr>
                <w:rFonts w:hint="eastAsia" w:ascii="仿宋_GB2312" w:hAnsi="仿宋_GB2312" w:eastAsia="仿宋_GB2312" w:cs="仿宋_GB2312"/>
                <w:sz w:val="24"/>
                <w:szCs w:val="24"/>
                <w:lang w:eastAsia="zh-CN"/>
              </w:rPr>
              <w:t>分；</w:t>
            </w:r>
          </w:p>
          <w:p>
            <w:pPr>
              <w:widowControl/>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同一人具备1至</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项情况的可</w:t>
            </w:r>
            <w:r>
              <w:rPr>
                <w:rFonts w:hint="eastAsia" w:ascii="仿宋_GB2312" w:hAnsi="仿宋_GB2312" w:eastAsia="仿宋_GB2312" w:cs="仿宋_GB2312"/>
                <w:sz w:val="24"/>
                <w:szCs w:val="24"/>
                <w:lang w:val="en-US" w:eastAsia="zh-CN"/>
              </w:rPr>
              <w:t>重复得</w:t>
            </w:r>
            <w:r>
              <w:rPr>
                <w:rFonts w:hint="eastAsia" w:ascii="仿宋_GB2312" w:hAnsi="仿宋_GB2312" w:eastAsia="仿宋_GB2312" w:cs="仿宋_GB2312"/>
                <w:sz w:val="24"/>
                <w:szCs w:val="24"/>
                <w:lang w:eastAsia="zh-CN"/>
              </w:rPr>
              <w:t>分，本项最高得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p>
          <w:p>
            <w:pPr>
              <w:pStyle w:val="11"/>
              <w:widowControl/>
              <w:topLinePunct w:val="0"/>
              <w:snapToGrid w:val="0"/>
              <w:spacing w:line="3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widowControl/>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1.提供毕业证书或学位证书扫描件、学历信息在学信网查询结果截图，原件备查。</w:t>
            </w:r>
          </w:p>
          <w:p>
            <w:pPr>
              <w:widowControl/>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工作经验</w:t>
            </w:r>
            <w:r>
              <w:rPr>
                <w:rFonts w:hint="eastAsia" w:ascii="仿宋_GB2312" w:hAnsi="仿宋_GB2312" w:eastAsia="仿宋_GB2312" w:cs="仿宋_GB2312"/>
                <w:sz w:val="24"/>
                <w:szCs w:val="24"/>
              </w:rPr>
              <w:t>需提供合同关键页或其他可以证明的材料</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合同关键</w:t>
            </w:r>
            <w:r>
              <w:rPr>
                <w:rFonts w:hint="eastAsia" w:ascii="仿宋_GB2312" w:hAnsi="仿宋_GB2312" w:eastAsia="仿宋_GB2312" w:cs="仿宋_GB2312"/>
                <w:sz w:val="24"/>
                <w:szCs w:val="24"/>
                <w:lang w:eastAsia="zh-CN"/>
              </w:rPr>
              <w:t>页</w:t>
            </w:r>
            <w:r>
              <w:rPr>
                <w:rFonts w:hint="eastAsia" w:ascii="仿宋_GB2312" w:hAnsi="仿宋_GB2312" w:eastAsia="仿宋_GB2312" w:cs="仿宋_GB2312"/>
                <w:sz w:val="24"/>
                <w:szCs w:val="24"/>
              </w:rPr>
              <w:t>（关键信息包括但不仅限于合同的项目名称、</w:t>
            </w:r>
            <w:r>
              <w:rPr>
                <w:rFonts w:hint="eastAsia" w:ascii="仿宋_GB2312" w:hAnsi="仿宋_GB2312" w:eastAsia="仿宋_GB2312" w:cs="仿宋_GB2312"/>
                <w:sz w:val="24"/>
                <w:szCs w:val="24"/>
                <w:lang w:val="en-US" w:eastAsia="zh-CN"/>
              </w:rPr>
              <w:t>项目负责人/团队成员名字、</w:t>
            </w:r>
            <w:r>
              <w:rPr>
                <w:rFonts w:hint="eastAsia" w:ascii="仿宋_GB2312" w:hAnsi="仿宋_GB2312" w:eastAsia="仿宋_GB2312" w:cs="仿宋_GB2312"/>
                <w:sz w:val="24"/>
                <w:szCs w:val="24"/>
              </w:rPr>
              <w:t>服务内容、</w:t>
            </w:r>
            <w:r>
              <w:rPr>
                <w:rFonts w:hint="eastAsia" w:ascii="仿宋_GB2312" w:hAnsi="仿宋_GB2312" w:eastAsia="仿宋_GB2312" w:cs="仿宋_GB2312"/>
                <w:sz w:val="24"/>
                <w:szCs w:val="24"/>
                <w:lang w:val="en-US" w:eastAsia="zh-CN"/>
              </w:rPr>
              <w:t>合同双方盖章页</w:t>
            </w:r>
            <w:r>
              <w:rPr>
                <w:rFonts w:hint="eastAsia" w:ascii="仿宋_GB2312" w:hAnsi="仿宋_GB2312" w:eastAsia="仿宋_GB2312" w:cs="仿宋_GB2312"/>
                <w:sz w:val="24"/>
                <w:szCs w:val="24"/>
              </w:rPr>
              <w:t>），以及满足评分要求的服务内容</w:t>
            </w:r>
            <w:r>
              <w:rPr>
                <w:rFonts w:hint="default" w:ascii="仿宋_GB2312" w:hAnsi="仿宋_GB2312" w:eastAsia="仿宋_GB2312" w:cs="仿宋_GB2312"/>
                <w:sz w:val="24"/>
                <w:szCs w:val="24"/>
                <w:lang w:val="en"/>
              </w:rPr>
              <w:t>/已公开发布的双语文旅</w:t>
            </w:r>
            <w:r>
              <w:rPr>
                <w:rFonts w:hint="eastAsia" w:ascii="仿宋_GB2312" w:hAnsi="仿宋_GB2312" w:eastAsia="仿宋_GB2312" w:cs="仿宋_GB2312"/>
                <w:sz w:val="24"/>
                <w:szCs w:val="24"/>
              </w:rPr>
              <w:t>、</w:t>
            </w:r>
            <w:r>
              <w:rPr>
                <w:rFonts w:hint="default" w:ascii="仿宋_GB2312" w:hAnsi="仿宋_GB2312" w:eastAsia="仿宋_GB2312" w:cs="仿宋_GB2312"/>
                <w:sz w:val="24"/>
                <w:szCs w:val="24"/>
                <w:lang w:val="en"/>
              </w:rPr>
              <w:t>城市形象类视频作品链接（不少于2条），并附简要创作说明</w:t>
            </w:r>
            <w:r>
              <w:rPr>
                <w:rFonts w:hint="eastAsia" w:ascii="仿宋_GB2312" w:hAnsi="仿宋_GB2312" w:eastAsia="仿宋_GB2312" w:cs="仿宋_GB2312"/>
                <w:sz w:val="24"/>
                <w:szCs w:val="24"/>
                <w:lang w:val="en" w:eastAsia="zh-CN"/>
              </w:rPr>
              <w:t>。</w:t>
            </w:r>
          </w:p>
          <w:p>
            <w:pPr>
              <w:widowControl/>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3.以上人员近三个月社保缴纳记录。</w:t>
            </w:r>
          </w:p>
          <w:p>
            <w:pPr>
              <w:widowControl/>
              <w:topLinePunct/>
              <w:snapToGrid w:val="0"/>
              <w:spacing w:line="56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以上证明文件原件备查，</w:t>
            </w:r>
            <w:r>
              <w:rPr>
                <w:rFonts w:hint="eastAsia" w:ascii="仿宋_GB2312" w:hAnsi="仿宋_GB2312" w:eastAsia="仿宋_GB2312" w:cs="仿宋_GB2312"/>
                <w:sz w:val="24"/>
                <w:szCs w:val="24"/>
                <w:highlight w:val="none"/>
                <w:lang w:eastAsia="zh-CN"/>
              </w:rPr>
              <w:t>未提供或未按要求提供或提供的不清晰导致采购小组无法判断的，不得分。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项目完成（服务期满）</w:t>
            </w:r>
          </w:p>
          <w:p>
            <w:pPr>
              <w:spacing w:line="560" w:lineRule="exact"/>
              <w:jc w:val="left"/>
              <w:rPr>
                <w:rFonts w:hint="eastAsia"/>
                <w:lang w:eastAsia="zh-CN"/>
              </w:rPr>
            </w:pPr>
            <w:r>
              <w:rPr>
                <w:rFonts w:hint="eastAsia" w:ascii="仿宋_GB2312" w:hAnsi="仿宋_GB2312" w:eastAsia="仿宋_GB2312" w:cs="仿宋_GB2312"/>
                <w:sz w:val="24"/>
                <w:szCs w:val="24"/>
                <w:lang w:val="en-US" w:eastAsia="zh-CN"/>
              </w:rPr>
              <w:t>后的服务承诺（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6143" w:type="dxa"/>
            <w:noWrap w:val="0"/>
            <w:vAlign w:val="center"/>
          </w:tcPr>
          <w:p>
            <w:pPr>
              <w:topLinePunct/>
              <w:snapToGrid w:val="0"/>
              <w:spacing w:line="560" w:lineRule="exact"/>
              <w:jc w:val="left"/>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内容：</w:t>
            </w:r>
          </w:p>
          <w:p>
            <w:pPr>
              <w:adjustRightInd w:val="0"/>
              <w:snapToGrid w:val="0"/>
              <w:spacing w:line="560" w:lineRule="exact"/>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numPr>
                <w:ilvl w:val="-1"/>
                <w:numId w:val="0"/>
              </w:numPr>
              <w:adjustRightInd w:val="0"/>
              <w:snapToGrid w:val="0"/>
              <w:spacing w:line="560" w:lineRule="exact"/>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topLinePunct/>
              <w:snapToGrid w:val="0"/>
              <w:spacing w:line="560" w:lineRule="exact"/>
              <w:jc w:val="left"/>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依据：</w:t>
            </w:r>
          </w:p>
          <w:p>
            <w:pPr>
              <w:topLinePunct/>
              <w:snapToGrid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服务</w:t>
            </w:r>
            <w:r>
              <w:rPr>
                <w:rFonts w:hint="eastAsia" w:ascii="仿宋_GB2312" w:hAnsi="仿宋_GB2312" w:eastAsia="仿宋_GB2312" w:cs="仿宋_GB2312"/>
                <w:sz w:val="24"/>
                <w:szCs w:val="24"/>
                <w:highlight w:val="none"/>
              </w:rPr>
              <w:t>承诺函（格式自拟）并加盖投标人公章，未提供承诺或承诺内容不满足要求不得分。</w:t>
            </w:r>
          </w:p>
          <w:p>
            <w:pPr>
              <w:pStyle w:val="3"/>
              <w:spacing w:line="560" w:lineRule="exact"/>
              <w:jc w:val="left"/>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技术部分（</w:t>
            </w:r>
            <w:r>
              <w:rPr>
                <w:rFonts w:hint="eastAsia" w:ascii="仿宋_GB2312" w:hAnsi="仿宋_GB2312" w:eastAsia="仿宋_GB2312" w:cs="仿宋_GB2312"/>
                <w:color w:val="auto"/>
                <w:sz w:val="24"/>
                <w:szCs w:val="24"/>
                <w:highlight w:val="none"/>
                <w:lang w:val="en-US" w:eastAsia="zh-CN"/>
              </w:rPr>
              <w:t>55</w:t>
            </w:r>
            <w:r>
              <w:rPr>
                <w:rFonts w:hint="eastAsia" w:ascii="仿宋_GB2312" w:hAnsi="仿宋_GB2312" w:eastAsia="仿宋_GB2312" w:cs="仿宋_GB2312"/>
                <w:sz w:val="24"/>
                <w:szCs w:val="24"/>
                <w:vertAlign w:val="baseline"/>
                <w:lang w:val="en-US" w:eastAsia="zh-CN"/>
              </w:rPr>
              <w:t>分）</w:t>
            </w:r>
          </w:p>
        </w:tc>
        <w:tc>
          <w:tcPr>
            <w:tcW w:w="1170" w:type="dxa"/>
            <w:noWrap w:val="0"/>
            <w:vAlign w:val="center"/>
          </w:tcPr>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实</w:t>
            </w:r>
            <w:r>
              <w:rPr>
                <w:rFonts w:hint="eastAsia" w:ascii="仿宋_GB2312" w:hAnsi="仿宋_GB2312" w:eastAsia="仿宋_GB2312" w:cs="仿宋_GB2312"/>
                <w:sz w:val="24"/>
                <w:szCs w:val="24"/>
                <w:lang w:val="en-US" w:eastAsia="zh-CN"/>
              </w:rPr>
              <w:t>施</w:t>
            </w:r>
          </w:p>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方案</w:t>
            </w:r>
          </w:p>
          <w:p>
            <w:pPr>
              <w:spacing w:line="560" w:lineRule="exact"/>
              <w:jc w:val="left"/>
              <w:rPr>
                <w:rFonts w:hint="eastAsia"/>
                <w:lang w:eastAsia="zh-CN"/>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auto"/>
                <w:sz w:val="24"/>
                <w:szCs w:val="24"/>
                <w:highlight w:val="none"/>
                <w:lang w:val="en-US" w:eastAsia="zh-CN"/>
              </w:rPr>
              <w:t>35</w:t>
            </w:r>
            <w:r>
              <w:rPr>
                <w:rFonts w:hint="eastAsia" w:ascii="仿宋_GB2312" w:hAnsi="仿宋_GB2312" w:eastAsia="仿宋_GB2312" w:cs="仿宋_GB2312"/>
                <w:sz w:val="24"/>
                <w:szCs w:val="24"/>
                <w:lang w:val="en-US" w:eastAsia="zh-CN"/>
              </w:rPr>
              <w:t>分）</w:t>
            </w:r>
          </w:p>
        </w:tc>
        <w:tc>
          <w:tcPr>
            <w:tcW w:w="6143" w:type="dxa"/>
            <w:noWrap w:val="0"/>
            <w:vAlign w:val="top"/>
          </w:tcPr>
          <w:p>
            <w:pPr>
              <w:topLinePunct/>
              <w:snapToGrid w:val="0"/>
              <w:spacing w:line="56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1.项目策划方案；</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2.团队专业能力与执行经验；（可提供双语达人全网粉丝数量佐证材料及优秀案例）</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3.视频质量保障方案；</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4.宣传推广规划思路。</w:t>
            </w:r>
          </w:p>
          <w:p>
            <w:pPr>
              <w:topLinePunct/>
              <w:snapToGrid w:val="0"/>
              <w:spacing w:line="560" w:lineRule="exact"/>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满足以上任意一项要求得5分，最高得20分，在此基础上，</w:t>
            </w:r>
            <w:r>
              <w:rPr>
                <w:rFonts w:hint="eastAsia" w:ascii="仿宋_GB2312" w:hAnsi="仿宋_GB2312" w:eastAsia="仿宋_GB2312" w:cs="仿宋_GB2312"/>
                <w:sz w:val="24"/>
                <w:szCs w:val="24"/>
              </w:rPr>
              <w:t>根据供应商的具体响应内容按照量化的评审因素指标进一步评审，设定优、良、中、差四个评分标准：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1.优：项目实施方案内容全面、具体、针对性强、科学合理、可操作性强得15分；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2.良：项目实施方案内容较丰富、较具体、针对性较强、较科学合理、可操作性较强得11分；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3.中：项目实施方案内容、针对性、可操作性一般得7分；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color w:val="auto"/>
                <w:sz w:val="24"/>
                <w:szCs w:val="24"/>
                <w:highlight w:val="none"/>
                <w:lang w:val="en-US" w:eastAsia="zh-CN"/>
              </w:rPr>
              <w:t>4.差：其他情况不得分。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项目重点难点分析、应对措施及相关的合理化建议</w:t>
            </w:r>
          </w:p>
          <w:p>
            <w:pPr>
              <w:spacing w:line="560" w:lineRule="exact"/>
              <w:jc w:val="left"/>
              <w:rPr>
                <w:rFonts w:hint="eastAsia"/>
                <w:lang w:eastAsia="zh-CN"/>
              </w:rPr>
            </w:pPr>
            <w:r>
              <w:rPr>
                <w:rFonts w:hint="eastAsia" w:ascii="仿宋_GB2312" w:hAnsi="仿宋_GB2312" w:eastAsia="仿宋_GB2312" w:cs="仿宋_GB2312"/>
                <w:sz w:val="24"/>
                <w:szCs w:val="24"/>
                <w:vertAlign w:val="baseline"/>
                <w:lang w:val="en-US"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sz w:val="24"/>
                <w:szCs w:val="24"/>
                <w:vertAlign w:val="baseline"/>
                <w:lang w:val="en-US" w:eastAsia="zh-CN"/>
              </w:rPr>
              <w:t>分）</w:t>
            </w:r>
          </w:p>
        </w:tc>
        <w:tc>
          <w:tcPr>
            <w:tcW w:w="6143" w:type="dxa"/>
            <w:noWrap w:val="0"/>
            <w:vAlign w:val="top"/>
          </w:tcPr>
          <w:p>
            <w:pPr>
              <w:topLinePunct/>
              <w:snapToGrid w:val="0"/>
              <w:spacing w:line="56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考察对项目工作量、可完成度等重点难点问题的识别和分析能力，并就识别出的重点难点提出可行的应对措施及合理化建议。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包括但不限于以下内容：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1.详细阐述本项目存在的重难点问题；</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2.根据项目重难点，详细阐述对应的应对措施；</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3.向招标方提出项目实施具体建议。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sz w:val="24"/>
                <w:szCs w:val="24"/>
              </w:rPr>
              <w:t>根据供应商的具体响应内容按照量化的评审因素指标进一步评审，设定优、良、中、差四个评分标准：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优：以上项目重点难点分析、应对措施及相关的合理化建议的三点内容全面具体、针对性强、可操作性强，加</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sz w:val="24"/>
                <w:szCs w:val="24"/>
              </w:rPr>
              <w:t>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良：以上项目重点难点分析、应对措施及相关的合理化建议的三点内容较</w:t>
            </w:r>
            <w:r>
              <w:rPr>
                <w:rFonts w:hint="eastAsia" w:ascii="仿宋_GB2312" w:hAnsi="仿宋_GB2312" w:eastAsia="仿宋_GB2312" w:cs="仿宋_GB2312"/>
                <w:sz w:val="24"/>
                <w:szCs w:val="24"/>
                <w:lang w:eastAsia="zh-CN"/>
              </w:rPr>
              <w:t>丰富</w:t>
            </w:r>
            <w:r>
              <w:rPr>
                <w:rFonts w:hint="eastAsia" w:ascii="仿宋_GB2312" w:hAnsi="仿宋_GB2312" w:eastAsia="仿宋_GB2312" w:cs="仿宋_GB2312"/>
                <w:sz w:val="24"/>
                <w:szCs w:val="24"/>
              </w:rPr>
              <w:t>、针对性较强、可操作性较强，加</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sz w:val="24"/>
                <w:szCs w:val="24"/>
              </w:rPr>
              <w:t>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中：以上项目重点难点分析、应对措施及相关的合理化建议的三点内容完整性、针对性、可操作性均一般，加</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sz w:val="24"/>
                <w:szCs w:val="24"/>
              </w:rPr>
              <w:t>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差：</w:t>
            </w:r>
            <w:r>
              <w:rPr>
                <w:rFonts w:hint="eastAsia" w:ascii="仿宋_GB2312" w:hAnsi="仿宋_GB2312" w:eastAsia="仿宋_GB2312" w:cs="仿宋_GB2312"/>
                <w:sz w:val="24"/>
                <w:szCs w:val="24"/>
                <w:lang w:eastAsia="zh-CN"/>
              </w:rPr>
              <w:t>其他情况</w:t>
            </w:r>
            <w:r>
              <w:rPr>
                <w:rFonts w:hint="eastAsia" w:ascii="仿宋_GB2312" w:hAnsi="仿宋_GB2312" w:eastAsia="仿宋_GB2312" w:cs="仿宋_GB2312"/>
                <w:color w:val="auto"/>
                <w:sz w:val="24"/>
                <w:szCs w:val="24"/>
                <w:highlight w:val="none"/>
                <w:lang w:val="en-US" w:eastAsia="zh-CN"/>
              </w:rPr>
              <w:t>不得分。</w:t>
            </w:r>
          </w:p>
        </w:tc>
      </w:tr>
    </w:tbl>
    <w:p>
      <w:pPr>
        <w:pStyle w:val="18"/>
        <w:spacing w:line="560" w:lineRule="exact"/>
        <w:ind w:firstLine="640" w:firstLineChars="200"/>
        <w:rPr>
          <w:rFonts w:hint="eastAsia" w:ascii="方正黑体_GBK" w:hAnsi="方正黑体_GBK" w:eastAsia="方正黑体_GBK" w:cs="方正黑体_GBK"/>
          <w:b w:val="0"/>
          <w:bCs/>
          <w:color w:val="000000"/>
          <w:sz w:val="32"/>
          <w:szCs w:val="32"/>
          <w:lang w:eastAsia="zh-CN"/>
        </w:rPr>
      </w:pPr>
      <w:r>
        <w:rPr>
          <w:rFonts w:hint="eastAsia" w:ascii="方正黑体_GBK" w:hAnsi="方正黑体_GBK" w:eastAsia="方正黑体_GBK" w:cs="方正黑体_GBK"/>
          <w:b w:val="0"/>
          <w:bCs/>
          <w:color w:val="000000"/>
          <w:sz w:val="32"/>
          <w:szCs w:val="32"/>
          <w:lang w:eastAsia="zh-CN"/>
        </w:rPr>
        <w:t>八、</w:t>
      </w:r>
      <w:r>
        <w:rPr>
          <w:rFonts w:hint="eastAsia" w:ascii="方正黑体_GBK" w:hAnsi="方正黑体_GBK" w:eastAsia="方正黑体_GBK" w:cs="方正黑体_GBK"/>
          <w:b w:val="0"/>
          <w:bCs/>
          <w:color w:val="000000"/>
          <w:sz w:val="32"/>
          <w:szCs w:val="32"/>
        </w:rPr>
        <w:t>供应商提供资料清单</w:t>
      </w:r>
      <w:r>
        <w:rPr>
          <w:rFonts w:hint="eastAsia" w:ascii="方正黑体_GBK" w:hAnsi="方正黑体_GBK" w:eastAsia="方正黑体_GBK" w:cs="方正黑体_GBK"/>
          <w:b/>
          <w:bCs w:val="0"/>
          <w:color w:val="auto"/>
          <w:sz w:val="32"/>
          <w:szCs w:val="32"/>
          <w:lang w:eastAsia="zh-CN"/>
        </w:rPr>
        <w:t>（均需每页加盖公章）</w:t>
      </w:r>
    </w:p>
    <w:p>
      <w:pPr>
        <w:spacing w:line="560" w:lineRule="exact"/>
        <w:ind w:firstLine="642" w:firstLineChars="200"/>
        <w:jc w:val="left"/>
        <w:rPr>
          <w:rFonts w:hint="eastAsia" w:ascii="仿宋_GB2312" w:hAnsi="仿宋" w:eastAsia="仿宋_GB2312" w:cs="Times New Roman"/>
          <w:b/>
          <w:bCs/>
          <w:color w:val="FF0000"/>
          <w:sz w:val="32"/>
          <w:highlight w:val="none"/>
        </w:rPr>
      </w:pPr>
      <w:r>
        <w:rPr>
          <w:rFonts w:hint="eastAsia" w:ascii="仿宋_GB2312" w:hAnsi="仿宋" w:eastAsia="仿宋_GB2312" w:cs="Times New Roman"/>
          <w:b/>
          <w:bCs/>
          <w:color w:val="FF0000"/>
          <w:sz w:val="32"/>
          <w:highlight w:val="none"/>
        </w:rPr>
        <w:t>注：以下全部资料每页均须加盖单位公章；第1至5项为投标资格必备资料，第1至5项任意一项资料缺失、未按要求完整提交的，作无效投标处理。</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1.营业执照、事业法人证书、社会团体法人登记证书；</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2.法定代表人身份证复印件；</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3.项目报价表（需按格式提供）；</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4.诚信承诺书（详见附件1）；</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5.填写《供应商基本情况表》（加盖单位公章，详见附件2），并完整提交表格列明的供应商相关人员近三个月社保缴纳证明；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投标人未按要求完整提供对应人员社保材料的，按无效投标处理。</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6.评分规则所需资料（同类业绩证明、方案等）。</w:t>
      </w:r>
    </w:p>
    <w:p>
      <w:pPr>
        <w:pStyle w:val="8"/>
        <w:spacing w:after="0" w:line="560" w:lineRule="exact"/>
        <w:ind w:left="0" w:leftChars="0" w:right="0" w:rightChars="0" w:firstLine="640"/>
        <w:jc w:val="left"/>
        <w:rPr>
          <w:rFonts w:hint="eastAsia" w:ascii="方正黑体_GBK" w:hAnsi="方正黑体_GBK" w:eastAsia="方正黑体_GBK" w:cs="方正黑体_GBK"/>
          <w:bCs/>
          <w:color w:val="000000"/>
          <w:sz w:val="32"/>
          <w:szCs w:val="32"/>
          <w:lang w:val="en-US" w:eastAsia="zh-CN"/>
        </w:rPr>
      </w:pPr>
      <w:r>
        <w:rPr>
          <w:rFonts w:hint="eastAsia" w:ascii="方正黑体_GBK" w:hAnsi="方正黑体_GBK" w:eastAsia="方正黑体_GBK" w:cs="方正黑体_GBK"/>
          <w:bCs/>
          <w:color w:val="000000"/>
          <w:sz w:val="32"/>
          <w:szCs w:val="32"/>
          <w:lang w:val="en-US" w:eastAsia="zh-CN"/>
        </w:rPr>
        <w:t>九、其他注意事项</w:t>
      </w:r>
    </w:p>
    <w:p>
      <w:pPr>
        <w:keepNext w:val="0"/>
        <w:keepLines w:val="0"/>
        <w:widowControl/>
        <w:suppressLineNumbers w:val="0"/>
        <w:spacing w:line="560" w:lineRule="exact"/>
        <w:ind w:firstLine="640" w:firstLineChars="200"/>
        <w:jc w:val="lef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8"/>
        <w:spacing w:after="0" w:line="560" w:lineRule="exact"/>
        <w:ind w:left="0" w:leftChars="0" w:right="0" w:rightChars="0" w:firstLine="640"/>
        <w:jc w:val="left"/>
        <w:rPr>
          <w:rFonts w:hint="eastAsia"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w:t>
      </w:r>
      <w:r>
        <w:rPr>
          <w:rFonts w:hint="eastAsia" w:ascii="仿宋_GB2312" w:hAnsi="仿宋" w:eastAsia="仿宋_GB2312" w:cs="Times New Roman"/>
          <w:color w:val="auto"/>
          <w:sz w:val="32"/>
          <w:highlight w:val="none"/>
        </w:rPr>
        <w:t>7</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并在封面备注“Explore Longhua”（探索龙华）</w:t>
      </w:r>
    </w:p>
    <w:p>
      <w:pPr>
        <w:pStyle w:val="8"/>
        <w:spacing w:after="0" w:line="560" w:lineRule="exact"/>
        <w:ind w:left="0" w:leftChars="0" w:right="0" w:rightChars="0" w:firstLine="0" w:firstLineChars="0"/>
        <w:jc w:val="left"/>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文旅国际传播活动</w:t>
      </w:r>
      <w:r>
        <w:rPr>
          <w:rFonts w:hint="eastAsia" w:ascii="仿宋_GB2312" w:hAnsi="仿宋_GB2312" w:eastAsia="仿宋_GB2312" w:cs="仿宋_GB2312"/>
          <w:color w:val="000000"/>
          <w:kern w:val="0"/>
          <w:sz w:val="32"/>
          <w:szCs w:val="32"/>
          <w:lang w:val="en-US" w:eastAsia="zh-CN"/>
        </w:rPr>
        <w:t>项目+公司全称+日期+联系人+联系方式。</w:t>
      </w:r>
    </w:p>
    <w:p>
      <w:pPr>
        <w:pStyle w:val="8"/>
        <w:spacing w:after="0" w:line="560" w:lineRule="exact"/>
        <w:ind w:left="0" w:leftChars="0" w:right="0" w:rightChars="0" w:firstLine="640" w:firstLineChars="200"/>
        <w:jc w:val="left"/>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9"/>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spacing w:line="560" w:lineRule="exact"/>
        <w:ind w:firstLine="640" w:firstLineChars="200"/>
        <w:jc w:val="left"/>
        <w:rPr>
          <w:rFonts w:hint="default" w:ascii="仿宋_GB2312" w:hAnsi="仿宋" w:eastAsia="仿宋_GB2312" w:cs="Times New Roman"/>
          <w:sz w:val="32"/>
          <w:szCs w:val="22"/>
          <w:lang w:val="en-US"/>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r>
        <w:rPr>
          <w:rFonts w:hint="eastAsia" w:ascii="仿宋_GB2312" w:hAnsi="仿宋" w:eastAsia="仿宋_GB2312" w:cs="Times New Roman"/>
          <w:sz w:val="32"/>
          <w:szCs w:val="22"/>
        </w:rPr>
        <w:t>0755-23338</w:t>
      </w:r>
      <w:r>
        <w:rPr>
          <w:rFonts w:hint="default" w:ascii="仿宋_GB2312" w:hAnsi="仿宋" w:eastAsia="仿宋_GB2312" w:cs="Times New Roman"/>
          <w:sz w:val="32"/>
          <w:szCs w:val="22"/>
          <w:lang w:val="en-US"/>
        </w:rPr>
        <w:t>032</w:t>
      </w:r>
    </w:p>
    <w:p>
      <w:pPr>
        <w:pStyle w:val="19"/>
        <w:spacing w:line="560" w:lineRule="exact"/>
        <w:ind w:firstLine="0" w:firstLineChars="0"/>
        <w:rPr>
          <w:rFonts w:hint="default" w:ascii="黑体" w:hAnsi="黑体" w:eastAsia="黑体" w:cs="黑体"/>
          <w:color w:val="000000"/>
          <w:sz w:val="32"/>
          <w:szCs w:val="32"/>
          <w:lang w:val="en-US" w:eastAsia="zh-CN"/>
        </w:rPr>
      </w:pPr>
      <w:r>
        <w:rPr>
          <w:rFonts w:ascii="仿宋_GB2312" w:hAnsi="仿宋" w:eastAsia="仿宋_GB2312" w:cs="Times New Roman"/>
          <w:sz w:val="3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5"/>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3"/>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pStyle w:val="19"/>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2"/>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4"/>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6"/>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仿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CA315F"/>
    <w:multiLevelType w:val="singleLevel"/>
    <w:tmpl w:val="33CA315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8EA3C34"/>
    <w:rsid w:val="11E07B6F"/>
    <w:rsid w:val="156009FD"/>
    <w:rsid w:val="163C3C0C"/>
    <w:rsid w:val="16EB8C75"/>
    <w:rsid w:val="1C387FA6"/>
    <w:rsid w:val="206568E9"/>
    <w:rsid w:val="27027B2E"/>
    <w:rsid w:val="270D16ED"/>
    <w:rsid w:val="27D17500"/>
    <w:rsid w:val="28991DCC"/>
    <w:rsid w:val="2A9E72CC"/>
    <w:rsid w:val="2B4E2D46"/>
    <w:rsid w:val="2C027C88"/>
    <w:rsid w:val="2E32343F"/>
    <w:rsid w:val="309317F7"/>
    <w:rsid w:val="328673D6"/>
    <w:rsid w:val="34A22009"/>
    <w:rsid w:val="35C97A69"/>
    <w:rsid w:val="360E0293"/>
    <w:rsid w:val="375021F0"/>
    <w:rsid w:val="3A575643"/>
    <w:rsid w:val="3ADB2718"/>
    <w:rsid w:val="3B334302"/>
    <w:rsid w:val="3D5FDCFC"/>
    <w:rsid w:val="3D89020A"/>
    <w:rsid w:val="3DF6F9AE"/>
    <w:rsid w:val="3EFE69D5"/>
    <w:rsid w:val="3F7D16C5"/>
    <w:rsid w:val="40CF0629"/>
    <w:rsid w:val="417E7959"/>
    <w:rsid w:val="42415594"/>
    <w:rsid w:val="428A7C17"/>
    <w:rsid w:val="434E9FD3"/>
    <w:rsid w:val="437028A4"/>
    <w:rsid w:val="47462CC7"/>
    <w:rsid w:val="48A028AB"/>
    <w:rsid w:val="4B1FD54C"/>
    <w:rsid w:val="4C46376A"/>
    <w:rsid w:val="4C7B12CE"/>
    <w:rsid w:val="4D0F7FFF"/>
    <w:rsid w:val="4DAF1EFF"/>
    <w:rsid w:val="4EB6312B"/>
    <w:rsid w:val="4F414646"/>
    <w:rsid w:val="523C7D0A"/>
    <w:rsid w:val="55C220B3"/>
    <w:rsid w:val="55E71B19"/>
    <w:rsid w:val="5630526E"/>
    <w:rsid w:val="5BB97AB4"/>
    <w:rsid w:val="5D3C0667"/>
    <w:rsid w:val="5E3DF203"/>
    <w:rsid w:val="5ECA3D86"/>
    <w:rsid w:val="5F2BE56A"/>
    <w:rsid w:val="5F933480"/>
    <w:rsid w:val="603F6A66"/>
    <w:rsid w:val="611F03B9"/>
    <w:rsid w:val="64A70DF2"/>
    <w:rsid w:val="64BE438D"/>
    <w:rsid w:val="66320B8F"/>
    <w:rsid w:val="696E0130"/>
    <w:rsid w:val="69E421A0"/>
    <w:rsid w:val="6A687275"/>
    <w:rsid w:val="6C63533E"/>
    <w:rsid w:val="6CFFD566"/>
    <w:rsid w:val="6D1F1741"/>
    <w:rsid w:val="6D24799D"/>
    <w:rsid w:val="6E536BB7"/>
    <w:rsid w:val="6F152DFC"/>
    <w:rsid w:val="6FC72380"/>
    <w:rsid w:val="708C17E3"/>
    <w:rsid w:val="7232523A"/>
    <w:rsid w:val="73A730C7"/>
    <w:rsid w:val="73FB884D"/>
    <w:rsid w:val="7420296E"/>
    <w:rsid w:val="74695916"/>
    <w:rsid w:val="75047B9A"/>
    <w:rsid w:val="79DD35DB"/>
    <w:rsid w:val="7B5F633E"/>
    <w:rsid w:val="7B8C6B3B"/>
    <w:rsid w:val="7BD3E33C"/>
    <w:rsid w:val="7BF7E217"/>
    <w:rsid w:val="7BFD330D"/>
    <w:rsid w:val="7D9F3A20"/>
    <w:rsid w:val="7DD39989"/>
    <w:rsid w:val="7E1075B0"/>
    <w:rsid w:val="7E9F479A"/>
    <w:rsid w:val="7EEE7B47"/>
    <w:rsid w:val="7EF71E93"/>
    <w:rsid w:val="7FDF5948"/>
    <w:rsid w:val="7FFEECC4"/>
    <w:rsid w:val="9EFFBBA7"/>
    <w:rsid w:val="9FF753B3"/>
    <w:rsid w:val="B7F9C5CD"/>
    <w:rsid w:val="BBFF548B"/>
    <w:rsid w:val="CEAEA899"/>
    <w:rsid w:val="DEB7FE68"/>
    <w:rsid w:val="DFFF69F1"/>
    <w:rsid w:val="E376E1AF"/>
    <w:rsid w:val="E77E6E49"/>
    <w:rsid w:val="EFF64497"/>
    <w:rsid w:val="F3FDA4BC"/>
    <w:rsid w:val="F7F32983"/>
    <w:rsid w:val="FB1E7D21"/>
    <w:rsid w:val="FDFFDEC4"/>
    <w:rsid w:val="FEFF1418"/>
    <w:rsid w:val="FFBFB86A"/>
    <w:rsid w:val="FFEE2DB0"/>
    <w:rsid w:val="FFEF2FC6"/>
    <w:rsid w:val="FFFB3524"/>
    <w:rsid w:val="FFFB8A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0"/>
    <w:pPr>
      <w:spacing w:after="120"/>
    </w:pPr>
  </w:style>
  <w:style w:type="paragraph" w:styleId="6">
    <w:name w:val="Normal Indent"/>
    <w:basedOn w:val="1"/>
    <w:qFormat/>
    <w:uiPriority w:val="0"/>
    <w:pPr>
      <w:ind w:firstLine="420"/>
    </w:pPr>
    <w:rPr>
      <w:szCs w:val="20"/>
    </w:rPr>
  </w:style>
  <w:style w:type="paragraph" w:styleId="7">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8">
    <w:name w:val="Block Text"/>
    <w:basedOn w:val="1"/>
    <w:qFormat/>
    <w:uiPriority w:val="0"/>
    <w:pPr>
      <w:tabs>
        <w:tab w:val="left" w:pos="426"/>
      </w:tabs>
      <w:spacing w:after="120"/>
      <w:ind w:left="1440" w:leftChars="700" w:right="1440" w:rightChars="700"/>
    </w:pPr>
  </w:style>
  <w:style w:type="paragraph" w:styleId="9">
    <w:name w:val="Plain Text"/>
    <w:basedOn w:val="1"/>
    <w:unhideWhenUsed/>
    <w:qFormat/>
    <w:uiPriority w:val="99"/>
    <w:rPr>
      <w:rFonts w:ascii="宋体" w:hAnsi="Calibri" w:cs="Courier New"/>
      <w:szCs w:val="21"/>
    </w:rPr>
  </w:style>
  <w:style w:type="paragraph" w:styleId="10">
    <w:name w:val="Body Text 2"/>
    <w:basedOn w:val="1"/>
    <w:qFormat/>
    <w:uiPriority w:val="0"/>
    <w:pPr>
      <w:spacing w:line="360" w:lineRule="auto"/>
    </w:pPr>
    <w:rPr>
      <w:sz w:val="24"/>
    </w:rPr>
  </w:style>
  <w:style w:type="paragraph" w:styleId="11">
    <w:name w:val="Normal (Web)"/>
    <w:basedOn w:val="1"/>
    <w:qFormat/>
    <w:uiPriority w:val="99"/>
    <w:rPr>
      <w:sz w:val="24"/>
    </w:rPr>
  </w:style>
  <w:style w:type="paragraph" w:styleId="12">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7"/>
    <w:qFormat/>
    <w:uiPriority w:val="34"/>
    <w:pPr>
      <w:ind w:firstLine="420" w:firstLineChars="200"/>
    </w:pPr>
  </w:style>
  <w:style w:type="paragraph" w:customStyle="1" w:styleId="17">
    <w:name w:val="星耀正文"/>
    <w:basedOn w:val="1"/>
    <w:qFormat/>
    <w:uiPriority w:val="3"/>
    <w:pPr>
      <w:ind w:firstLine="422" w:firstLineChars="200"/>
    </w:pPr>
    <w:rPr>
      <w:rFonts w:ascii="宋体" w:hAnsi="宋体" w:eastAsia="仿宋_GB2312"/>
      <w:bCs/>
    </w:rPr>
  </w:style>
  <w:style w:type="paragraph" w:customStyle="1" w:styleId="18">
    <w:name w:val="USE 1"/>
    <w:basedOn w:val="1"/>
    <w:qFormat/>
    <w:uiPriority w:val="0"/>
    <w:pPr>
      <w:spacing w:line="200" w:lineRule="atLeast"/>
      <w:jc w:val="left"/>
    </w:pPr>
    <w:rPr>
      <w:rFonts w:ascii="宋体" w:hAnsi="宋体"/>
      <w:b/>
      <w:sz w:val="24"/>
      <w:szCs w:val="28"/>
    </w:rPr>
  </w:style>
  <w:style w:type="paragraph" w:customStyle="1" w:styleId="19">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20">
    <w:name w:val="_Style 3"/>
    <w:basedOn w:val="1"/>
    <w:next w:val="1"/>
    <w:qFormat/>
    <w:uiPriority w:val="99"/>
    <w:pPr>
      <w:spacing w:line="360" w:lineRule="auto"/>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5604</Words>
  <Characters>5802</Characters>
  <Lines>0</Lines>
  <Paragraphs>0</Paragraphs>
  <TotalTime>34</TotalTime>
  <ScaleCrop>false</ScaleCrop>
  <LinksUpToDate>false</LinksUpToDate>
  <CharactersWithSpaces>5928</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2025-04-22T09:16:00Z</dcterms:created>
  <dc:creator>yang</dc:creator>
  <cp:lastModifiedBy>lxy</cp:lastModifiedBy>
  <dcterms:modified xsi:type="dcterms:W3CDTF">2026-09-09T17:18:55Z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98C1C8697A69ABA94507A16A16306752</vt:lpwstr>
  </property>
  <property fmtid="{D5CDD505-2E9C-101B-9397-08002B2CF9AE}" pid="4" name="KSOTemplateDocerSaveRecord">
    <vt:lpwstr>eyJoZGlkIjoiOGU5YTE0MGQ1Nzc0NDg0MDkwYzRmZmI1M2MxMDZjNDUiLCJ1c2VySWQiOiI3NjI1MDM3NTIifQ==</vt:lpwstr>
  </property>
</Properties>
</file>