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2026龙华绿道骑游嘉年华（暂定名）活动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项目需求书</w:t>
      </w:r>
    </w:p>
    <w:p>
      <w:pPr>
        <w:pStyle w:val="12"/>
        <w:keepNext w:val="0"/>
        <w:keepLines w:val="0"/>
        <w:pageBreakBefore w:val="0"/>
        <w:kinsoku/>
        <w:wordWrap/>
        <w:overflowPunct/>
        <w:topLinePunct w:val="0"/>
        <w:autoSpaceDE/>
        <w:autoSpaceDN/>
        <w:bidi w:val="0"/>
        <w:spacing w:before="0" w:after="0" w:line="560" w:lineRule="exact"/>
        <w:ind w:left="0" w:leftChars="0" w:right="0" w:rightChars="0"/>
        <w:jc w:val="center"/>
        <w:textAlignment w:val="auto"/>
        <w:rPr>
          <w:rFonts w:hint="eastAsia" w:ascii="微软雅黑" w:hAnsi="微软雅黑" w:eastAsia="微软雅黑" w:cs="微软雅黑"/>
          <w:b/>
          <w:bCs w:val="0"/>
          <w:kern w:val="2"/>
          <w:sz w:val="52"/>
          <w:szCs w:val="52"/>
          <w:lang w:val="en-US" w:eastAsia="zh-CN" w:bidi="ar-SA"/>
        </w:rPr>
      </w:pPr>
    </w:p>
    <w:p>
      <w:pPr>
        <w:keepNext w:val="0"/>
        <w:keepLines w:val="0"/>
        <w:pageBreakBefore w:val="0"/>
        <w:numPr>
          <w:ilvl w:val="0"/>
          <w:numId w:val="0"/>
        </w:numPr>
        <w:tabs>
          <w:tab w:val="left" w:pos="359"/>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黑体" w:hAnsi="黑体" w:eastAsia="黑体" w:cs="黑体"/>
          <w:bCs/>
          <w:sz w:val="32"/>
          <w:szCs w:val="32"/>
          <w:lang w:eastAsia="zh-CN"/>
        </w:rPr>
      </w:pPr>
      <w:r>
        <w:rPr>
          <w:rFonts w:hint="eastAsia" w:ascii="黑体" w:hAnsi="黑体" w:eastAsia="黑体" w:cs="黑体"/>
          <w:bCs/>
          <w:kern w:val="2"/>
          <w:sz w:val="32"/>
          <w:szCs w:val="32"/>
          <w:lang w:val="en-US" w:eastAsia="zh-CN" w:bidi="ar-SA"/>
        </w:rPr>
        <w:t>一、</w:t>
      </w:r>
      <w:r>
        <w:rPr>
          <w:rFonts w:hint="eastAsia" w:ascii="黑体" w:hAnsi="黑体" w:eastAsia="黑体" w:cs="黑体"/>
          <w:bCs/>
          <w:sz w:val="32"/>
          <w:szCs w:val="32"/>
          <w:lang w:eastAsia="zh-CN"/>
        </w:rPr>
        <w:t>项目</w:t>
      </w:r>
      <w:r>
        <w:rPr>
          <w:rFonts w:hint="eastAsia" w:ascii="黑体" w:hAnsi="黑体" w:eastAsia="黑体" w:cs="黑体"/>
          <w:bCs/>
          <w:sz w:val="32"/>
          <w:szCs w:val="32"/>
        </w:rPr>
        <w:t>目</w:t>
      </w:r>
      <w:r>
        <w:rPr>
          <w:rFonts w:hint="eastAsia" w:ascii="黑体" w:hAnsi="黑体" w:eastAsia="黑体" w:cs="黑体"/>
          <w:bCs/>
          <w:sz w:val="32"/>
          <w:szCs w:val="32"/>
          <w:lang w:eastAsia="zh-CN"/>
        </w:rPr>
        <w:t>标</w:t>
      </w:r>
    </w:p>
    <w:p>
      <w:pPr>
        <w:keepNext w:val="0"/>
        <w:keepLines w:val="0"/>
        <w:pageBreakBefore w:val="0"/>
        <w:numPr>
          <w:ilvl w:val="0"/>
          <w:numId w:val="0"/>
        </w:numPr>
        <w:tabs>
          <w:tab w:val="left" w:pos="359"/>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项目为龙华区"体育＋生态"品牌系列工程之一，以绿道自行车活动为载体，依托"环山贯水、串景连园"的绿道体系组织开展。活动在观澜河绿道特色赛道举行，同步配套绿道保护宣传、低碳出行倡议等公益内容，兼具群众体育健身与生态文化教育功能。项目通过骑行体验让居民切身体会"推窗见绿、出门入园"的宜居环境，打造“骑行+生态”“骑行+文旅”“骑行+消费”的多元融合场景，带动休闲消费、激发市场活力，助力区域文体旅商融合发展。</w:t>
      </w:r>
    </w:p>
    <w:p>
      <w:pPr>
        <w:keepNext w:val="0"/>
        <w:keepLines w:val="0"/>
        <w:pageBreakBefore w:val="0"/>
        <w:numPr>
          <w:ilvl w:val="0"/>
          <w:numId w:val="0"/>
        </w:numPr>
        <w:tabs>
          <w:tab w:val="left" w:pos="359"/>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黑体" w:hAnsi="黑体" w:eastAsia="黑体" w:cs="黑体"/>
          <w:bCs/>
          <w:sz w:val="32"/>
          <w:szCs w:val="32"/>
          <w:lang w:val="en-US" w:eastAsia="zh-CN"/>
        </w:rPr>
      </w:pPr>
      <w:r>
        <w:rPr>
          <w:rFonts w:hint="eastAsia" w:ascii="黑体" w:hAnsi="黑体" w:eastAsia="黑体" w:cs="黑体"/>
          <w:bCs/>
          <w:kern w:val="2"/>
          <w:sz w:val="32"/>
          <w:szCs w:val="32"/>
          <w:lang w:val="en-US" w:eastAsia="zh-CN" w:bidi="ar-SA"/>
        </w:rPr>
        <w:t>二、</w:t>
      </w:r>
      <w:r>
        <w:rPr>
          <w:rFonts w:hint="eastAsia" w:ascii="黑体" w:hAnsi="黑体" w:eastAsia="黑体" w:cs="黑体"/>
          <w:bCs/>
          <w:sz w:val="32"/>
          <w:szCs w:val="32"/>
          <w:lang w:val="en-US" w:eastAsia="zh-CN"/>
        </w:rPr>
        <w:t>时间安排</w:t>
      </w:r>
    </w:p>
    <w:p>
      <w:pPr>
        <w:keepNext w:val="0"/>
        <w:keepLines w:val="0"/>
        <w:pageBreakBefore w:val="0"/>
        <w:widowControl/>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11月-12月（暂定）</w:t>
      </w:r>
    </w:p>
    <w:p>
      <w:pPr>
        <w:keepNext w:val="0"/>
        <w:keepLines w:val="0"/>
        <w:pageBreakBefore w:val="0"/>
        <w:numPr>
          <w:ilvl w:val="0"/>
          <w:numId w:val="0"/>
        </w:numPr>
        <w:tabs>
          <w:tab w:val="left" w:pos="1820"/>
        </w:tabs>
        <w:kinsoku/>
        <w:wordWrap/>
        <w:overflowPunct/>
        <w:topLinePunct w:val="0"/>
        <w:autoSpaceDE/>
        <w:autoSpaceDN/>
        <w:bidi w:val="0"/>
        <w:snapToGrid w:val="0"/>
        <w:spacing w:line="560" w:lineRule="exact"/>
        <w:ind w:left="0" w:leftChars="0" w:right="0" w:rightChars="0" w:firstLine="640" w:firstLineChars="200"/>
        <w:jc w:val="both"/>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kern w:val="2"/>
          <w:sz w:val="32"/>
          <w:szCs w:val="32"/>
          <w:lang w:val="en-US" w:eastAsia="zh-CN" w:bidi="ar-SA"/>
        </w:rPr>
        <w:t>三、</w:t>
      </w:r>
      <w:r>
        <w:rPr>
          <w:rFonts w:hint="eastAsia" w:ascii="黑体" w:hAnsi="黑体" w:eastAsia="黑体" w:cs="黑体"/>
          <w:b w:val="0"/>
          <w:bCs/>
          <w:sz w:val="32"/>
          <w:szCs w:val="32"/>
          <w:highlight w:val="none"/>
          <w:lang w:eastAsia="zh-CN"/>
        </w:rPr>
        <w:t>项目</w:t>
      </w:r>
      <w:r>
        <w:rPr>
          <w:rFonts w:hint="eastAsia" w:ascii="黑体" w:hAnsi="黑体" w:eastAsia="黑体" w:cs="黑体"/>
          <w:b w:val="0"/>
          <w:bCs/>
          <w:sz w:val="32"/>
          <w:szCs w:val="32"/>
          <w:highlight w:val="none"/>
        </w:rPr>
        <w:t>内容</w:t>
      </w:r>
      <w:r>
        <w:rPr>
          <w:rFonts w:hint="eastAsia" w:ascii="黑体" w:hAnsi="黑体" w:eastAsia="黑体" w:cs="黑体"/>
          <w:b w:val="0"/>
          <w:bCs/>
          <w:sz w:val="32"/>
          <w:szCs w:val="32"/>
          <w:highlight w:val="none"/>
          <w:lang w:val="en-US" w:eastAsia="zh-CN"/>
        </w:rPr>
        <w:t>及要求</w:t>
      </w:r>
    </w:p>
    <w:p>
      <w:pPr>
        <w:pStyle w:val="3"/>
        <w:keepNext w:val="0"/>
        <w:keepLines w:val="0"/>
        <w:pageBreakBefore w:val="0"/>
        <w:widowControl w:val="0"/>
        <w:kinsoku/>
        <w:wordWrap/>
        <w:overflowPunct/>
        <w:topLinePunct w:val="0"/>
        <w:autoSpaceDE/>
        <w:autoSpaceDN/>
        <w:bidi w:val="0"/>
        <w:adjustRightInd/>
        <w:snapToGrid/>
        <w:spacing w:beforeLines="0" w:beforeAutospacing="0" w:afterLines="0" w:afterAutospacing="0" w:line="560" w:lineRule="exact"/>
        <w:ind w:left="0" w:leftChars="0" w:right="0" w:rightChars="0" w:firstLine="640" w:firstLineChars="200"/>
        <w:jc w:val="both"/>
        <w:textAlignment w:val="auto"/>
        <w:outlineLvl w:val="1"/>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（一）项目概况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龙华绿道骑游嘉年华（暂定名）活动</w:t>
      </w:r>
      <w:r>
        <w:rPr>
          <w:rFonts w:hint="eastAsia" w:ascii="仿宋_GB2312" w:hAnsi="仿宋_GB2312" w:eastAsia="仿宋_GB2312" w:cs="仿宋_GB2312"/>
          <w:kern w:val="2"/>
          <w:sz w:val="32"/>
          <w:szCs w:val="20"/>
          <w:lang w:val="en-US" w:eastAsia="zh-CN" w:bidi="ar-SA"/>
        </w:rPr>
        <w:t>，为休闲骑游活动，参与人员为业余自行车爱好者，实行绿道休闲骑游模式，设置骑行绿道打卡点，更好宣传龙华区绿道。参与活动人数约：1000人。</w:t>
      </w:r>
    </w:p>
    <w:p>
      <w:pPr>
        <w:ind w:firstLine="640" w:firstLineChars="200"/>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（二）具体要求</w:t>
      </w:r>
    </w:p>
    <w:p>
      <w:pPr>
        <w:pStyle w:val="8"/>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1.负责组织活动报名，参与活动人员审查，并分发活动物资；</w:t>
      </w:r>
    </w:p>
    <w:p>
      <w:pPr>
        <w:pStyle w:val="7"/>
        <w:keepNext w:val="0"/>
        <w:keepLines w:val="0"/>
        <w:pageBreakBefore w:val="0"/>
        <w:widowControl w:val="0"/>
        <w:numPr>
          <w:ilvl w:val="0"/>
          <w:numId w:val="0"/>
        </w:numPr>
        <w:kinsoku/>
        <w:wordWrap/>
        <w:overflowPunct/>
        <w:topLinePunct w:val="0"/>
        <w:autoSpaceDE/>
        <w:autoSpaceDN/>
        <w:bidi w:val="0"/>
        <w:spacing w:after="0" w:line="560" w:lineRule="exact"/>
        <w:ind w:leftChars="0" w:right="0" w:rightChars="0"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2.负责统筹活动前期准备工作，组建活动工作人员，拟定活动方案和经费报价方案；</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3.负责所有活动物料设计、制作与分发，包括但不限于号码布、纪念背包、活动T恤、活动奖牌等。</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4.确保活动服务到位，沿途的活动补给站提供充足的饮用水、功能饮料和能量食品。</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5.加强媒体宣传报道，对此次活动的媒体宣传需要2分钟新闻短片和线上新媒体宣传报道。</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6.落实医疗救援，配备专业的医疗救援服务包括起止点及沿线关键点位设置固定医疗点。</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7.活动现场安全保障，落实安保人员到位，负责秩序维护，人群控制和人流疏导。</w:t>
      </w:r>
    </w:p>
    <w:p>
      <w:pPr>
        <w:keepNext w:val="0"/>
        <w:keepLines w:val="0"/>
        <w:pageBreakBefore w:val="0"/>
        <w:widowControl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8.认真做好活动收尾各项工作，及时总结经验，表彰先进；</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right="0" w:rightChars="0" w:firstLine="640" w:firstLineChars="200"/>
        <w:textAlignment w:val="auto"/>
        <w:rPr>
          <w:rFonts w:hint="eastAsia"/>
          <w:lang w:val="en-US" w:eastAsia="zh-CN"/>
        </w:rPr>
      </w:pPr>
      <w:r>
        <w:rPr>
          <w:rFonts w:hint="eastAsia" w:ascii="仿宋_GB2312" w:hAnsi="仿宋_GB2312" w:eastAsia="仿宋_GB2312" w:cs="仿宋_GB2312"/>
          <w:color w:val="auto"/>
          <w:kern w:val="2"/>
          <w:sz w:val="32"/>
          <w:szCs w:val="32"/>
          <w:lang w:val="en-US" w:eastAsia="zh-CN" w:bidi="ar-SA"/>
        </w:rPr>
        <w:t>9.负责主办方交办的其他事项。</w:t>
      </w:r>
    </w:p>
    <w:p>
      <w:pPr>
        <w:keepNext w:val="0"/>
        <w:keepLines w:val="0"/>
        <w:pageBreakBefore w:val="0"/>
        <w:numPr>
          <w:ilvl w:val="0"/>
          <w:numId w:val="0"/>
        </w:numPr>
        <w:tabs>
          <w:tab w:val="left" w:pos="1820"/>
        </w:tabs>
        <w:kinsoku/>
        <w:wordWrap/>
        <w:overflowPunct/>
        <w:topLinePunct w:val="0"/>
        <w:autoSpaceDE/>
        <w:autoSpaceDN/>
        <w:bidi w:val="0"/>
        <w:adjustRightInd w:val="0"/>
        <w:snapToGrid w:val="0"/>
        <w:spacing w:line="560" w:lineRule="exact"/>
        <w:ind w:leftChars="0" w:right="0" w:rightChars="0" w:firstLine="640" w:firstLineChars="200"/>
        <w:jc w:val="both"/>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lang w:eastAsia="zh-CN"/>
        </w:rPr>
        <w:t>报价限额</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i w:val="0"/>
          <w:color w:val="000000"/>
          <w:sz w:val="32"/>
          <w:szCs w:val="32"/>
          <w:highlight w:val="none"/>
          <w:lang w:val="en-US" w:eastAsia="zh-CN"/>
        </w:rPr>
        <w:t>88万</w:t>
      </w:r>
      <w:r>
        <w:rPr>
          <w:rFonts w:hint="eastAsia" w:ascii="仿宋_GB2312" w:hAnsi="仿宋_GB2312" w:eastAsia="仿宋_GB2312" w:cs="仿宋_GB2312"/>
          <w:sz w:val="32"/>
          <w:szCs w:val="32"/>
          <w:highlight w:val="none"/>
          <w:lang w:val="en-US" w:eastAsia="zh-CN"/>
        </w:rPr>
        <w:t>元</w:t>
      </w:r>
      <w:r>
        <w:rPr>
          <w:rFonts w:hint="eastAsia" w:ascii="仿宋_GB2312" w:hAnsi="仿宋" w:eastAsia="仿宋_GB2312" w:cs="仿宋"/>
          <w:kern w:val="2"/>
          <w:sz w:val="32"/>
          <w:szCs w:val="32"/>
          <w:highlight w:val="none"/>
          <w:lang w:val="en-US" w:eastAsia="zh-CN" w:bidi="ar-SA"/>
        </w:rPr>
        <w:t>，其中报价项目表需与下表项目保持一致</w:t>
      </w:r>
      <w:r>
        <w:rPr>
          <w:rFonts w:hint="eastAsia" w:ascii="仿宋_GB2312" w:hAnsi="仿宋_GB2312" w:eastAsia="仿宋_GB2312" w:cs="仿宋_GB2312"/>
          <w:color w:val="auto"/>
          <w:kern w:val="2"/>
          <w:sz w:val="32"/>
          <w:szCs w:val="32"/>
          <w:highlight w:val="none"/>
          <w:lang w:val="en-US" w:eastAsia="zh-CN" w:bidi="ar-SA"/>
        </w:rPr>
        <w:t>：</w:t>
      </w:r>
    </w:p>
    <w:tbl>
      <w:tblPr>
        <w:tblStyle w:val="13"/>
        <w:tblW w:w="88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9"/>
        <w:gridCol w:w="1425"/>
        <w:gridCol w:w="4724"/>
        <w:gridCol w:w="736"/>
        <w:gridCol w:w="7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30"/>
                <w:szCs w:val="30"/>
                <w:u w:val="none"/>
              </w:rPr>
            </w:pPr>
            <w:r>
              <w:rPr>
                <w:rFonts w:hint="eastAsia" w:ascii="微软雅黑" w:hAnsi="微软雅黑" w:eastAsia="微软雅黑" w:cs="微软雅黑"/>
                <w:i w:val="0"/>
                <w:iCs w:val="0"/>
                <w:color w:val="000000"/>
                <w:kern w:val="0"/>
                <w:sz w:val="30"/>
                <w:szCs w:val="30"/>
                <w:u w:val="none"/>
                <w:lang w:val="en-US" w:eastAsia="zh-CN" w:bidi="ar"/>
              </w:rPr>
              <w:t>2026龙华绿道骑游嘉年华（暂定名）活动经费预算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序号</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项目</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内容</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单位</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活动前期筹备</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活动前期一周筹备工作人员劳务费15人，工作7天</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活动前期一周筹备活动用餐15人，工作7天</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起终点门楼</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起/终点（10m*4m*1m）</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主舞台</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桁架舞台 10m*4m*0.8m</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台阶（1.22m）</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背景板</w:t>
            </w:r>
          </w:p>
        </w:tc>
        <w:tc>
          <w:tcPr>
            <w:tcW w:w="47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异形创意拍照背景板（6*3m）</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音响系统</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线阵音响4+2+2（带返听2支）</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 xml:space="preserve">套 </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4"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配套设备1组（64路调音台、无线话筒、收音器）</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 xml:space="preserve">套 </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主会场、赛道、功能区</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普通帐篷（3*3m 主会场、功能区、赛道补给）</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顶</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帐篷眉头（3*0.3m）</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起终点桌椅（各服务点1张桌子2把椅子）</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 xml:space="preserve">套 </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刀旗（注水座，5米）</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面</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A板隔离（1m*2m，隔离）</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9"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指引牌（0.6m*0.8m，公里牌、指引牌）</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雪糕筒（含反光、流线导向、路口管制用）</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起跑带（含画面8*0.4m)</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发言台（含画面 1m高）</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开场热场表演1（上午，下午各一场）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开场表演2（上午、下午各一场）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场</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主持人（含彩排）</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礼仪小姐（含服装）</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音响师、大屏师（含彩排）</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人工运输（含安装、拆卸、调整）</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88"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对讲机租赁（用2天）</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部</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工作证（医疗人员、工作人员、志愿者、安保）</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73"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户外骑行市集</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骑行台体验赛+骑行技巧PK挑战活动奖品</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4"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骑行历史文化展示区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打卡点、奖品</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租赁补给点桌椅：各个补给点4套，帐篷4顶，1张桌子2把椅子/套，2个补给点。</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 xml:space="preserve">套 </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抽奖奖品</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份</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宣传报道</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1-2分钟宣传视频（2条片子，活动前+活动后）</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9"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邀约KOL选手：骑行KOL选手，各平台运动、旅游类型KOL</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名</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摄影师3人，摄像师2人，无人机师1人</w:t>
            </w:r>
          </w:p>
        </w:tc>
        <w:tc>
          <w:tcPr>
            <w:tcW w:w="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活动参与者补给</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活动用水550ml 100箱</w:t>
            </w:r>
          </w:p>
        </w:tc>
        <w:tc>
          <w:tcPr>
            <w:tcW w:w="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箱</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功能饮料600ml100箱</w:t>
            </w:r>
          </w:p>
        </w:tc>
        <w:tc>
          <w:tcPr>
            <w:tcW w:w="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箱</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活动补给（蛋糕、面包等）</w:t>
            </w:r>
          </w:p>
        </w:tc>
        <w:tc>
          <w:tcPr>
            <w:tcW w:w="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份</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活动参与者物资</w:t>
            </w: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活动T恤：骑游活动参与者（1000人）、志愿者（100人）、工作人员（40人）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件</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1"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活动水壶：骑游活动参与者1000人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件</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纪念背包：活动参与者（1000人）、志愿者（100人）、工作人员（40人）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件</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定制号码牌</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张</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活动奖牌：骑游活动参与者（1000人）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枚</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71" w:hRule="atLeast"/>
        </w:trPr>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工作人员劳务费</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40个工作人员：工作周期为1天，每天劳务费300元</w:t>
            </w:r>
          </w:p>
        </w:tc>
        <w:tc>
          <w:tcPr>
            <w:tcW w:w="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餐饮保障</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餐饮保障（医疗人员10人、工作人员40人、志愿者100人、安保人员200人，）</w:t>
            </w:r>
          </w:p>
        </w:tc>
        <w:tc>
          <w:tcPr>
            <w:tcW w:w="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份</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71" w:hRule="atLeast"/>
        </w:trPr>
        <w:tc>
          <w:tcPr>
            <w:tcW w:w="12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报名系统</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线上报名系统及合作平台</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（如搭建平台）</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医疗保障</w:t>
            </w:r>
          </w:p>
        </w:tc>
        <w:tc>
          <w:tcPr>
            <w:tcW w:w="4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医护人员10名、租用5台AED、急救包、2台救护车</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租赁救援自行车10辆和电助力车10辆</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辆</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安保费用</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铁马的搬运、看护、摆放、回收</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c>
          <w:tcPr>
            <w:tcW w:w="7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安保人员：维持现场秩序（全日）</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人</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安保物资采购费：警戒带、扎带等</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VI设计</w:t>
            </w: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活动主kv、选手装备设计、定制异性奖牌设计</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微软雅黑" w:hAnsi="微软雅黑" w:eastAsia="微软雅黑" w:cs="微软雅黑"/>
                <w:i w:val="0"/>
                <w:iCs w:val="0"/>
                <w:color w:val="000000"/>
                <w:sz w:val="22"/>
                <w:szCs w:val="22"/>
                <w:u w:val="none"/>
              </w:rPr>
            </w:pPr>
          </w:p>
        </w:tc>
        <w:tc>
          <w:tcPr>
            <w:tcW w:w="472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线上系统延伸设计</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9" w:hRule="atLeast"/>
        </w:trPr>
        <w:tc>
          <w:tcPr>
            <w:tcW w:w="88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26"/>
                <w:szCs w:val="26"/>
                <w:u w:val="none"/>
              </w:rPr>
            </w:pPr>
            <w:r>
              <w:rPr>
                <w:rFonts w:hint="eastAsia" w:ascii="微软雅黑" w:hAnsi="微软雅黑" w:eastAsia="微软雅黑" w:cs="微软雅黑"/>
                <w:i w:val="0"/>
                <w:iCs w:val="0"/>
                <w:color w:val="000000"/>
                <w:sz w:val="22"/>
                <w:szCs w:val="22"/>
                <w:u w:val="none"/>
                <w:lang w:val="en-US" w:eastAsia="zh-CN"/>
              </w:rPr>
              <w:t>供应商报价：_______万元（以万元为单位，最多保留两位小数）</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b w:val="0"/>
          <w:bCs/>
          <w:sz w:val="32"/>
          <w:szCs w:val="32"/>
          <w:highlight w:val="none"/>
          <w:lang w:eastAsia="zh-CN"/>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FF0000"/>
          <w:sz w:val="32"/>
          <w:szCs w:val="32"/>
          <w:highlight w:val="yellow"/>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cs="仿宋"/>
          <w:color w:val="auto"/>
          <w:sz w:val="32"/>
          <w:szCs w:val="32"/>
          <w:highlight w:val="none"/>
          <w:lang w:eastAsia="zh-CN"/>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7"/>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7"/>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六、选定</w:t>
      </w:r>
      <w:r>
        <w:rPr>
          <w:rFonts w:hint="eastAsia" w:ascii="黑体" w:hAnsi="黑体" w:eastAsia="黑体" w:cs="黑体"/>
          <w:color w:val="auto"/>
          <w:sz w:val="32"/>
          <w:szCs w:val="32"/>
          <w:highlight w:val="none"/>
        </w:rPr>
        <w:t>供应商方法</w:t>
      </w:r>
    </w:p>
    <w:p>
      <w:pPr>
        <w:keepNext w:val="0"/>
        <w:keepLines w:val="0"/>
        <w:pageBreakBefore w:val="0"/>
        <w:tabs>
          <w:tab w:val="left" w:pos="1820"/>
        </w:tabs>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rPr>
          <w:rFonts w:hint="eastAsia" w:ascii="仿宋_GB2312" w:hAnsi="仿宋" w:eastAsia="仿宋_GB2312"/>
          <w:color w:val="auto"/>
          <w:sz w:val="32"/>
          <w:highlight w:val="none"/>
          <w:lang w:eastAsia="zh-CN"/>
        </w:rPr>
      </w:pPr>
      <w:r>
        <w:rPr>
          <w:rFonts w:hint="eastAsia" w:ascii="仿宋_GB2312" w:hAnsi="仿宋" w:eastAsia="仿宋_GB2312"/>
          <w:color w:val="auto"/>
          <w:sz w:val="32"/>
          <w:highlight w:val="none"/>
          <w:lang w:eastAsia="zh-CN"/>
        </w:rPr>
        <w:t>采用公开征集采购方式，以综合评分</w:t>
      </w:r>
      <w:r>
        <w:rPr>
          <w:rFonts w:hint="eastAsia" w:ascii="仿宋_GB2312" w:hAnsi="仿宋" w:eastAsia="仿宋_GB2312"/>
          <w:color w:val="auto"/>
          <w:sz w:val="32"/>
          <w:highlight w:val="none"/>
        </w:rPr>
        <w:t>法</w:t>
      </w:r>
      <w:r>
        <w:rPr>
          <w:rFonts w:hint="eastAsia" w:ascii="仿宋_GB2312" w:hAnsi="仿宋" w:eastAsia="仿宋_GB2312"/>
          <w:color w:val="auto"/>
          <w:sz w:val="32"/>
          <w:highlight w:val="none"/>
          <w:lang w:eastAsia="zh-CN"/>
        </w:rPr>
        <w:t>确定供应商。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七、评分要求</w:t>
      </w:r>
    </w:p>
    <w:p>
      <w:pPr>
        <w:pStyle w:val="16"/>
        <w:keepNext w:val="0"/>
        <w:keepLines w:val="0"/>
        <w:pageBreakBefore w:val="0"/>
        <w:kinsoku/>
        <w:wordWrap/>
        <w:overflowPunct/>
        <w:topLinePunct w:val="0"/>
        <w:autoSpaceDE/>
        <w:autoSpaceDN/>
        <w:bidi w:val="0"/>
        <w:spacing w:line="560" w:lineRule="exact"/>
        <w:ind w:left="0" w:leftChars="0" w:right="0" w:rightChars="0" w:firstLine="640" w:firstLineChars="200"/>
        <w:textAlignment w:val="auto"/>
        <w:rPr>
          <w:rFonts w:hint="eastAsia" w:ascii="楷体" w:hAnsi="楷体" w:eastAsia="楷体" w:cs="楷体"/>
          <w:b w:val="0"/>
          <w:bCs/>
          <w:color w:val="000000"/>
          <w:sz w:val="32"/>
          <w:szCs w:val="32"/>
          <w:lang w:eastAsia="zh-CN"/>
        </w:rPr>
      </w:pPr>
      <w:r>
        <w:rPr>
          <w:rFonts w:hint="eastAsia" w:ascii="楷体" w:hAnsi="楷体" w:eastAsia="楷体" w:cs="楷体"/>
          <w:b w:val="0"/>
          <w:bCs/>
          <w:color w:val="000000"/>
          <w:sz w:val="32"/>
          <w:szCs w:val="32"/>
          <w:lang w:eastAsia="zh-CN"/>
        </w:rPr>
        <w:t>（一）评分规则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仿宋_GB2312"/>
          <w:bCs/>
          <w:color w:val="000000"/>
          <w:sz w:val="32"/>
          <w:szCs w:val="32"/>
        </w:rPr>
      </w:pPr>
      <w:r>
        <w:rPr>
          <w:rFonts w:hint="eastAsia" w:ascii="仿宋_GB2312" w:eastAsia="仿宋_GB2312"/>
          <w:color w:val="000000"/>
          <w:sz w:val="32"/>
          <w:szCs w:val="32"/>
        </w:rPr>
        <w:t>采取综合评分标准，</w:t>
      </w:r>
      <w:r>
        <w:rPr>
          <w:rFonts w:hint="eastAsia" w:ascii="仿宋_GB2312" w:eastAsia="仿宋_GB2312"/>
          <w:color w:val="000000"/>
          <w:sz w:val="32"/>
          <w:szCs w:val="32"/>
          <w:lang w:eastAsia="zh-CN"/>
        </w:rPr>
        <w:t>平均分</w:t>
      </w:r>
      <w:r>
        <w:rPr>
          <w:rFonts w:hint="eastAsia" w:ascii="仿宋_GB2312" w:eastAsia="仿宋_GB2312"/>
          <w:color w:val="000000"/>
          <w:sz w:val="32"/>
          <w:szCs w:val="32"/>
        </w:rPr>
        <w:t>最高的投标人为本项目中标人。</w:t>
      </w:r>
    </w:p>
    <w:p>
      <w:pPr>
        <w:pStyle w:val="16"/>
        <w:spacing w:line="560" w:lineRule="exact"/>
        <w:ind w:firstLine="640" w:firstLineChars="200"/>
        <w:jc w:val="both"/>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rPr>
        <w:t>（二）评分权重</w:t>
      </w:r>
    </w:p>
    <w:tbl>
      <w:tblPr>
        <w:tblStyle w:val="13"/>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6"/>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b w:val="0"/>
                <w:bCs/>
                <w:color w:val="auto"/>
                <w:szCs w:val="24"/>
                <w:highlight w:val="none"/>
              </w:rPr>
              <w:t>分</w:t>
            </w:r>
          </w:p>
        </w:tc>
      </w:tr>
    </w:tbl>
    <w:p>
      <w:pPr>
        <w:pStyle w:val="16"/>
        <w:spacing w:line="560" w:lineRule="exact"/>
        <w:ind w:firstLine="640" w:firstLineChars="200"/>
        <w:jc w:val="both"/>
        <w:rPr>
          <w:rFonts w:ascii="仿宋_GB2312" w:eastAsia="仿宋_GB2312"/>
          <w:color w:val="auto"/>
          <w:sz w:val="32"/>
          <w:szCs w:val="32"/>
          <w:highlight w:val="none"/>
        </w:rPr>
      </w:pPr>
      <w:r>
        <w:rPr>
          <w:rFonts w:hint="eastAsia" w:ascii="楷体_GB2312" w:hAnsi="楷体_GB2312" w:eastAsia="楷体_GB2312" w:cs="楷体_GB2312"/>
          <w:b w:val="0"/>
          <w:bCs/>
          <w:color w:val="auto"/>
          <w:sz w:val="32"/>
          <w:szCs w:val="32"/>
          <w:highlight w:val="none"/>
        </w:rPr>
        <w:t>（三）评分标准</w:t>
      </w: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1255"/>
        <w:gridCol w:w="6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报价</w:t>
            </w:r>
          </w:p>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vertAlign w:val="baseline"/>
                <w:lang w:val="en-US" w:eastAsia="zh-CN"/>
              </w:rPr>
              <w:t>30分</w:t>
            </w:r>
            <w:r>
              <w:rPr>
                <w:rFonts w:hint="eastAsia" w:ascii="仿宋_GB2312" w:hAnsi="仿宋_GB2312" w:eastAsia="仿宋_GB2312" w:cs="仿宋_GB2312"/>
                <w:color w:val="auto"/>
                <w:sz w:val="24"/>
                <w:szCs w:val="24"/>
                <w:highlight w:val="none"/>
                <w:vertAlign w:val="baseline"/>
                <w:lang w:eastAsia="zh-CN"/>
              </w:rPr>
              <w:t>）</w:t>
            </w:r>
          </w:p>
        </w:tc>
        <w:tc>
          <w:tcPr>
            <w:tcW w:w="693" w:type="pct"/>
            <w:noWrap w:val="0"/>
            <w:vAlign w:val="top"/>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spacing w:line="5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因素</w:t>
            </w:r>
          </w:p>
        </w:tc>
        <w:tc>
          <w:tcPr>
            <w:tcW w:w="3643" w:type="pc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693" w:type="pct"/>
            <w:noWrap w:val="0"/>
            <w:vAlign w:val="center"/>
          </w:tcPr>
          <w:p>
            <w:pPr>
              <w:topLinePunct/>
              <w:snapToGrid w:val="0"/>
              <w:spacing w:line="56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价格</w:t>
            </w:r>
          </w:p>
        </w:tc>
        <w:tc>
          <w:tcPr>
            <w:tcW w:w="3643" w:type="pct"/>
            <w:noWrap w:val="0"/>
            <w:vAlign w:val="center"/>
          </w:tcPr>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sz w:val="24"/>
                <w:szCs w:val="24"/>
                <w:lang w:eastAsia="zh-CN"/>
              </w:rPr>
              <w:t>以本次报价或投标人所报的有效报价中的最低价作为基准报价。投标人报价得分=（基准价/投标人报价）*30分。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商务</w:t>
            </w:r>
          </w:p>
          <w:p>
            <w:pPr>
              <w:pStyle w:val="6"/>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部分</w:t>
            </w:r>
          </w:p>
          <w:p>
            <w:pPr>
              <w:pStyle w:val="6"/>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693" w:type="pct"/>
            <w:noWrap w:val="0"/>
            <w:vAlign w:val="top"/>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因素</w:t>
            </w:r>
          </w:p>
        </w:tc>
        <w:tc>
          <w:tcPr>
            <w:tcW w:w="3643" w:type="pc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3" w:type="pct"/>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693" w:type="pc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同类项目经验（</w:t>
            </w:r>
            <w:r>
              <w:rPr>
                <w:rFonts w:hint="eastAsia" w:ascii="仿宋_GB2312" w:hAnsi="仿宋_GB2312" w:eastAsia="仿宋_GB2312" w:cs="仿宋_GB2312"/>
                <w:color w:val="auto"/>
                <w:sz w:val="24"/>
                <w:szCs w:val="24"/>
                <w:highlight w:val="none"/>
                <w:lang w:val="en-US" w:eastAsia="zh-CN"/>
              </w:rPr>
              <w:t>10分</w:t>
            </w:r>
            <w:r>
              <w:rPr>
                <w:rFonts w:hint="eastAsia" w:ascii="仿宋_GB2312" w:hAnsi="仿宋_GB2312" w:eastAsia="仿宋_GB2312" w:cs="仿宋_GB2312"/>
                <w:color w:val="auto"/>
                <w:sz w:val="24"/>
                <w:szCs w:val="24"/>
                <w:highlight w:val="none"/>
                <w:lang w:eastAsia="zh-CN"/>
              </w:rPr>
              <w:t>）</w:t>
            </w:r>
          </w:p>
        </w:tc>
        <w:tc>
          <w:tcPr>
            <w:tcW w:w="3643" w:type="pct"/>
            <w:noWrap w:val="0"/>
            <w:vAlign w:val="top"/>
          </w:tcPr>
          <w:p>
            <w:pPr>
              <w:topLinePunct/>
              <w:snapToGrid w:val="0"/>
              <w:spacing w:line="5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（一）评审内容：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投标人自202</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年1月1日至本项目投标截止日（以合同签订日期为准），</w:t>
            </w:r>
            <w:r>
              <w:rPr>
                <w:rFonts w:hint="eastAsia" w:ascii="仿宋_GB2312" w:hAnsi="仿宋_GB2312" w:eastAsia="仿宋_GB2312" w:cs="仿宋_GB2312"/>
                <w:color w:val="auto"/>
                <w:sz w:val="24"/>
                <w:szCs w:val="24"/>
                <w:highlight w:val="none"/>
                <w:lang w:val="en-US" w:eastAsia="zh-CN"/>
              </w:rPr>
              <w:t>每提供一项组织文体活动</w:t>
            </w:r>
            <w:r>
              <w:rPr>
                <w:rFonts w:hint="eastAsia" w:ascii="仿宋_GB2312" w:hAnsi="仿宋_GB2312" w:eastAsia="仿宋_GB2312" w:cs="仿宋_GB2312"/>
                <w:color w:val="auto"/>
                <w:sz w:val="24"/>
                <w:szCs w:val="24"/>
                <w:highlight w:val="none"/>
                <w:lang w:eastAsia="zh-CN"/>
              </w:rPr>
              <w:t>同类业绩得</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w:t>
            </w:r>
            <w:r>
              <w:rPr>
                <w:rFonts w:hint="eastAsia" w:ascii="仿宋_GB2312" w:hAnsi="仿宋_GB2312" w:eastAsia="仿宋_GB2312" w:cs="仿宋_GB2312"/>
                <w:color w:val="auto"/>
                <w:sz w:val="24"/>
                <w:szCs w:val="24"/>
                <w:highlight w:val="none"/>
                <w:lang w:val="en-US" w:eastAsia="zh-CN"/>
              </w:rPr>
              <w:t>。</w:t>
            </w:r>
          </w:p>
          <w:p/>
          <w:p>
            <w:pPr>
              <w:topLinePunct/>
              <w:snapToGrid w:val="0"/>
              <w:spacing w:line="5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每项业绩按以下要求提供完整准确的证明文件，一个合同计算一个业绩，一年一签的续签合同只计算一个业绩：</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合同关键页（关键信息包括但不仅限于合同的项目名称、服务内容、合同服务的起止时间、合同双方的盖章、签订日期等）；</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未提供证明材料或者提供的证明材料不符合要求或提供的证明材料不清晰导致采购小组无法辨认的，不得分。</w:t>
            </w:r>
          </w:p>
          <w:p/>
          <w:p/>
          <w:p/>
          <w:p>
            <w:pPr>
              <w:topLinePunct/>
              <w:snapToGrid w:val="0"/>
              <w:spacing w:line="560" w:lineRule="exact"/>
              <w:jc w:val="both"/>
              <w:rPr>
                <w:rFonts w:hint="default" w:ascii="仿宋_GB2312" w:hAnsi="仿宋_GB2312" w:eastAsia="仿宋_GB2312" w:cs="仿宋_GB2312"/>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693" w:type="pct"/>
            <w:noWrap w:val="0"/>
            <w:vAlign w:val="center"/>
          </w:tcPr>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拟安排项目团队成员</w:t>
            </w:r>
          </w:p>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（10分）</w:t>
            </w:r>
          </w:p>
        </w:tc>
        <w:tc>
          <w:tcPr>
            <w:tcW w:w="3643" w:type="pct"/>
            <w:noWrap w:val="0"/>
            <w:vAlign w:val="center"/>
          </w:tcPr>
          <w:p>
            <w:pPr>
              <w:pStyle w:val="11"/>
              <w:widowControl/>
              <w:numPr>
                <w:ilvl w:val="0"/>
                <w:numId w:val="1"/>
              </w:numPr>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评审内容</w:t>
            </w:r>
          </w:p>
          <w:p>
            <w:pPr>
              <w:pStyle w:val="11"/>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拟安排的项目团队成员情况：</w:t>
            </w:r>
          </w:p>
          <w:p>
            <w:pPr>
              <w:pStyle w:val="11"/>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w:t>
            </w:r>
            <w:r>
              <w:rPr>
                <w:rFonts w:hint="eastAsia" w:ascii="仿宋_GB2312" w:hAnsi="仿宋_GB2312" w:eastAsia="仿宋_GB2312" w:cs="仿宋_GB2312"/>
                <w:color w:val="auto"/>
                <w:sz w:val="24"/>
                <w:szCs w:val="24"/>
                <w:highlight w:val="none"/>
                <w:lang w:val="en-US" w:eastAsia="zh-CN"/>
              </w:rPr>
              <w:t>体育</w:t>
            </w:r>
            <w:r>
              <w:rPr>
                <w:rFonts w:hint="eastAsia" w:ascii="仿宋_GB2312" w:hAnsi="仿宋_GB2312" w:eastAsia="仿宋_GB2312" w:cs="仿宋_GB2312"/>
                <w:color w:val="auto"/>
                <w:sz w:val="24"/>
                <w:szCs w:val="24"/>
                <w:highlight w:val="none"/>
                <w:lang w:eastAsia="zh-CN"/>
              </w:rPr>
              <w:t>专业本科（或以上）学历，每提供上述一类专业本科（或以上）学历的得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lang w:eastAsia="zh-CN"/>
              </w:rPr>
              <w:t>分（注：同一人不同学历不累计分值）；</w:t>
            </w:r>
          </w:p>
          <w:p>
            <w:pPr>
              <w:pStyle w:val="11"/>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具有</w:t>
            </w:r>
            <w:r>
              <w:rPr>
                <w:rFonts w:hint="eastAsia" w:ascii="仿宋_GB2312" w:hAnsi="仿宋_GB2312" w:eastAsia="仿宋_GB2312" w:cs="仿宋_GB2312"/>
                <w:color w:val="auto"/>
                <w:sz w:val="24"/>
                <w:szCs w:val="24"/>
                <w:highlight w:val="none"/>
                <w:lang w:val="en-US" w:eastAsia="zh-CN"/>
              </w:rPr>
              <w:t>骑行</w:t>
            </w:r>
            <w:r>
              <w:rPr>
                <w:rFonts w:hint="eastAsia" w:ascii="仿宋_GB2312" w:hAnsi="仿宋_GB2312" w:eastAsia="仿宋_GB2312" w:cs="仿宋_GB2312"/>
                <w:color w:val="auto"/>
                <w:sz w:val="24"/>
                <w:szCs w:val="24"/>
                <w:highlight w:val="none"/>
                <w:lang w:eastAsia="zh-CN"/>
              </w:rPr>
              <w:t>有关工作经验，每提供一人得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w:t>
            </w:r>
          </w:p>
          <w:p>
            <w:pPr>
              <w:pStyle w:val="11"/>
              <w:widowControl/>
              <w:topLinePunct w:val="0"/>
              <w:snapToGrid w:val="0"/>
              <w:spacing w:line="5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同一人具备1至</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项情况的可</w:t>
            </w:r>
            <w:r>
              <w:rPr>
                <w:rFonts w:hint="eastAsia" w:ascii="仿宋_GB2312" w:hAnsi="仿宋_GB2312" w:eastAsia="仿宋_GB2312" w:cs="仿宋_GB2312"/>
                <w:color w:val="auto"/>
                <w:sz w:val="24"/>
                <w:szCs w:val="24"/>
                <w:highlight w:val="none"/>
                <w:lang w:val="en-US" w:eastAsia="zh-CN"/>
              </w:rPr>
              <w:t>重复得</w:t>
            </w:r>
            <w:r>
              <w:rPr>
                <w:rFonts w:hint="eastAsia" w:ascii="仿宋_GB2312" w:hAnsi="仿宋_GB2312" w:eastAsia="仿宋_GB2312" w:cs="仿宋_GB2312"/>
                <w:color w:val="auto"/>
                <w:sz w:val="24"/>
                <w:szCs w:val="24"/>
                <w:highlight w:val="none"/>
                <w:lang w:eastAsia="zh-CN"/>
              </w:rPr>
              <w:t>分，本项最高得</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分。（若为团队人数的话，至少应该</w:t>
            </w:r>
            <w:r>
              <w:rPr>
                <w:rFonts w:hint="eastAsia" w:ascii="仿宋_GB2312" w:hAnsi="仿宋_GB2312" w:eastAsia="仿宋_GB2312" w:cs="仿宋_GB2312"/>
                <w:color w:val="auto"/>
                <w:sz w:val="24"/>
                <w:szCs w:val="24"/>
                <w:highlight w:val="none"/>
                <w:lang w:val="en-US" w:eastAsia="zh-CN"/>
              </w:rPr>
              <w:t>2个人或者以上</w:t>
            </w:r>
            <w:r>
              <w:rPr>
                <w:rFonts w:hint="eastAsia" w:ascii="仿宋_GB2312" w:hAnsi="仿宋_GB2312" w:eastAsia="仿宋_GB2312" w:cs="仿宋_GB2312"/>
                <w:color w:val="auto"/>
                <w:sz w:val="24"/>
                <w:szCs w:val="24"/>
                <w:highlight w:val="none"/>
                <w:lang w:eastAsia="zh-CN"/>
              </w:rPr>
              <w:t>）</w:t>
            </w:r>
          </w:p>
          <w:p>
            <w:pPr>
              <w:pStyle w:val="11"/>
              <w:widowControl/>
              <w:topLinePunct w:val="0"/>
              <w:snapToGrid w:val="0"/>
              <w:spacing w:line="5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pStyle w:val="11"/>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提供毕业证书扫描件、学历信息在学信网查询结果截图，原件备查。</w:t>
            </w:r>
          </w:p>
          <w:p>
            <w:pPr>
              <w:pStyle w:val="11"/>
              <w:widowControl/>
              <w:topLinePunct w:val="0"/>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工作经验</w:t>
            </w:r>
            <w:r>
              <w:rPr>
                <w:rFonts w:hint="eastAsia" w:ascii="仿宋_GB2312" w:hAnsi="仿宋_GB2312" w:eastAsia="仿宋_GB2312" w:cs="仿宋_GB2312"/>
                <w:color w:val="auto"/>
                <w:sz w:val="24"/>
                <w:szCs w:val="24"/>
                <w:highlight w:val="none"/>
              </w:rPr>
              <w:t>需提供合同关键页或其他可以证明的材料</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合同关键（关键信息包括但不仅限于合同的项目名称、</w:t>
            </w:r>
            <w:r>
              <w:rPr>
                <w:rFonts w:hint="eastAsia" w:ascii="仿宋_GB2312" w:hAnsi="仿宋_GB2312" w:eastAsia="仿宋_GB2312" w:cs="仿宋_GB2312"/>
                <w:color w:val="auto"/>
                <w:sz w:val="24"/>
                <w:szCs w:val="24"/>
                <w:highlight w:val="none"/>
                <w:lang w:val="en-US" w:eastAsia="zh-CN"/>
              </w:rPr>
              <w:t>项目负责人/团队成员名字、</w:t>
            </w:r>
            <w:r>
              <w:rPr>
                <w:rFonts w:hint="eastAsia" w:ascii="仿宋_GB2312" w:hAnsi="仿宋_GB2312" w:eastAsia="仿宋_GB2312" w:cs="仿宋_GB2312"/>
                <w:color w:val="auto"/>
                <w:sz w:val="24"/>
                <w:szCs w:val="24"/>
                <w:highlight w:val="none"/>
              </w:rPr>
              <w:t>服务内容、</w:t>
            </w:r>
            <w:r>
              <w:rPr>
                <w:rFonts w:hint="eastAsia" w:ascii="仿宋_GB2312" w:hAnsi="仿宋_GB2312" w:eastAsia="仿宋_GB2312" w:cs="仿宋_GB2312"/>
                <w:color w:val="auto"/>
                <w:sz w:val="24"/>
                <w:szCs w:val="24"/>
                <w:highlight w:val="none"/>
                <w:lang w:val="en-US" w:eastAsia="zh-CN"/>
              </w:rPr>
              <w:t>合同双方盖章页</w:t>
            </w:r>
            <w:r>
              <w:rPr>
                <w:rFonts w:hint="eastAsia" w:ascii="仿宋_GB2312" w:hAnsi="仿宋_GB2312" w:eastAsia="仿宋_GB2312" w:cs="仿宋_GB2312"/>
                <w:color w:val="auto"/>
                <w:sz w:val="24"/>
                <w:szCs w:val="24"/>
                <w:highlight w:val="none"/>
              </w:rPr>
              <w:t>），以及满足评分要求的服务内容。</w:t>
            </w:r>
          </w:p>
          <w:p>
            <w:pPr>
              <w:pStyle w:val="11"/>
              <w:widowControl/>
              <w:topLinePunct w:val="0"/>
              <w:snapToGrid/>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以上证明文件原件备查，</w:t>
            </w:r>
            <w:r>
              <w:rPr>
                <w:rFonts w:hint="eastAsia" w:ascii="仿宋_GB2312" w:hAnsi="仿宋_GB2312" w:eastAsia="仿宋_GB2312" w:cs="仿宋_GB2312"/>
                <w:color w:val="auto"/>
                <w:sz w:val="24"/>
                <w:szCs w:val="24"/>
                <w:highlight w:val="none"/>
                <w:lang w:eastAsia="zh-CN"/>
              </w:rPr>
              <w:t>未提供或未按要求提供或提供的不清晰导致采购小组无法判断的，不得分。</w:t>
            </w:r>
          </w:p>
          <w:p>
            <w:pPr>
              <w:pStyle w:val="11"/>
              <w:widowControl/>
              <w:topLinePunct w:val="0"/>
              <w:snapToGrid/>
              <w:spacing w:line="360" w:lineRule="exact"/>
              <w:jc w:val="both"/>
              <w:rPr>
                <w:rFonts w:hint="eastAsia" w:ascii="仿宋_GB2312" w:hAnsi="仿宋_GB2312" w:eastAsia="仿宋_GB2312" w:cs="仿宋_GB2312"/>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693" w:type="pct"/>
            <w:noWrap w:val="0"/>
            <w:vAlign w:val="center"/>
          </w:tcPr>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项目完成（服务期满）</w:t>
            </w:r>
          </w:p>
          <w:p>
            <w:pPr>
              <w:spacing w:line="5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lang w:val="en-US" w:eastAsia="zh-CN"/>
              </w:rPr>
              <w:t>后的服务承诺（5分）</w:t>
            </w:r>
          </w:p>
        </w:tc>
        <w:tc>
          <w:tcPr>
            <w:tcW w:w="3643" w:type="pct"/>
            <w:noWrap w:val="0"/>
            <w:vAlign w:val="center"/>
          </w:tcPr>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adjustRightInd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adjustRightInd w:val="0"/>
              <w:snapToGrid w:val="0"/>
              <w:spacing w:line="5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2.配合项目检查审计等事项。</w:t>
            </w:r>
          </w:p>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topLinePunct/>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提供</w:t>
            </w:r>
            <w:r>
              <w:rPr>
                <w:rFonts w:hint="eastAsia" w:ascii="仿宋_GB2312" w:hAnsi="仿宋_GB2312" w:eastAsia="仿宋_GB2312" w:cs="仿宋_GB2312"/>
                <w:color w:val="auto"/>
                <w:sz w:val="24"/>
                <w:szCs w:val="24"/>
                <w:highlight w:val="none"/>
                <w:lang w:eastAsia="zh-CN"/>
              </w:rPr>
              <w:t>服务</w:t>
            </w:r>
            <w:r>
              <w:rPr>
                <w:rFonts w:hint="eastAsia" w:ascii="仿宋_GB2312" w:hAnsi="仿宋_GB2312" w:eastAsia="仿宋_GB2312" w:cs="仿宋_GB2312"/>
                <w:color w:val="auto"/>
                <w:sz w:val="24"/>
                <w:szCs w:val="24"/>
                <w:highlight w:val="none"/>
              </w:rPr>
              <w:t>承诺函（格式自拟）并加盖投标人公章，未提供承诺或承诺内容不满足要求不得分。</w:t>
            </w:r>
          </w:p>
          <w:p>
            <w:pPr>
              <w:pStyle w:val="6"/>
              <w:spacing w:line="560" w:lineRule="exact"/>
              <w:jc w:val="both"/>
              <w:rPr>
                <w:rFonts w:hint="eastAsia" w:ascii="仿宋_GB2312" w:hAnsi="仿宋_GB2312" w:eastAsia="仿宋_GB2312" w:cs="仿宋_GB2312"/>
                <w:color w:val="auto"/>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color w:val="auto"/>
                <w:sz w:val="24"/>
                <w:szCs w:val="24"/>
                <w:highlight w:val="none"/>
                <w:vertAlign w:val="baseline"/>
                <w:lang w:val="en-US" w:eastAsia="zh-CN"/>
              </w:rPr>
              <w:t>分）</w:t>
            </w:r>
          </w:p>
          <w:p>
            <w:pPr>
              <w:spacing w:line="560" w:lineRule="exact"/>
              <w:jc w:val="center"/>
              <w:rPr>
                <w:rFonts w:hint="default" w:ascii="仿宋_GB2312" w:hAnsi="仿宋_GB2312" w:eastAsia="仿宋_GB2312" w:cs="仿宋_GB2312"/>
                <w:color w:val="auto"/>
                <w:sz w:val="24"/>
                <w:szCs w:val="24"/>
                <w:highlight w:val="none"/>
                <w:vertAlign w:val="baseline"/>
                <w:lang w:val="en-US" w:eastAsia="zh-CN"/>
              </w:rPr>
            </w:pPr>
          </w:p>
        </w:tc>
        <w:tc>
          <w:tcPr>
            <w:tcW w:w="693" w:type="pct"/>
            <w:noWrap w:val="0"/>
            <w:vAlign w:val="center"/>
          </w:tcPr>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实</w:t>
            </w:r>
            <w:r>
              <w:rPr>
                <w:rFonts w:hint="eastAsia" w:ascii="仿宋_GB2312" w:hAnsi="仿宋_GB2312" w:eastAsia="仿宋_GB2312" w:cs="仿宋_GB2312"/>
                <w:color w:val="auto"/>
                <w:sz w:val="24"/>
                <w:szCs w:val="24"/>
                <w:highlight w:val="none"/>
                <w:lang w:val="en-US" w:eastAsia="zh-CN"/>
              </w:rPr>
              <w:t>施</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方案</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（25分）</w:t>
            </w:r>
          </w:p>
        </w:tc>
        <w:tc>
          <w:tcPr>
            <w:tcW w:w="3643" w:type="pct"/>
            <w:noWrap w:val="0"/>
            <w:vAlign w:val="top"/>
          </w:tcPr>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（一）评审内容：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考察内容: 根据项目特点，编制实施方案，提供以下内容：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1.项目整体规划，含活动组织策划、前期筹备等内容；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2.活动宣传，含报道撰稿、照片记录等内容；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3.活动应急处置预案，含突发情况的熔断机制设置；</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4.活动医疗用品保障，含医疗用品等内容；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5.活动人员配置规划，含教练员、工作人员的职责安排等内容；        </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6.活动后勤保障，含比活动期间，相关的物资及需求须及时补给。</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（二）评审依据：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满足以上任意一项要求得3分，最高得18分，在此基础上，</w:t>
            </w:r>
            <w:r>
              <w:rPr>
                <w:rFonts w:hint="eastAsia" w:ascii="仿宋_GB2312" w:hAnsi="仿宋_GB2312" w:eastAsia="仿宋_GB2312" w:cs="仿宋_GB2312"/>
                <w:color w:val="auto"/>
                <w:sz w:val="24"/>
                <w:szCs w:val="24"/>
                <w:highlight w:val="none"/>
                <w:lang w:eastAsia="zh-CN"/>
              </w:rPr>
              <w:t>根据供应商的具体响应内容按照量化的评审因素指标进一步评审，设定优、良、中、差四个评分标准：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1.优：项目实施方案内容全面、具体、针对性强、科学合理、可操作性强得7分；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2.良：项目实施方案内容较丰富、较具体、针对性较强、较科学合理、可操作性较强得5分；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3.中：项目实施方案内容、针对性、可操作性一般得3分；</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663" w:type="pct"/>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693" w:type="pct"/>
            <w:noWrap w:val="0"/>
            <w:vAlign w:val="center"/>
          </w:tcPr>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项目重点难点分析、应对措施及相关的合理化建议</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（20分）</w:t>
            </w:r>
          </w:p>
        </w:tc>
        <w:tc>
          <w:tcPr>
            <w:tcW w:w="3643" w:type="pct"/>
            <w:noWrap w:val="0"/>
            <w:vAlign w:val="top"/>
          </w:tcPr>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（一）评审内容：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考察对项目工作量、可完成度等重点难点问题的识别和分析能力，并就识别出的重点难点提出可行的应对措施及合理化建议。</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包括但不限于以下内容：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1.详细阐述本项目存在的重难点问题；</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2.根据项目重难点，详细阐述对应的应对措施；</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3.向招标方提出项目实施具体建议。</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（二）评审依据：</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满足以上任意一项要求得4分，最高得12分，在此基础上，根据供应商的具体响应内容按照量化的评审因素指标进一步评审，设定优、良、中、差四个评分标准：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1.优：以上项目重点难点分析、应对措施及相关的合理化建议的三点内容全面具体、针对性强、可操作性强，加8分；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2.良：以上项目重点难点分析、应对措施及相关的合理化建议的三点内容较丰富、针对性较强、可操作性较强，加6分；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3.中：以上项目重点难点分析、应对措施及相关的合理化建议的三点内容完整性、针对性、可操作性均一般，加4分；</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4.差：其它情况不得分。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color w:val="000000"/>
          <w:sz w:val="32"/>
          <w:szCs w:val="32"/>
          <w:lang w:eastAsia="zh-CN"/>
        </w:rPr>
      </w:pPr>
      <w:r>
        <w:rPr>
          <w:rFonts w:hint="eastAsia" w:ascii="黑体" w:hAnsi="黑体" w:eastAsia="黑体" w:cs="黑体"/>
          <w:color w:val="auto"/>
          <w:sz w:val="32"/>
          <w:szCs w:val="32"/>
          <w:highlight w:val="none"/>
          <w:lang w:val="en-US" w:eastAsia="zh-CN"/>
        </w:rPr>
        <w:t>八、</w:t>
      </w:r>
      <w:r>
        <w:rPr>
          <w:rFonts w:hint="eastAsia" w:ascii="黑体" w:hAnsi="黑体" w:eastAsia="黑体" w:cs="黑体"/>
          <w:color w:val="auto"/>
          <w:sz w:val="32"/>
          <w:szCs w:val="32"/>
          <w:highlight w:val="none"/>
          <w:lang w:eastAsia="zh-CN"/>
        </w:rPr>
        <w:t>供应商提供资料清单（均需每页加盖公章）</w:t>
      </w:r>
    </w:p>
    <w:p>
      <w:pPr>
        <w:spacing w:line="560" w:lineRule="exact"/>
        <w:ind w:firstLine="642" w:firstLineChars="20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b/>
          <w:bCs/>
          <w:color w:val="FF0000"/>
          <w:sz w:val="32"/>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p>
    <w:p>
      <w:pPr>
        <w:pStyle w:val="7"/>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b/>
          <w:bCs/>
          <w:color w:val="FF0000"/>
          <w:sz w:val="32"/>
          <w:highlight w:val="none"/>
          <w:lang w:eastAsia="zh-CN"/>
        </w:rPr>
        <w:t>需按格式提供</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color w:val="auto"/>
          <w:sz w:val="32"/>
          <w:highlight w:val="none"/>
        </w:rPr>
        <w:t>；</w:t>
      </w:r>
    </w:p>
    <w:p>
      <w:pPr>
        <w:pStyle w:val="7"/>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w:t>
      </w:r>
      <w:r>
        <w:rPr>
          <w:rFonts w:hint="eastAsia" w:ascii="仿宋_GB2312" w:hAnsi="仿宋" w:eastAsia="仿宋_GB2312" w:cs="Times New Roman"/>
          <w:b/>
          <w:bCs/>
          <w:color w:val="FF0000"/>
          <w:kern w:val="2"/>
          <w:sz w:val="32"/>
          <w:szCs w:val="24"/>
          <w:highlight w:val="none"/>
          <w:lang w:val="en-US" w:eastAsia="zh-CN" w:bidi="ar-SA"/>
        </w:rPr>
        <w:t>三</w:t>
      </w:r>
      <w:r>
        <w:rPr>
          <w:rFonts w:hint="eastAsia" w:ascii="仿宋_GB2312" w:hAnsi="仿宋" w:eastAsia="仿宋_GB2312" w:cs="Times New Roman"/>
          <w:b/>
          <w:bCs/>
          <w:color w:val="auto"/>
          <w:kern w:val="2"/>
          <w:sz w:val="32"/>
          <w:szCs w:val="24"/>
          <w:highlight w:val="none"/>
          <w:lang w:val="en-US" w:eastAsia="zh-CN" w:bidi="ar-SA"/>
        </w:rPr>
        <w:t>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九、其他注意事项</w:t>
      </w:r>
    </w:p>
    <w:p>
      <w:pPr>
        <w:keepNext w:val="0"/>
        <w:keepLines w:val="0"/>
        <w:widowControl/>
        <w:suppressLineNumbers w:val="0"/>
        <w:ind w:firstLine="640" w:firstLineChars="200"/>
        <w:jc w:val="both"/>
        <w:rPr>
          <w:rFonts w:hint="eastAsia" w:ascii="仿宋_GB2312" w:hAnsi="仿宋" w:eastAsia="仿宋_GB2312" w:cs="Times New Roman"/>
          <w:kern w:val="2"/>
          <w:sz w:val="32"/>
          <w:szCs w:val="24"/>
          <w:lang w:val="en-US" w:eastAsia="zh-CN" w:bidi="ar-SA"/>
        </w:rPr>
      </w:pPr>
      <w:r>
        <w:rPr>
          <w:rFonts w:hint="eastAsia" w:ascii="仿宋_GB2312" w:hAnsi="仿宋" w:eastAsia="仿宋_GB2312" w:cs="Times New Roman"/>
          <w:sz w:val="32"/>
          <w:lang w:val="en-US" w:eastAsia="zh-CN"/>
        </w:rPr>
        <w:t>1.供应商需</w:t>
      </w:r>
      <w:r>
        <w:rPr>
          <w:rFonts w:hint="default" w:ascii="仿宋_GB2312" w:hAnsi="仿宋" w:eastAsia="仿宋_GB2312" w:cs="Times New Roman"/>
          <w:sz w:val="32"/>
          <w:lang w:val="en-US" w:eastAsia="zh-CN"/>
        </w:rPr>
        <w:t>深圳政府采购自行采购系统</w:t>
      </w:r>
      <w:r>
        <w:rPr>
          <w:rFonts w:hint="eastAsia" w:ascii="仿宋_GB2312" w:hAnsi="仿宋" w:eastAsia="仿宋_GB2312" w:cs="Times New Roman"/>
          <w:kern w:val="2"/>
          <w:sz w:val="32"/>
          <w:szCs w:val="24"/>
          <w:lang w:val="en-US" w:eastAsia="zh-CN" w:bidi="ar-SA"/>
        </w:rPr>
        <w:t>完成供应商注册（网址：https://zxcg.szggzy.com/home/index.html），请于本项目投标截止时间前完成注册，否则如中标/成交，可能影响采购结果的发布。</w:t>
      </w:r>
    </w:p>
    <w:p>
      <w:pPr>
        <w:ind w:firstLine="640" w:firstLineChars="200"/>
        <w:rPr>
          <w:rFonts w:hint="default" w:ascii="仿宋_GB2312" w:hAnsi="仿宋" w:eastAsia="仿宋_GB2312" w:cs="Times New Roman"/>
          <w:sz w:val="32"/>
          <w:lang w:val="en-US" w:eastAsia="zh-CN"/>
        </w:rPr>
      </w:pPr>
      <w:r>
        <w:rPr>
          <w:rFonts w:hint="eastAsia" w:ascii="仿宋_GB2312" w:hAnsi="仿宋" w:eastAsia="仿宋_GB2312" w:cs="Times New Roman"/>
          <w:sz w:val="32"/>
          <w:lang w:val="en-US" w:eastAsia="zh-CN"/>
        </w:rPr>
        <w:t>2.</w:t>
      </w:r>
      <w:r>
        <w:rPr>
          <w:rFonts w:hint="eastAsia" w:ascii="仿宋_GB2312" w:hAnsi="仿宋" w:eastAsia="仿宋_GB2312" w:cs="Times New Roman"/>
          <w:sz w:val="32"/>
        </w:rPr>
        <w:t>供应商需</w:t>
      </w:r>
      <w:r>
        <w:rPr>
          <w:rFonts w:hint="eastAsia" w:ascii="仿宋_GB2312" w:hAnsi="仿宋" w:eastAsia="仿宋_GB2312" w:cs="Times New Roman"/>
          <w:sz w:val="32"/>
          <w:lang w:val="en-US" w:eastAsia="zh-CN"/>
        </w:rPr>
        <w:t>以</w:t>
      </w:r>
      <w:r>
        <w:rPr>
          <w:rFonts w:hint="eastAsia" w:ascii="仿宋_GB2312" w:hAnsi="仿宋" w:eastAsia="仿宋_GB2312" w:cs="Times New Roman"/>
          <w:sz w:val="32"/>
        </w:rPr>
        <w:t>邮寄</w:t>
      </w:r>
      <w:r>
        <w:rPr>
          <w:rFonts w:hint="eastAsia" w:ascii="仿宋_GB2312" w:hAnsi="仿宋" w:eastAsia="仿宋_GB2312" w:cs="Times New Roman"/>
          <w:sz w:val="32"/>
          <w:lang w:val="en-US" w:eastAsia="zh-CN"/>
        </w:rPr>
        <w:t>方式提供7</w:t>
      </w:r>
      <w:r>
        <w:rPr>
          <w:rFonts w:hint="eastAsia" w:ascii="仿宋_GB2312" w:hAnsi="仿宋" w:eastAsia="仿宋_GB2312" w:cs="Times New Roman"/>
          <w:sz w:val="32"/>
        </w:rPr>
        <w:t>份密封纸质版投标资料至本单位</w:t>
      </w:r>
      <w:r>
        <w:rPr>
          <w:rFonts w:hint="eastAsia" w:ascii="仿宋_GB2312" w:hAnsi="仿宋" w:eastAsia="仿宋_GB2312" w:cs="Times New Roman"/>
          <w:sz w:val="32"/>
          <w:lang w:eastAsia="zh-CN"/>
        </w:rPr>
        <w:t>，</w:t>
      </w:r>
      <w:r>
        <w:rPr>
          <w:rFonts w:hint="eastAsia" w:ascii="仿宋_GB2312" w:hAnsi="仿宋" w:eastAsia="仿宋_GB2312" w:cs="Times New Roman"/>
          <w:sz w:val="32"/>
          <w:highlight w:val="none"/>
          <w:lang w:val="en-US" w:eastAsia="zh-CN"/>
        </w:rPr>
        <w:t>并在封面备注“2026龙华绿道骑游嘉年华（暂定名）活动项目</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lang w:val="en-US" w:eastAsia="zh-CN"/>
        </w:rPr>
        <w:t>+公司全称+日期+联系人+联系方式”。</w:t>
      </w:r>
    </w:p>
    <w:p>
      <w:pPr>
        <w:pStyle w:val="7"/>
        <w:spacing w:after="0" w:line="560" w:lineRule="exact"/>
        <w:ind w:left="0" w:leftChars="0" w:right="0" w:rightChars="0" w:firstLine="640" w:firstLineChars="200"/>
        <w:rPr>
          <w:rFonts w:ascii="仿宋_GB2312" w:hAnsi="仿宋" w:eastAsia="仿宋_GB2312" w:cs="Times New Roman"/>
          <w:sz w:val="32"/>
        </w:rPr>
      </w:pPr>
      <w:r>
        <w:rPr>
          <w:rFonts w:hint="eastAsia" w:ascii="仿宋_GB2312" w:hAnsi="仿宋" w:eastAsia="仿宋_GB2312" w:cs="Times New Roman"/>
          <w:sz w:val="32"/>
        </w:rPr>
        <w:t>地址：</w:t>
      </w:r>
      <w:bookmarkStart w:id="0" w:name="OLE_LINK5"/>
      <w:r>
        <w:rPr>
          <w:rFonts w:hint="eastAsia" w:ascii="仿宋_GB2312" w:hAnsi="仿宋" w:eastAsia="仿宋_GB2312" w:cs="Times New Roman"/>
          <w:sz w:val="32"/>
        </w:rPr>
        <w:t>深圳市龙华区</w:t>
      </w:r>
      <w:r>
        <w:rPr>
          <w:rFonts w:hint="eastAsia" w:ascii="仿宋_GB2312" w:hAnsi="仿宋" w:eastAsia="仿宋_GB2312" w:cs="Times New Roman"/>
          <w:sz w:val="32"/>
          <w:lang w:val="en-US" w:eastAsia="zh-CN"/>
        </w:rPr>
        <w:t>龙华街道</w:t>
      </w:r>
      <w:r>
        <w:rPr>
          <w:rFonts w:hint="eastAsia" w:ascii="仿宋_GB2312" w:hAnsi="仿宋" w:eastAsia="仿宋_GB2312" w:cs="Times New Roman"/>
          <w:sz w:val="32"/>
        </w:rPr>
        <w:t>富康行政</w:t>
      </w:r>
      <w:r>
        <w:rPr>
          <w:rFonts w:hint="eastAsia" w:ascii="仿宋_GB2312" w:hAnsi="仿宋" w:eastAsia="仿宋_GB2312" w:cs="Times New Roman"/>
          <w:sz w:val="32"/>
          <w:lang w:val="en-US" w:eastAsia="zh-CN"/>
        </w:rPr>
        <w:t>服务</w:t>
      </w:r>
      <w:r>
        <w:rPr>
          <w:rFonts w:hint="eastAsia" w:ascii="仿宋_GB2312" w:hAnsi="仿宋" w:eastAsia="仿宋_GB2312" w:cs="Times New Roman"/>
          <w:sz w:val="32"/>
        </w:rPr>
        <w:t>办公区</w:t>
      </w:r>
      <w:bookmarkEnd w:id="0"/>
    </w:p>
    <w:p>
      <w:pPr>
        <w:pStyle w:val="19"/>
        <w:spacing w:line="560" w:lineRule="exact"/>
        <w:rPr>
          <w:rFonts w:ascii="仿宋_GB2312" w:hAnsi="仿宋" w:eastAsia="仿宋_GB2312" w:cs="Times New Roman"/>
          <w:sz w:val="32"/>
        </w:rPr>
      </w:pPr>
      <w:r>
        <w:rPr>
          <w:rFonts w:hint="eastAsia" w:ascii="仿宋_GB2312" w:hAnsi="仿宋" w:eastAsia="仿宋_GB2312" w:cs="Times New Roman"/>
          <w:sz w:val="32"/>
        </w:rPr>
        <w:t>收件人：吴先生</w:t>
      </w:r>
    </w:p>
    <w:p>
      <w:pPr>
        <w:ind w:firstLine="640" w:firstLineChars="200"/>
        <w:rPr>
          <w:rFonts w:ascii="仿宋_GB2312" w:hAnsi="仿宋" w:eastAsia="仿宋_GB2312" w:cs="Times New Roman"/>
          <w:sz w:val="32"/>
          <w:szCs w:val="22"/>
        </w:rPr>
      </w:pPr>
      <w:r>
        <w:rPr>
          <w:rFonts w:hint="eastAsia" w:ascii="仿宋_GB2312" w:hAnsi="仿宋" w:eastAsia="仿宋_GB2312" w:cs="Times New Roman"/>
          <w:sz w:val="32"/>
        </w:rPr>
        <w:t>联系方式</w:t>
      </w:r>
      <w:r>
        <w:rPr>
          <w:rFonts w:hint="eastAsia" w:ascii="仿宋_GB2312" w:hAnsi="仿宋" w:eastAsia="仿宋_GB2312" w:cs="Times New Roman"/>
          <w:sz w:val="32"/>
          <w:lang w:eastAsia="zh-CN"/>
        </w:rPr>
        <w:t>：</w:t>
      </w:r>
      <w:r>
        <w:rPr>
          <w:rFonts w:hint="eastAsia" w:ascii="仿宋_GB2312" w:hAnsi="仿宋" w:cs="Times New Roman"/>
          <w:color w:val="auto"/>
          <w:kern w:val="2"/>
          <w:sz w:val="32"/>
          <w:szCs w:val="22"/>
          <w:highlight w:val="none"/>
          <w:lang w:val="en-US" w:eastAsia="zh-CN" w:bidi="ar-SA"/>
        </w:rPr>
        <w:t>0755-23338032</w:t>
      </w: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eastAsia" w:ascii="黑体" w:hAnsi="黑体" w:eastAsia="黑体" w:cs="黑体"/>
          <w:color w:val="000000"/>
          <w:sz w:val="32"/>
          <w:szCs w:val="32"/>
          <w:lang w:eastAsia="zh-CN"/>
        </w:rPr>
      </w:pPr>
    </w:p>
    <w:p>
      <w:pPr>
        <w:pStyle w:val="19"/>
        <w:spacing w:line="560" w:lineRule="exact"/>
        <w:ind w:firstLine="0" w:firstLineChars="0"/>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w:t>
      </w:r>
    </w:p>
    <w:p>
      <w:pPr>
        <w:pStyle w:val="4"/>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lang w:val="en-US" w:eastAsia="zh-CN"/>
        </w:rPr>
      </w:pPr>
    </w:p>
    <w:p>
      <w:pPr>
        <w:pStyle w:val="6"/>
        <w:rPr>
          <w:rFonts w:hint="default"/>
          <w:lang w:val="en-US" w:eastAsia="zh-CN"/>
        </w:rPr>
      </w:pPr>
    </w:p>
    <w:p>
      <w:pPr>
        <w:pStyle w:val="19"/>
        <w:spacing w:line="560" w:lineRule="exact"/>
        <w:ind w:firstLine="0" w:firstLineChars="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pStyle w:val="12"/>
        <w:snapToGrid w:val="0"/>
        <w:spacing w:before="0" w:after="0" w:line="560" w:lineRule="exact"/>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供应商基本情况表</w:t>
      </w:r>
    </w:p>
    <w:p>
      <w:pPr>
        <w:spacing w:line="560" w:lineRule="exact"/>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14"/>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645" w:type="dxa"/>
            <w:gridSpan w:val="2"/>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294"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1270"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2145" w:type="dxa"/>
            <w:tcBorders>
              <w:bottom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345" w:type="dxa"/>
            <w:gridSpan w:val="2"/>
            <w:tcBorders>
              <w:top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127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1991" w:type="dxa"/>
            <w:gridSpan w:val="2"/>
            <w:tcBorders>
              <w:top w:val="single" w:color="auto" w:sz="4" w:space="0"/>
            </w:tcBorders>
            <w:noWrap w:val="0"/>
            <w:vAlign w:val="center"/>
          </w:tcPr>
          <w:p>
            <w:pPr>
              <w:jc w:val="left"/>
              <w:rPr>
                <w:rFonts w:ascii="方正仿宋_GBK" w:hAnsi="方正仿宋_GBK" w:eastAsia="方正仿宋_GBK" w:cs="方正仿宋_GBK"/>
                <w:sz w:val="24"/>
              </w:rPr>
            </w:pPr>
          </w:p>
        </w:tc>
        <w:tc>
          <w:tcPr>
            <w:tcW w:w="1500" w:type="dxa"/>
            <w:tcBorders>
              <w:top w:val="single" w:color="auto" w:sz="4" w:space="0"/>
            </w:tcBorders>
            <w:noWrap w:val="0"/>
            <w:vAlign w:val="center"/>
          </w:tcPr>
          <w:p>
            <w:pPr>
              <w:jc w:val="left"/>
              <w:rPr>
                <w:rFonts w:ascii="方正仿宋_GBK" w:hAnsi="方正仿宋_GBK" w:eastAsia="方正仿宋_GBK" w:cs="方正仿宋_GBK"/>
                <w:sz w:val="24"/>
              </w:rPr>
            </w:pPr>
          </w:p>
        </w:tc>
        <w:tc>
          <w:tcPr>
            <w:tcW w:w="2145" w:type="dxa"/>
            <w:tcBorders>
              <w:top w:val="single" w:color="auto" w:sz="4" w:space="0"/>
            </w:tcBorders>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345" w:type="dxa"/>
            <w:gridSpan w:val="2"/>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345" w:type="dxa"/>
            <w:gridSpan w:val="2"/>
            <w:noWrap w:val="0"/>
            <w:vAlign w:val="center"/>
          </w:tcPr>
          <w:p>
            <w:pPr>
              <w:pStyle w:val="5"/>
              <w:snapToGrid w:val="0"/>
              <w:spacing w:line="240" w:lineRule="auto"/>
              <w:ind w:firstLine="0" w:firstLineChars="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1270" w:type="dxa"/>
            <w:noWrap w:val="0"/>
            <w:vAlign w:val="center"/>
          </w:tcPr>
          <w:p>
            <w:pPr>
              <w:jc w:val="left"/>
              <w:rPr>
                <w:rFonts w:ascii="方正仿宋_GBK" w:hAnsi="方正仿宋_GBK" w:eastAsia="方正仿宋_GBK" w:cs="方正仿宋_GBK"/>
                <w:sz w:val="24"/>
              </w:rPr>
            </w:pPr>
          </w:p>
        </w:tc>
        <w:tc>
          <w:tcPr>
            <w:tcW w:w="1991" w:type="dxa"/>
            <w:gridSpan w:val="2"/>
            <w:noWrap w:val="0"/>
            <w:vAlign w:val="center"/>
          </w:tcPr>
          <w:p>
            <w:pPr>
              <w:jc w:val="left"/>
              <w:rPr>
                <w:rFonts w:ascii="方正仿宋_GBK" w:hAnsi="方正仿宋_GBK" w:eastAsia="方正仿宋_GBK" w:cs="方正仿宋_GBK"/>
                <w:sz w:val="24"/>
              </w:rPr>
            </w:pPr>
          </w:p>
        </w:tc>
        <w:tc>
          <w:tcPr>
            <w:tcW w:w="1500" w:type="dxa"/>
            <w:noWrap w:val="0"/>
            <w:vAlign w:val="center"/>
          </w:tcPr>
          <w:p>
            <w:pPr>
              <w:jc w:val="left"/>
              <w:rPr>
                <w:rFonts w:ascii="方正仿宋_GBK" w:hAnsi="方正仿宋_GBK" w:eastAsia="方正仿宋_GBK" w:cs="方正仿宋_GBK"/>
                <w:sz w:val="24"/>
              </w:rPr>
            </w:pPr>
          </w:p>
        </w:tc>
        <w:tc>
          <w:tcPr>
            <w:tcW w:w="2145" w:type="dxa"/>
            <w:noWrap w:val="0"/>
            <w:vAlign w:val="center"/>
          </w:tcPr>
          <w:p>
            <w:pPr>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lef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345"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206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关联主体名称</w:t>
            </w:r>
          </w:p>
        </w:tc>
        <w:tc>
          <w:tcPr>
            <w:tcW w:w="4845" w:type="dxa"/>
            <w:gridSpan w:val="3"/>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说明：同一关联关系类型有多个主体的，应分行填写。</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方正小标宋简体">
    <w:panose1 w:val="02000000000000000000"/>
    <w:charset w:val="86"/>
    <w:family w:val="auto"/>
    <w:pitch w:val="default"/>
    <w:sig w:usb0="A00002BF" w:usb1="184F6CFA" w:usb2="00000012"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BA601"/>
    <w:multiLevelType w:val="singleLevel"/>
    <w:tmpl w:val="FF5BA6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3ZTMwN2Y3NDYwNDBhNDA3NTFiMzA0ZThhZWM1M2EifQ=="/>
  </w:docVars>
  <w:rsids>
    <w:rsidRoot w:val="FFF64914"/>
    <w:rsid w:val="0096076A"/>
    <w:rsid w:val="014F6F93"/>
    <w:rsid w:val="022D2583"/>
    <w:rsid w:val="03B2546F"/>
    <w:rsid w:val="04DD632B"/>
    <w:rsid w:val="05655623"/>
    <w:rsid w:val="058A094E"/>
    <w:rsid w:val="05ED6FAB"/>
    <w:rsid w:val="060C2325"/>
    <w:rsid w:val="067E2742"/>
    <w:rsid w:val="069C7AF9"/>
    <w:rsid w:val="077C35ED"/>
    <w:rsid w:val="08640C24"/>
    <w:rsid w:val="09026019"/>
    <w:rsid w:val="09213488"/>
    <w:rsid w:val="0A254A2D"/>
    <w:rsid w:val="0AE803AB"/>
    <w:rsid w:val="0CC37F97"/>
    <w:rsid w:val="0E7D53B8"/>
    <w:rsid w:val="0F8B8B91"/>
    <w:rsid w:val="0FBA259F"/>
    <w:rsid w:val="0FC71FAC"/>
    <w:rsid w:val="10E7751F"/>
    <w:rsid w:val="115832F0"/>
    <w:rsid w:val="116662A2"/>
    <w:rsid w:val="11671282"/>
    <w:rsid w:val="119D676C"/>
    <w:rsid w:val="12FB3668"/>
    <w:rsid w:val="13134AB0"/>
    <w:rsid w:val="133E79B2"/>
    <w:rsid w:val="13890BDB"/>
    <w:rsid w:val="13AA0808"/>
    <w:rsid w:val="15130045"/>
    <w:rsid w:val="1594066F"/>
    <w:rsid w:val="15A021BE"/>
    <w:rsid w:val="1A151493"/>
    <w:rsid w:val="1D45755C"/>
    <w:rsid w:val="1DD75CB6"/>
    <w:rsid w:val="1E8C36C6"/>
    <w:rsid w:val="1EBD4792"/>
    <w:rsid w:val="1EF41A96"/>
    <w:rsid w:val="1F5FD7CF"/>
    <w:rsid w:val="1F77239A"/>
    <w:rsid w:val="1F9437D9"/>
    <w:rsid w:val="1FC65536"/>
    <w:rsid w:val="21C81DCC"/>
    <w:rsid w:val="227D1C1D"/>
    <w:rsid w:val="22F53F69"/>
    <w:rsid w:val="238F4CDB"/>
    <w:rsid w:val="23D0088A"/>
    <w:rsid w:val="23F434C9"/>
    <w:rsid w:val="24A40AEE"/>
    <w:rsid w:val="25AA75DE"/>
    <w:rsid w:val="26EB501C"/>
    <w:rsid w:val="27EC0CE3"/>
    <w:rsid w:val="28FE2D82"/>
    <w:rsid w:val="299D02AB"/>
    <w:rsid w:val="2A1E1CDB"/>
    <w:rsid w:val="2A981691"/>
    <w:rsid w:val="2BD663EE"/>
    <w:rsid w:val="2CC95A74"/>
    <w:rsid w:val="2D3A5460"/>
    <w:rsid w:val="2D400D07"/>
    <w:rsid w:val="2E6C2393"/>
    <w:rsid w:val="2EFD23C7"/>
    <w:rsid w:val="2F1D5B2D"/>
    <w:rsid w:val="2FCEC403"/>
    <w:rsid w:val="2FD76C4F"/>
    <w:rsid w:val="2FDD3D85"/>
    <w:rsid w:val="2FFF79D9"/>
    <w:rsid w:val="311727C9"/>
    <w:rsid w:val="322B53D5"/>
    <w:rsid w:val="326B6DA8"/>
    <w:rsid w:val="33DA9892"/>
    <w:rsid w:val="344B04D7"/>
    <w:rsid w:val="369606A6"/>
    <w:rsid w:val="374874B7"/>
    <w:rsid w:val="384F556D"/>
    <w:rsid w:val="396A0117"/>
    <w:rsid w:val="3BF21527"/>
    <w:rsid w:val="3C5B4FAA"/>
    <w:rsid w:val="3D1461AB"/>
    <w:rsid w:val="3EF23B8C"/>
    <w:rsid w:val="405DBB97"/>
    <w:rsid w:val="41E60E43"/>
    <w:rsid w:val="43C24B92"/>
    <w:rsid w:val="44BA7C18"/>
    <w:rsid w:val="44D2693A"/>
    <w:rsid w:val="45E416CD"/>
    <w:rsid w:val="45E71448"/>
    <w:rsid w:val="47AB3356"/>
    <w:rsid w:val="492F224C"/>
    <w:rsid w:val="4AFD1440"/>
    <w:rsid w:val="4C1213DC"/>
    <w:rsid w:val="4CFC1623"/>
    <w:rsid w:val="4D1B0B4F"/>
    <w:rsid w:val="4D87403A"/>
    <w:rsid w:val="4D994EAC"/>
    <w:rsid w:val="4F980780"/>
    <w:rsid w:val="507A5CCD"/>
    <w:rsid w:val="509C327C"/>
    <w:rsid w:val="51A2567A"/>
    <w:rsid w:val="51C10D04"/>
    <w:rsid w:val="530E3AB2"/>
    <w:rsid w:val="53A215A6"/>
    <w:rsid w:val="54975631"/>
    <w:rsid w:val="558D45E7"/>
    <w:rsid w:val="56736574"/>
    <w:rsid w:val="57DFD3E1"/>
    <w:rsid w:val="57E115C8"/>
    <w:rsid w:val="58574A73"/>
    <w:rsid w:val="58D85DBD"/>
    <w:rsid w:val="59BC09AB"/>
    <w:rsid w:val="5AC1544A"/>
    <w:rsid w:val="5BFDE88F"/>
    <w:rsid w:val="5BFF0E04"/>
    <w:rsid w:val="5CB836FE"/>
    <w:rsid w:val="5EB31998"/>
    <w:rsid w:val="5EEA7876"/>
    <w:rsid w:val="5F1644EC"/>
    <w:rsid w:val="5F32D00A"/>
    <w:rsid w:val="5F8B76F4"/>
    <w:rsid w:val="5FDAC501"/>
    <w:rsid w:val="63D108EB"/>
    <w:rsid w:val="661F2C0A"/>
    <w:rsid w:val="673E6E35"/>
    <w:rsid w:val="688C3DBB"/>
    <w:rsid w:val="68D62D07"/>
    <w:rsid w:val="691837D2"/>
    <w:rsid w:val="6AA77C70"/>
    <w:rsid w:val="6B864EA6"/>
    <w:rsid w:val="6BDFA046"/>
    <w:rsid w:val="6D1F25AD"/>
    <w:rsid w:val="6DDC0054"/>
    <w:rsid w:val="6E96BA6A"/>
    <w:rsid w:val="6FEDCB89"/>
    <w:rsid w:val="6FF36FF9"/>
    <w:rsid w:val="701B6B38"/>
    <w:rsid w:val="704A7998"/>
    <w:rsid w:val="710B2583"/>
    <w:rsid w:val="71B67453"/>
    <w:rsid w:val="72316892"/>
    <w:rsid w:val="753231B8"/>
    <w:rsid w:val="76E7DC48"/>
    <w:rsid w:val="76ED0E45"/>
    <w:rsid w:val="777E7A71"/>
    <w:rsid w:val="77B26536"/>
    <w:rsid w:val="77F539DA"/>
    <w:rsid w:val="77FB6E77"/>
    <w:rsid w:val="78350F8D"/>
    <w:rsid w:val="787907F7"/>
    <w:rsid w:val="793795FC"/>
    <w:rsid w:val="7A2F0100"/>
    <w:rsid w:val="7C1D6298"/>
    <w:rsid w:val="7C4D5483"/>
    <w:rsid w:val="7D39300F"/>
    <w:rsid w:val="7D5E0838"/>
    <w:rsid w:val="7DFF8683"/>
    <w:rsid w:val="7E1BBB15"/>
    <w:rsid w:val="7FBBCC4F"/>
    <w:rsid w:val="7FCBB371"/>
    <w:rsid w:val="7FDEAB7F"/>
    <w:rsid w:val="7FFD264E"/>
    <w:rsid w:val="94DB79A7"/>
    <w:rsid w:val="9FF66C64"/>
    <w:rsid w:val="AEDFF020"/>
    <w:rsid w:val="AFEF8779"/>
    <w:rsid w:val="AFF285C4"/>
    <w:rsid w:val="B4FF433E"/>
    <w:rsid w:val="B5EED450"/>
    <w:rsid w:val="B7EB2269"/>
    <w:rsid w:val="B7F491BE"/>
    <w:rsid w:val="B7FBB2FD"/>
    <w:rsid w:val="BCFA04A1"/>
    <w:rsid w:val="BF7D1E98"/>
    <w:rsid w:val="CBE562F8"/>
    <w:rsid w:val="D1CFC744"/>
    <w:rsid w:val="D7BD82A1"/>
    <w:rsid w:val="DA0FAF55"/>
    <w:rsid w:val="E7AF56FE"/>
    <w:rsid w:val="E9CFC697"/>
    <w:rsid w:val="EA15AD81"/>
    <w:rsid w:val="EFD51DAF"/>
    <w:rsid w:val="F375C07F"/>
    <w:rsid w:val="F9DF90A7"/>
    <w:rsid w:val="FA3A912B"/>
    <w:rsid w:val="FBEEC994"/>
    <w:rsid w:val="FBFA8467"/>
    <w:rsid w:val="FD47C543"/>
    <w:rsid w:val="FDBDBB88"/>
    <w:rsid w:val="FEFA2E63"/>
    <w:rsid w:val="FFF64914"/>
    <w:rsid w:val="FFFD0B54"/>
    <w:rsid w:val="FFFF58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560" w:lineRule="exact"/>
      <w:ind w:firstLine="643"/>
      <w:outlineLvl w:val="1"/>
    </w:pPr>
    <w:rPr>
      <w:rFonts w:ascii="Arial" w:hAnsi="Arial" w:eastAsia="黑体"/>
    </w:rPr>
  </w:style>
  <w:style w:type="paragraph" w:styleId="4">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Body Text"/>
    <w:basedOn w:val="1"/>
    <w:next w:val="1"/>
    <w:qFormat/>
    <w:uiPriority w:val="99"/>
    <w:pPr>
      <w:spacing w:line="360" w:lineRule="auto"/>
    </w:pPr>
    <w:rPr>
      <w:b/>
      <w:sz w:val="24"/>
      <w:szCs w:val="24"/>
    </w:rPr>
  </w:style>
  <w:style w:type="paragraph" w:styleId="7">
    <w:name w:val="Block Text"/>
    <w:basedOn w:val="1"/>
    <w:qFormat/>
    <w:uiPriority w:val="0"/>
    <w:pPr>
      <w:tabs>
        <w:tab w:val="left" w:pos="426"/>
      </w:tabs>
      <w:spacing w:after="120"/>
      <w:ind w:left="1440" w:leftChars="700" w:right="1440" w:rightChars="700"/>
    </w:pPr>
  </w:style>
  <w:style w:type="paragraph" w:styleId="8">
    <w:name w:val="Plain Text"/>
    <w:basedOn w:val="1"/>
    <w:unhideWhenUsed/>
    <w:qFormat/>
    <w:uiPriority w:val="0"/>
    <w:rPr>
      <w:rFonts w:ascii="宋体" w:hAnsi="Courier New" w:eastAsia="宋体"/>
      <w:sz w:val="32"/>
      <w:szCs w:val="20"/>
    </w:rPr>
  </w:style>
  <w:style w:type="paragraph" w:styleId="9">
    <w:name w:val="toc 1"/>
    <w:basedOn w:val="1"/>
    <w:next w:val="1"/>
    <w:qFormat/>
    <w:uiPriority w:val="39"/>
    <w:rPr>
      <w:rFonts w:ascii="Calibri" w:hAnsi="Calibri" w:eastAsia="宋体" w:cs="Times New Roman"/>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99"/>
    <w:rPr>
      <w:sz w:val="24"/>
    </w:rPr>
  </w:style>
  <w:style w:type="paragraph" w:styleId="12">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USE 1"/>
    <w:basedOn w:val="1"/>
    <w:qFormat/>
    <w:uiPriority w:val="0"/>
    <w:pPr>
      <w:spacing w:line="200" w:lineRule="atLeast"/>
      <w:jc w:val="left"/>
    </w:pPr>
    <w:rPr>
      <w:rFonts w:ascii="宋体" w:hAnsi="宋体"/>
      <w:b/>
      <w:sz w:val="24"/>
      <w:szCs w:val="28"/>
    </w:rPr>
  </w:style>
  <w:style w:type="paragraph" w:styleId="17">
    <w:name w:val="List Paragraph"/>
    <w:basedOn w:val="18"/>
    <w:qFormat/>
    <w:uiPriority w:val="34"/>
    <w:pPr>
      <w:ind w:firstLine="420" w:firstLineChars="200"/>
    </w:pPr>
  </w:style>
  <w:style w:type="paragraph" w:customStyle="1" w:styleId="18">
    <w:name w:val="星耀正文"/>
    <w:basedOn w:val="1"/>
    <w:qFormat/>
    <w:uiPriority w:val="3"/>
    <w:pPr>
      <w:ind w:firstLine="422" w:firstLineChars="200"/>
    </w:pPr>
    <w:rPr>
      <w:rFonts w:ascii="宋体" w:hAnsi="宋体" w:eastAsia="仿宋_GB2312"/>
      <w:bCs/>
    </w:rPr>
  </w:style>
  <w:style w:type="paragraph" w:customStyle="1" w:styleId="19">
    <w:name w:val="l正文"/>
    <w:basedOn w:val="1"/>
    <w:qFormat/>
    <w:uiPriority w:val="0"/>
    <w:pPr>
      <w:spacing w:line="300" w:lineRule="auto"/>
      <w:ind w:firstLine="200" w:firstLineChars="200"/>
      <w:jc w:val="left"/>
    </w:pPr>
    <w:rPr>
      <w:rFonts w:ascii="楷体_GB2312" w:hAnsi="Times" w:eastAsia="楷体_GB2312" w:cs="等线"/>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710</Words>
  <Characters>735</Characters>
  <Lines>0</Lines>
  <Paragraphs>0</Paragraphs>
  <TotalTime>8</TotalTime>
  <ScaleCrop>false</ScaleCrop>
  <LinksUpToDate>false</LinksUpToDate>
  <CharactersWithSpaces>735</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2021-12-31T11:00:00Z</dcterms:created>
  <dc:creator>lihui123</dc:creator>
  <cp:lastModifiedBy>lxy</cp:lastModifiedBy>
  <cp:lastPrinted>2025-06-06T05:00:00Z</cp:lastPrinted>
  <dcterms:modified xsi:type="dcterms:W3CDTF">2026-09-16T16:31:51Z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FA98F7559B0ABBE6F753AA6A2F372AF4</vt:lpwstr>
  </property>
  <property fmtid="{D5CDD505-2E9C-101B-9397-08002B2CF9AE}" pid="4" name="KSOTemplateDocerSaveRecord">
    <vt:lpwstr>eyJoZGlkIjoiNWI2OGY4YjZjNzhiN2U1MzE2MmFhZjc0YTFmN2NjY2MiLCJ1c2VySWQiOiI2MTc5ODAyODIifQ==</vt:lpwstr>
  </property>
</Properties>
</file>