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b w:val="0"/>
          <w:bCs w:val="0"/>
          <w:color w:val="auto"/>
          <w:kern w:val="0"/>
          <w:sz w:val="44"/>
          <w:szCs w:val="44"/>
          <w:highlight w:val="none"/>
          <w:lang w:val="en" w:eastAsia="zh-CN" w:bidi="ar-SA"/>
        </w:rPr>
      </w:pPr>
      <w:r>
        <w:rPr>
          <w:rFonts w:hint="eastAsia" w:ascii="方正小标宋简体" w:hAnsi="方正小标宋简体" w:eastAsia="方正小标宋简体" w:cs="方正小标宋简体"/>
          <w:b w:val="0"/>
          <w:bCs w:val="0"/>
          <w:color w:val="auto"/>
          <w:kern w:val="0"/>
          <w:sz w:val="44"/>
          <w:szCs w:val="44"/>
          <w:highlight w:val="none"/>
          <w:lang w:val="en" w:eastAsia="zh-CN" w:bidi="ar-SA"/>
        </w:rPr>
        <w:t>龙华文体旅IP打造</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color w:val="auto"/>
          <w:kern w:val="0"/>
          <w:sz w:val="44"/>
          <w:szCs w:val="44"/>
          <w:highlight w:val="none"/>
          <w:lang w:val="en" w:eastAsia="zh-CN" w:bidi="ar-SA"/>
        </w:rPr>
        <w:t>与推荐官培育计划项目</w:t>
      </w:r>
      <w:r>
        <w:rPr>
          <w:rFonts w:hint="eastAsia" w:ascii="方正小标宋简体" w:hAnsi="方正小标宋简体" w:eastAsia="方正小标宋简体" w:cs="方正小标宋简体"/>
          <w:sz w:val="44"/>
          <w:szCs w:val="44"/>
        </w:rPr>
        <w:t>需求书</w:t>
      </w:r>
    </w:p>
    <w:p>
      <w:pPr>
        <w:pStyle w:val="9"/>
        <w:spacing w:line="560" w:lineRule="exact"/>
        <w:jc w:val="center"/>
        <w:rPr>
          <w:rFonts w:ascii="方正小标宋简体" w:hAnsi="方正小标宋简体" w:eastAsia="方正小标宋简体" w:cs="方正小标宋简体"/>
          <w:spacing w:val="17"/>
          <w:sz w:val="44"/>
          <w:szCs w:val="44"/>
          <w:highlight w:val="none"/>
        </w:rPr>
      </w:pPr>
    </w:p>
    <w:p>
      <w:pPr>
        <w:numPr>
          <w:ilvl w:val="0"/>
          <w:numId w:val="1"/>
        </w:numPr>
        <w:tabs>
          <w:tab w:val="left" w:pos="1820"/>
        </w:tabs>
        <w:snapToGrid w:val="0"/>
        <w:spacing w:line="560" w:lineRule="exact"/>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项目目标</w:t>
      </w:r>
    </w:p>
    <w:p>
      <w:pPr>
        <w:tabs>
          <w:tab w:val="left" w:pos="1820"/>
        </w:tabs>
        <w:snapToGrid w:val="0"/>
        <w:spacing w:line="560" w:lineRule="exact"/>
        <w:ind w:firstLine="640" w:firstLineChars="200"/>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为顺应文体旅融合发展趋势，现开展龙华文体旅IP打造与推荐官培育计划，通过“达人视角+沉浸式体验”的内容模式，以生活化、人格化的内容输出，持续打造龙华文体旅品牌IP。</w:t>
      </w:r>
    </w:p>
    <w:p>
      <w:pPr>
        <w:tabs>
          <w:tab w:val="left" w:pos="1820"/>
        </w:tabs>
        <w:snapToGrid w:val="0"/>
        <w:spacing w:line="560" w:lineRule="exact"/>
        <w:ind w:firstLine="640" w:firstLineChars="200"/>
        <w:jc w:val="left"/>
        <w:rPr>
          <w:rFonts w:hint="eastAsia" w:ascii="黑体" w:hAnsi="黑体" w:eastAsia="黑体" w:cs="黑体"/>
          <w:bCs/>
          <w:sz w:val="32"/>
          <w:szCs w:val="32"/>
          <w:lang w:eastAsia="zh-CN"/>
        </w:rPr>
      </w:pPr>
      <w:r>
        <w:rPr>
          <w:rFonts w:hint="eastAsia" w:ascii="黑体" w:hAnsi="黑体" w:eastAsia="黑体" w:cs="黑体"/>
          <w:bCs/>
          <w:sz w:val="32"/>
          <w:szCs w:val="32"/>
        </w:rPr>
        <w:t>二、</w:t>
      </w:r>
      <w:r>
        <w:rPr>
          <w:rFonts w:hint="eastAsia" w:ascii="黑体" w:hAnsi="黑体" w:eastAsia="黑体" w:cs="黑体"/>
          <w:bCs/>
          <w:sz w:val="32"/>
          <w:szCs w:val="32"/>
          <w:lang w:eastAsia="zh-CN"/>
        </w:rPr>
        <w:t>服务时间</w:t>
      </w:r>
    </w:p>
    <w:p>
      <w:pPr>
        <w:tabs>
          <w:tab w:val="left" w:pos="1820"/>
        </w:tabs>
        <w:snapToGrid w:val="0"/>
        <w:spacing w:line="560" w:lineRule="exact"/>
        <w:ind w:firstLine="640" w:firstLineChars="200"/>
        <w:jc w:val="left"/>
        <w:rPr>
          <w:rFonts w:hint="eastAsia" w:ascii="仿宋_GB2312" w:hAnsi="仿宋" w:eastAsia="仿宋_GB2312" w:cs="仿宋"/>
          <w:kern w:val="0"/>
          <w:sz w:val="32"/>
          <w:szCs w:val="32"/>
          <w:highlight w:val="none"/>
          <w:shd w:val="clear" w:color="auto" w:fill="FFFFFF"/>
        </w:rPr>
      </w:pPr>
      <w:r>
        <w:rPr>
          <w:rFonts w:hint="eastAsia" w:ascii="仿宋_GB2312" w:hAnsi="仿宋" w:eastAsia="仿宋_GB2312" w:cs="仿宋"/>
          <w:kern w:val="0"/>
          <w:sz w:val="32"/>
          <w:szCs w:val="32"/>
          <w:highlight w:val="none"/>
          <w:shd w:val="clear" w:color="auto" w:fill="FFFFFF"/>
          <w:lang w:val="en-US" w:eastAsia="zh-CN"/>
        </w:rPr>
        <w:t>2026</w:t>
      </w:r>
      <w:r>
        <w:rPr>
          <w:rFonts w:hint="eastAsia" w:ascii="仿宋_GB2312" w:hAnsi="仿宋" w:eastAsia="仿宋_GB2312" w:cs="仿宋"/>
          <w:kern w:val="0"/>
          <w:sz w:val="32"/>
          <w:szCs w:val="32"/>
          <w:highlight w:val="none"/>
          <w:shd w:val="clear" w:color="auto" w:fill="FFFFFF"/>
        </w:rPr>
        <w:t>年</w:t>
      </w:r>
      <w:r>
        <w:rPr>
          <w:rFonts w:hint="eastAsia" w:ascii="仿宋_GB2312" w:hAnsi="仿宋" w:eastAsia="仿宋_GB2312" w:cs="仿宋"/>
          <w:kern w:val="0"/>
          <w:sz w:val="32"/>
          <w:szCs w:val="32"/>
          <w:highlight w:val="none"/>
          <w:shd w:val="clear" w:color="auto" w:fill="FFFFFF"/>
          <w:lang w:val="en-US" w:eastAsia="zh-CN"/>
        </w:rPr>
        <w:t>9</w:t>
      </w:r>
      <w:r>
        <w:rPr>
          <w:rFonts w:hint="eastAsia" w:ascii="仿宋_GB2312" w:hAnsi="仿宋" w:eastAsia="仿宋_GB2312" w:cs="仿宋"/>
          <w:kern w:val="0"/>
          <w:sz w:val="32"/>
          <w:szCs w:val="32"/>
          <w:highlight w:val="none"/>
          <w:shd w:val="clear" w:color="auto" w:fill="FFFFFF"/>
        </w:rPr>
        <w:t>月</w:t>
      </w:r>
      <w:r>
        <w:rPr>
          <w:rFonts w:hint="eastAsia" w:ascii="仿宋_GB2312" w:hAnsi="仿宋" w:eastAsia="仿宋_GB2312" w:cs="仿宋"/>
          <w:kern w:val="0"/>
          <w:sz w:val="32"/>
          <w:szCs w:val="32"/>
          <w:highlight w:val="none"/>
          <w:shd w:val="clear" w:color="auto" w:fill="FFFFFF"/>
          <w:lang w:eastAsia="zh-CN"/>
        </w:rPr>
        <w:t>—</w:t>
      </w:r>
      <w:r>
        <w:rPr>
          <w:rFonts w:hint="eastAsia" w:ascii="仿宋_GB2312" w:hAnsi="仿宋" w:eastAsia="仿宋_GB2312" w:cs="仿宋"/>
          <w:kern w:val="0"/>
          <w:sz w:val="32"/>
          <w:szCs w:val="32"/>
          <w:highlight w:val="none"/>
          <w:shd w:val="clear" w:color="auto" w:fill="FFFFFF"/>
          <w:lang w:val="en-US" w:eastAsia="zh-CN"/>
        </w:rPr>
        <w:t>2027年9</w:t>
      </w:r>
      <w:r>
        <w:rPr>
          <w:rFonts w:hint="eastAsia" w:ascii="仿宋_GB2312" w:hAnsi="仿宋" w:eastAsia="仿宋_GB2312" w:cs="仿宋"/>
          <w:kern w:val="0"/>
          <w:sz w:val="32"/>
          <w:szCs w:val="32"/>
          <w:highlight w:val="none"/>
          <w:shd w:val="clear" w:color="auto" w:fill="FFFFFF"/>
        </w:rPr>
        <w:t>月</w:t>
      </w:r>
    </w:p>
    <w:p>
      <w:pPr>
        <w:tabs>
          <w:tab w:val="left" w:pos="1820"/>
        </w:tabs>
        <w:snapToGrid w:val="0"/>
        <w:spacing w:line="560" w:lineRule="exact"/>
        <w:ind w:firstLine="640" w:firstLineChars="200"/>
        <w:jc w:val="both"/>
        <w:rPr>
          <w:rFonts w:hint="eastAsia" w:ascii="仿宋_GB2312" w:hAnsi="仿宋" w:eastAsia="仿宋_GB2312" w:cs="仿宋"/>
          <w:kern w:val="0"/>
          <w:sz w:val="32"/>
          <w:szCs w:val="32"/>
          <w:highlight w:val="none"/>
          <w:shd w:val="clear" w:color="auto" w:fill="FFFFFF"/>
        </w:rPr>
      </w:pPr>
      <w:r>
        <w:rPr>
          <w:rFonts w:hint="eastAsia" w:ascii="黑体" w:hAnsi="黑体" w:eastAsia="黑体" w:cs="黑体"/>
          <w:bCs/>
          <w:sz w:val="32"/>
          <w:szCs w:val="32"/>
        </w:rPr>
        <w:t>三、</w:t>
      </w:r>
      <w:bookmarkStart w:id="0" w:name="OLE_LINK2"/>
      <w:r>
        <w:rPr>
          <w:rFonts w:hint="eastAsia" w:ascii="黑体" w:hAnsi="黑体" w:eastAsia="黑体" w:cs="黑体"/>
          <w:bCs/>
          <w:sz w:val="32"/>
          <w:szCs w:val="32"/>
        </w:rPr>
        <w:t>项目内容及要求</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（一）文体旅推荐官定位与培育：围绕账号人设定位及龙华文体旅资源特色，明确1-2名文体旅推荐官的人设方向与内容定位，挖掘和培育适配账号风格的本土推荐官；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（二）账号基础运营与维护：包括账号日常后台管理、内容发布排期与执行、用户评论回复与私信对接、基础数据巡检与记录，保障账号每日稳定更新与常态化运转，为期12个月；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IP内容创作与制作：全年制作并发布不少于80条短视频，以精品实拍正片为核心（不少于40条，每条1—2分钟），涵盖选题策划、脚本创作、专业摄制团队实景拍摄、后期剪辑包装等，内容聚焦龙华区文旅资源、品牌文体活动、文体场馆等目的地推介、非遗传承等主题；辅以基于活动、场馆等素材的衍生短视频，作为日常更新的重要内容补充，形成“精品正片+常态更新”的内容组合，持续输出龙华文体旅品牌价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（四）内容曝光与流量保障：完成短视频流量的付费投流，确保视频流量的稳定性。结合平台推荐机制，对重点内容进行定向加热，保障单条视频平均播放量达2万以上；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（五）粉丝增长与精准运营：一年内达成5万全国真实文旅兴趣粉丝积累，精准匹配文体旅内容标签人群。通过内容优化、精准投流、互动运营等手段，持续提升账号粉丝规模和粘性，确保粉丝增长质量；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（六）舆情监控：对评论区及全网涉及账号的舆情进行实时监测，及时发现并预警负面信息，建立舆情应对预案，确保账号运营安全；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项目统筹与数据复盘：配备专属项目负责人进行统筹对接，按月出具运营数据简报（含粉丝增长、播放量、互动率等核心指标），按季度出具正式复盘报告，梳理阶段性成效、总结问题并提出优化方案，确保项目持续迭代提升。</w:t>
      </w:r>
    </w:p>
    <w:p>
      <w:pPr>
        <w:tabs>
          <w:tab w:val="left" w:pos="1820"/>
        </w:tabs>
        <w:snapToGrid w:val="0"/>
        <w:spacing w:line="560" w:lineRule="exact"/>
        <w:ind w:firstLine="640" w:firstLineChars="200"/>
        <w:jc w:val="left"/>
        <w:rPr>
          <w:rFonts w:hint="eastAsia" w:ascii="黑体" w:hAnsi="黑体" w:eastAsia="黑体" w:cs="黑体"/>
          <w:bCs/>
          <w:sz w:val="32"/>
          <w:szCs w:val="32"/>
          <w:lang w:eastAsia="zh-CN"/>
        </w:rPr>
      </w:pPr>
      <w:r>
        <w:rPr>
          <w:rFonts w:hint="eastAsia" w:ascii="黑体" w:hAnsi="黑体" w:eastAsia="黑体" w:cs="黑体"/>
          <w:bCs/>
          <w:sz w:val="32"/>
          <w:szCs w:val="32"/>
          <w:lang w:eastAsia="zh-CN"/>
        </w:rPr>
        <w:t>四、报价限额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56万，项目报价表需与下表保持一致：</w:t>
      </w:r>
    </w:p>
    <w:tbl>
      <w:tblPr>
        <w:tblStyle w:val="13"/>
        <w:tblW w:w="830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1"/>
        <w:gridCol w:w="3752"/>
        <w:gridCol w:w="3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明细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推荐官定位与培育</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围绕账号人设定位及龙华文体旅资源特色，明确1-2名文体旅推荐官的人设方向与内容定位，挖掘和培育适配账号风格的本土推荐官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1"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账号基础运营与维护</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包括账号日常后台管理、内容发布排期与执行、用户评论回复与私信对接、基础数据巡检与记录，保障账号每日稳定更新与常态化运转，为期12个月</w:t>
            </w:r>
            <w:r>
              <w:rPr>
                <w:rFonts w:hint="eastAsia" w:ascii="宋体" w:hAnsi="宋体" w:cs="宋体"/>
                <w:i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6"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视频内容创作与制作</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全年制作并发布不少于80条短视频。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4"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内容曝光与流量保障</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短视频付费投流，对重点内容定向加热，保障单条平均播放量2万以上。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7"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粉丝增长与精准运营</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一年内达成5万全国真实文体旅兴趣粉丝积累，精准匹配文体旅内容标签人群。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4"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舆情监控</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实时监测评论区及全网舆情，建立舆情应对预案。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9"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项目统筹与数据复盘</w:t>
            </w:r>
          </w:p>
        </w:tc>
        <w:tc>
          <w:tcPr>
            <w:tcW w:w="3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配备专属项目负责人统筹对接，按月出具运营数据简报，按季度出具正式复盘报告。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830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投标价格（万元）：_____ （以万元为单位，最多保留两位小数）</w:t>
            </w:r>
          </w:p>
        </w:tc>
      </w:tr>
    </w:tbl>
    <w:p>
      <w:pPr>
        <w:spacing w:line="560" w:lineRule="exact"/>
        <w:ind w:firstLine="640" w:firstLineChars="200"/>
        <w:jc w:val="left"/>
        <w:rPr>
          <w:rFonts w:ascii="仿宋_GB2312" w:hAnsi="仿宋_GB2312" w:eastAsia="仿宋_GB2312" w:cs="仿宋_GB2312"/>
          <w:sz w:val="32"/>
          <w:szCs w:val="32"/>
        </w:rPr>
      </w:pPr>
      <w:r>
        <w:rPr>
          <w:rFonts w:hint="eastAsia" w:ascii="黑体" w:hAnsi="黑体" w:eastAsia="黑体" w:cs="黑体"/>
          <w:bCs/>
          <w:sz w:val="32"/>
          <w:szCs w:val="32"/>
        </w:rPr>
        <w:t>五、</w:t>
      </w:r>
      <w:r>
        <w:rPr>
          <w:rFonts w:hint="eastAsia" w:ascii="黑体" w:hAnsi="黑体" w:eastAsia="黑体" w:cs="黑体"/>
          <w:sz w:val="32"/>
          <w:szCs w:val="32"/>
        </w:rPr>
        <w:t>供应商的资质要求</w:t>
      </w:r>
    </w:p>
    <w:p>
      <w:pPr>
        <w:pStyle w:val="16"/>
        <w:spacing w:line="560" w:lineRule="exact"/>
        <w:ind w:firstLine="640"/>
        <w:jc w:val="both"/>
        <w:rPr>
          <w:rFonts w:ascii="仿宋_GB2312" w:hAnsi="仿宋" w:eastAsia="仿宋_GB2312" w:cs="仿宋"/>
          <w:sz w:val="32"/>
          <w:szCs w:val="32"/>
          <w:highlight w:val="yellow"/>
        </w:rPr>
      </w:pPr>
      <w:r>
        <w:rPr>
          <w:rFonts w:hint="eastAsia" w:ascii="仿宋_GB2312" w:hAnsi="仿宋" w:eastAsia="仿宋_GB2312" w:cs="仿宋"/>
          <w:sz w:val="32"/>
          <w:szCs w:val="32"/>
        </w:rPr>
        <w:t>（一）在中国境内注册的独立法人或其他组织（提供营业执照、事业法人证书、社会团体法人登记证书等扫描件）</w:t>
      </w:r>
      <w:r>
        <w:rPr>
          <w:rFonts w:hint="eastAsia" w:ascii="仿宋_GB2312" w:hAnsi="仿宋" w:cs="仿宋"/>
          <w:sz w:val="32"/>
          <w:szCs w:val="32"/>
          <w:lang w:eastAsia="zh-CN"/>
        </w:rPr>
        <w:t>，</w:t>
      </w:r>
      <w:r>
        <w:rPr>
          <w:rFonts w:hint="eastAsia" w:ascii="仿宋_GB2312" w:hAnsi="仿宋" w:eastAsia="仿宋_GB2312" w:cs="仿宋"/>
          <w:color w:val="auto"/>
          <w:sz w:val="32"/>
          <w:szCs w:val="32"/>
          <w:highlight w:val="none"/>
        </w:rPr>
        <w:t>总公司或者分公司只允许一家投标，不允许同时参与本项目投标，分公司参与投标的，须提供总公司或具有独立法人的上一级公司出具的愿为其参与本项目投标的行为以及履约等行为承担民事责任的加盖总公司公章的授权函，以及提供总、分公司的营业执照扫描件；</w:t>
      </w:r>
    </w:p>
    <w:p>
      <w:pPr>
        <w:pStyle w:val="16"/>
        <w:spacing w:line="560" w:lineRule="exact"/>
        <w:ind w:firstLine="640"/>
        <w:jc w:val="both"/>
        <w:rPr>
          <w:rFonts w:ascii="仿宋_GB2312" w:hAnsi="仿宋" w:eastAsia="仿宋_GB2312" w:cs="仿宋"/>
          <w:sz w:val="32"/>
          <w:szCs w:val="32"/>
        </w:rPr>
      </w:pPr>
      <w:r>
        <w:rPr>
          <w:rFonts w:hint="eastAsia" w:ascii="仿宋_GB2312" w:hAnsi="仿宋" w:eastAsia="仿宋_GB2312" w:cs="仿宋"/>
          <w:sz w:val="32"/>
          <w:szCs w:val="32"/>
        </w:rPr>
        <w:t>（二）参与本项目投标近三年内（供应商成立不足三年的可从成立之日起算），在经营活动中没有重大违法记录</w:t>
      </w:r>
      <w:r>
        <w:rPr>
          <w:rFonts w:hint="eastAsia" w:ascii="仿宋_GB2312" w:hAnsi="仿宋" w:cs="仿宋"/>
          <w:sz w:val="32"/>
          <w:szCs w:val="32"/>
          <w:lang w:eastAsia="zh-CN"/>
        </w:rPr>
        <w:t>以及</w:t>
      </w:r>
      <w:r>
        <w:rPr>
          <w:rFonts w:hint="eastAsia" w:ascii="仿宋_GB2312" w:hAnsi="仿宋" w:eastAsia="仿宋_GB2312" w:cs="仿宋"/>
          <w:sz w:val="32"/>
          <w:szCs w:val="32"/>
        </w:rPr>
        <w:t>不存在被有关部门禁止参与政府采购活动且在有效期内的情况</w:t>
      </w:r>
      <w:r>
        <w:rPr>
          <w:rFonts w:hint="eastAsia" w:ascii="仿宋_GB2312" w:hAnsi="仿宋" w:cs="仿宋"/>
          <w:sz w:val="32"/>
          <w:szCs w:val="32"/>
          <w:lang w:eastAsia="zh-CN"/>
        </w:rPr>
        <w:t>；</w:t>
      </w:r>
    </w:p>
    <w:p>
      <w:pPr>
        <w:pStyle w:val="16"/>
        <w:spacing w:line="560" w:lineRule="exact"/>
        <w:ind w:firstLine="640"/>
        <w:jc w:val="both"/>
        <w:rPr>
          <w:rFonts w:hint="eastAsia" w:ascii="仿宋_GB2312" w:hAnsi="仿宋" w:eastAsia="仿宋_GB2312" w:cs="仿宋"/>
          <w:sz w:val="32"/>
          <w:szCs w:val="32"/>
          <w:highlight w:val="none"/>
          <w:lang w:eastAsia="zh-CN"/>
        </w:rPr>
      </w:pPr>
      <w:r>
        <w:rPr>
          <w:rFonts w:hint="eastAsia" w:ascii="仿宋_GB2312" w:hAnsi="仿宋" w:eastAsia="仿宋_GB2312" w:cs="仿宋"/>
          <w:sz w:val="32"/>
          <w:szCs w:val="32"/>
          <w:highlight w:val="none"/>
        </w:rPr>
        <w:t>（三）</w:t>
      </w:r>
      <w:r>
        <w:rPr>
          <w:rFonts w:hint="eastAsia" w:ascii="仿宋_GB2312" w:hAnsi="仿宋" w:eastAsia="仿宋_GB2312" w:cs="仿宋"/>
          <w:bCs/>
          <w:kern w:val="2"/>
          <w:sz w:val="32"/>
          <w:szCs w:val="32"/>
          <w:highlight w:val="none"/>
          <w:lang w:val="en-US" w:eastAsia="zh-CN" w:bidi="ar-SA"/>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sz w:val="32"/>
          <w:szCs w:val="32"/>
          <w:highlight w:val="none"/>
        </w:rPr>
        <w:t>，不得同时参加本项目的采购活动</w:t>
      </w:r>
      <w:r>
        <w:rPr>
          <w:rFonts w:hint="eastAsia" w:ascii="仿宋_GB2312" w:hAnsi="仿宋" w:cs="仿宋"/>
          <w:sz w:val="32"/>
          <w:szCs w:val="32"/>
          <w:highlight w:val="none"/>
          <w:lang w:eastAsia="zh-CN"/>
        </w:rPr>
        <w:t>。</w:t>
      </w:r>
      <w:bookmarkStart w:id="2" w:name="_GoBack"/>
      <w:bookmarkEnd w:id="2"/>
    </w:p>
    <w:p>
      <w:pPr>
        <w:spacing w:line="560" w:lineRule="exact"/>
        <w:ind w:firstLine="640" w:firstLineChars="200"/>
        <w:jc w:val="left"/>
        <w:rPr>
          <w:rFonts w:ascii="黑体" w:hAnsi="黑体" w:eastAsia="黑体" w:cs="黑体"/>
          <w:sz w:val="32"/>
          <w:szCs w:val="32"/>
          <w:highlight w:val="none"/>
        </w:rPr>
      </w:pPr>
      <w:r>
        <w:rPr>
          <w:rFonts w:hint="eastAsia" w:ascii="黑体" w:hAnsi="黑体" w:eastAsia="黑体" w:cs="黑体"/>
          <w:sz w:val="32"/>
          <w:szCs w:val="32"/>
        </w:rPr>
        <w:t>六</w:t>
      </w:r>
      <w:r>
        <w:rPr>
          <w:rFonts w:hint="eastAsia" w:ascii="黑体" w:hAnsi="黑体" w:eastAsia="黑体" w:cs="黑体"/>
          <w:sz w:val="32"/>
          <w:szCs w:val="32"/>
          <w:highlight w:val="none"/>
        </w:rPr>
        <w:t>、选定供应商方法</w:t>
      </w:r>
    </w:p>
    <w:p>
      <w:pPr>
        <w:spacing w:line="560" w:lineRule="exact"/>
        <w:ind w:firstLine="640" w:firstLineChars="200"/>
        <w:jc w:val="left"/>
        <w:rPr>
          <w:rFonts w:hint="eastAsia" w:ascii="仿宋_GB2312" w:hAnsi="仿宋" w:eastAsia="仿宋_GB2312"/>
          <w:sz w:val="32"/>
          <w:highlight w:val="none"/>
          <w:lang w:val="en-US" w:eastAsia="zh-CN"/>
        </w:rPr>
      </w:pPr>
      <w:r>
        <w:rPr>
          <w:rFonts w:hint="eastAsia" w:ascii="仿宋_GB2312" w:hAnsi="仿宋" w:eastAsia="仿宋_GB2312"/>
          <w:sz w:val="32"/>
          <w:highlight w:val="none"/>
        </w:rPr>
        <w:t>综合评分法</w:t>
      </w:r>
    </w:p>
    <w:p>
      <w:pPr>
        <w:keepNext w:val="0"/>
        <w:keepLines w:val="0"/>
        <w:pageBreakBefore w:val="0"/>
        <w:widowControl w:val="0"/>
        <w:snapToGrid/>
        <w:spacing w:line="560" w:lineRule="exact"/>
        <w:ind w:firstLine="640" w:firstLineChars="200"/>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七、评分要求</w:t>
      </w:r>
      <w:r>
        <w:rPr>
          <w:rFonts w:hint="eastAsia" w:ascii="黑体" w:hAnsi="黑体" w:eastAsia="黑体" w:cs="黑体"/>
          <w:sz w:val="32"/>
          <w:szCs w:val="32"/>
          <w:highlight w:val="none"/>
          <w:lang w:eastAsia="zh-CN"/>
        </w:rPr>
        <w:t>（采取综合评分法适用）</w:t>
      </w:r>
    </w:p>
    <w:p>
      <w:pPr>
        <w:pStyle w:val="18"/>
        <w:spacing w:line="560" w:lineRule="exact"/>
        <w:ind w:firstLine="640" w:firstLineChars="200"/>
        <w:rPr>
          <w:rFonts w:ascii="楷体_GB2312" w:hAnsi="楷体_GB2312" w:eastAsia="楷体_GB2312" w:cs="楷体_GB2312"/>
          <w:b w:val="0"/>
          <w:bCs/>
          <w:color w:val="000000"/>
          <w:sz w:val="32"/>
          <w:szCs w:val="32"/>
        </w:rPr>
      </w:pPr>
      <w:r>
        <w:rPr>
          <w:rFonts w:hint="eastAsia" w:ascii="楷体_GB2312" w:hAnsi="楷体_GB2312" w:eastAsia="楷体_GB2312" w:cs="楷体_GB2312"/>
          <w:b w:val="0"/>
          <w:bCs/>
          <w:color w:val="000000"/>
          <w:sz w:val="32"/>
          <w:szCs w:val="32"/>
        </w:rPr>
        <w:t>（一）评分规则</w:t>
      </w:r>
    </w:p>
    <w:p>
      <w:pPr>
        <w:spacing w:line="560" w:lineRule="exact"/>
        <w:ind w:firstLine="640" w:firstLineChars="200"/>
        <w:jc w:val="left"/>
        <w:rPr>
          <w:rFonts w:ascii="楷体_GB2312" w:hAnsi="楷体_GB2312" w:eastAsia="楷体_GB2312" w:cs="楷体_GB2312"/>
          <w:bCs/>
          <w:color w:val="000000"/>
          <w:sz w:val="32"/>
          <w:szCs w:val="32"/>
        </w:rPr>
      </w:pPr>
      <w:r>
        <w:rPr>
          <w:rFonts w:hint="eastAsia" w:ascii="仿宋_GB2312" w:eastAsia="仿宋_GB2312"/>
          <w:color w:val="000000"/>
          <w:sz w:val="32"/>
          <w:szCs w:val="32"/>
        </w:rPr>
        <w:t>采取综合评分标准，平均分最高的投标人为本项目中标人。</w:t>
      </w:r>
    </w:p>
    <w:p>
      <w:pPr>
        <w:pStyle w:val="18"/>
        <w:spacing w:line="560" w:lineRule="exact"/>
        <w:ind w:firstLine="640" w:firstLineChars="200"/>
        <w:rPr>
          <w:rFonts w:hint="eastAsia" w:ascii="楷体_GB2312" w:hAnsi="楷体_GB2312" w:eastAsia="楷体_GB2312" w:cs="楷体_GB2312"/>
          <w:b w:val="0"/>
          <w:bCs/>
          <w:color w:val="000000"/>
          <w:sz w:val="32"/>
          <w:szCs w:val="32"/>
          <w:lang w:eastAsia="zh-CN"/>
        </w:rPr>
      </w:pPr>
      <w:r>
        <w:rPr>
          <w:rFonts w:hint="eastAsia" w:ascii="楷体_GB2312" w:hAnsi="楷体_GB2312" w:eastAsia="楷体_GB2312" w:cs="楷体_GB2312"/>
          <w:b w:val="0"/>
          <w:bCs/>
          <w:color w:val="000000"/>
          <w:sz w:val="32"/>
          <w:szCs w:val="32"/>
        </w:rPr>
        <w:t>（二）评分权重</w:t>
      </w:r>
    </w:p>
    <w:tbl>
      <w:tblPr>
        <w:tblStyle w:val="13"/>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b w:val="0"/>
                <w:bCs/>
                <w:szCs w:val="24"/>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hint="eastAsia" w:ascii="仿宋_GB2312" w:hAnsi="仿宋_GB2312" w:eastAsia="仿宋_GB2312" w:cs="仿宋_GB2312"/>
                <w:b w:val="0"/>
                <w:bCs/>
                <w:szCs w:val="24"/>
                <w:lang w:eastAsia="zh-CN"/>
              </w:rPr>
            </w:pPr>
            <w:r>
              <w:rPr>
                <w:rFonts w:hint="eastAsia" w:ascii="仿宋_GB2312" w:hAnsi="仿宋_GB2312" w:eastAsia="仿宋_GB2312" w:cs="仿宋_GB2312"/>
                <w:b w:val="0"/>
                <w:bCs/>
                <w:szCs w:val="24"/>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hint="eastAsia" w:ascii="仿宋_GB2312" w:hAnsi="仿宋_GB2312" w:eastAsia="仿宋_GB2312" w:cs="仿宋_GB2312"/>
                <w:b w:val="0"/>
                <w:bCs/>
                <w:szCs w:val="24"/>
                <w:lang w:eastAsia="zh-CN"/>
              </w:rPr>
            </w:pPr>
            <w:r>
              <w:rPr>
                <w:rFonts w:hint="eastAsia" w:ascii="仿宋_GB2312" w:hAnsi="仿宋_GB2312" w:eastAsia="仿宋_GB2312" w:cs="仿宋_GB2312"/>
                <w:b w:val="0"/>
                <w:bCs/>
                <w:szCs w:val="24"/>
                <w:lang w:eastAsia="zh-CN"/>
              </w:rPr>
              <w:t>商务部分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b w:val="0"/>
                <w:bCs/>
                <w:szCs w:val="24"/>
                <w:lang w:eastAsia="zh-CN"/>
              </w:rPr>
              <w:t>技术部分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b w:val="0"/>
                <w:bCs/>
                <w:szCs w:val="24"/>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b w:val="0"/>
                <w:bCs/>
                <w:szCs w:val="24"/>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b w:val="0"/>
                <w:bCs/>
                <w:szCs w:val="24"/>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left"/>
              <w:rPr>
                <w:rFonts w:ascii="仿宋_GB2312" w:hAnsi="仿宋_GB2312" w:eastAsia="仿宋_GB2312" w:cs="仿宋_GB2312"/>
                <w:b w:val="0"/>
                <w:bCs/>
                <w:szCs w:val="24"/>
              </w:rPr>
            </w:pPr>
            <w:r>
              <w:rPr>
                <w:rFonts w:hint="eastAsia" w:ascii="仿宋_GB2312" w:hAnsi="仿宋_GB2312" w:eastAsia="仿宋_GB2312" w:cs="仿宋_GB2312"/>
                <w:sz w:val="24"/>
                <w:szCs w:val="24"/>
                <w:lang w:val="en-US" w:eastAsia="zh-CN"/>
              </w:rPr>
              <w:t>60</w:t>
            </w:r>
            <w:r>
              <w:rPr>
                <w:rFonts w:hint="eastAsia" w:ascii="仿宋_GB2312" w:hAnsi="仿宋_GB2312" w:eastAsia="仿宋_GB2312" w:cs="仿宋_GB2312"/>
                <w:b w:val="0"/>
                <w:bCs/>
                <w:szCs w:val="24"/>
              </w:rPr>
              <w:t>分</w:t>
            </w:r>
          </w:p>
        </w:tc>
      </w:tr>
    </w:tbl>
    <w:p>
      <w:pPr>
        <w:pStyle w:val="18"/>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color w:val="000000"/>
          <w:sz w:val="32"/>
          <w:szCs w:val="32"/>
        </w:rPr>
        <w:t>（三）评分标准</w:t>
      </w:r>
    </w:p>
    <w:tbl>
      <w:tblPr>
        <w:tblStyle w:val="14"/>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170"/>
        <w:gridCol w:w="6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报价</w:t>
            </w:r>
          </w:p>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w:t>
            </w:r>
            <w:r>
              <w:rPr>
                <w:rFonts w:hint="default" w:ascii="仿宋_GB2312" w:hAnsi="仿宋_GB2312" w:eastAsia="仿宋_GB2312" w:cs="仿宋_GB2312"/>
                <w:sz w:val="24"/>
                <w:szCs w:val="24"/>
                <w:vertAlign w:val="baseline"/>
                <w:lang w:val="en" w:eastAsia="zh-CN"/>
              </w:rPr>
              <w:t>2</w:t>
            </w:r>
            <w:r>
              <w:rPr>
                <w:rFonts w:hint="eastAsia" w:ascii="仿宋_GB2312" w:hAnsi="仿宋_GB2312" w:eastAsia="仿宋_GB2312" w:cs="仿宋_GB2312"/>
                <w:sz w:val="24"/>
                <w:szCs w:val="24"/>
                <w:vertAlign w:val="baseline"/>
                <w:lang w:val="en-US" w:eastAsia="zh-CN"/>
              </w:rPr>
              <w:t>0分</w:t>
            </w:r>
            <w:r>
              <w:rPr>
                <w:rFonts w:hint="eastAsia" w:ascii="仿宋_GB2312" w:hAnsi="仿宋_GB2312" w:eastAsia="仿宋_GB2312" w:cs="仿宋_GB2312"/>
                <w:sz w:val="24"/>
                <w:szCs w:val="24"/>
                <w:vertAlign w:val="baseline"/>
                <w:lang w:eastAsia="zh-CN"/>
              </w:rPr>
              <w:t>）</w:t>
            </w:r>
          </w:p>
        </w:tc>
        <w:tc>
          <w:tcPr>
            <w:tcW w:w="1170" w:type="dxa"/>
            <w:noWrap w:val="0"/>
            <w:vAlign w:val="top"/>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评分</w:t>
            </w:r>
          </w:p>
          <w:p>
            <w:pPr>
              <w:spacing w:line="560" w:lineRule="exact"/>
              <w:jc w:val="left"/>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lang w:eastAsia="zh-CN"/>
              </w:rPr>
              <w:t>因素</w:t>
            </w:r>
          </w:p>
        </w:tc>
        <w:tc>
          <w:tcPr>
            <w:tcW w:w="6143" w:type="dxa"/>
            <w:noWrap w:val="0"/>
            <w:vAlign w:val="center"/>
          </w:tcPr>
          <w:p>
            <w:pPr>
              <w:spacing w:line="560" w:lineRule="exact"/>
              <w:jc w:val="left"/>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价格</w:t>
            </w:r>
          </w:p>
        </w:tc>
        <w:tc>
          <w:tcPr>
            <w:tcW w:w="6143" w:type="dxa"/>
            <w:noWrap w:val="0"/>
            <w:vAlign w:val="center"/>
          </w:tcPr>
          <w:p>
            <w:pPr>
              <w:topLinePunct/>
              <w:snapToGrid w:val="0"/>
              <w:spacing w:line="56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以本次报价或投标人所报的有效报价中的最低价作为基准报价。投标人报价得分=（基准价/投标人报价）*</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商务</w:t>
            </w:r>
          </w:p>
          <w:p>
            <w:pPr>
              <w:pStyle w:val="3"/>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部分</w:t>
            </w:r>
          </w:p>
          <w:p>
            <w:pPr>
              <w:pStyle w:val="3"/>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sz w:val="24"/>
                <w:szCs w:val="24"/>
                <w:vertAlign w:val="baseline"/>
                <w:lang w:val="en-US" w:eastAsia="zh-CN"/>
              </w:rPr>
              <w:t>分</w:t>
            </w:r>
            <w:r>
              <w:rPr>
                <w:rFonts w:hint="eastAsia" w:ascii="仿宋_GB2312" w:hAnsi="仿宋_GB2312" w:eastAsia="仿宋_GB2312" w:cs="仿宋_GB2312"/>
                <w:sz w:val="24"/>
                <w:szCs w:val="24"/>
                <w:vertAlign w:val="baseline"/>
                <w:lang w:eastAsia="zh-CN"/>
              </w:rPr>
              <w:t>）</w:t>
            </w:r>
          </w:p>
        </w:tc>
        <w:tc>
          <w:tcPr>
            <w:tcW w:w="1170" w:type="dxa"/>
            <w:noWrap w:val="0"/>
            <w:vAlign w:val="top"/>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评分</w:t>
            </w:r>
          </w:p>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因素</w:t>
            </w:r>
          </w:p>
        </w:tc>
        <w:tc>
          <w:tcPr>
            <w:tcW w:w="6143" w:type="dxa"/>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lang w:eastAsia="zh-CN"/>
              </w:rPr>
              <w:t>同类项目经验（</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sz w:val="24"/>
                <w:szCs w:val="24"/>
                <w:lang w:val="en-US" w:eastAsia="zh-CN"/>
              </w:rPr>
              <w:t>分</w:t>
            </w:r>
            <w:r>
              <w:rPr>
                <w:rFonts w:hint="eastAsia" w:ascii="仿宋_GB2312" w:hAnsi="仿宋_GB2312" w:eastAsia="仿宋_GB2312" w:cs="仿宋_GB2312"/>
                <w:sz w:val="24"/>
                <w:szCs w:val="24"/>
                <w:lang w:eastAsia="zh-CN"/>
              </w:rPr>
              <w:t>）</w:t>
            </w:r>
          </w:p>
        </w:tc>
        <w:tc>
          <w:tcPr>
            <w:tcW w:w="6143" w:type="dxa"/>
            <w:noWrap w:val="0"/>
            <w:vAlign w:val="top"/>
          </w:tcPr>
          <w:p>
            <w:pPr>
              <w:topLinePunct/>
              <w:snapToGrid w:val="0"/>
              <w:spacing w:line="560" w:lineRule="exact"/>
              <w:jc w:val="both"/>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topLinePunct/>
              <w:snapToGrid w:val="0"/>
              <w:spacing w:line="56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投标人自202</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年1月1日至本项目投标截止日（以合同签订日期为准），</w:t>
            </w:r>
            <w:r>
              <w:rPr>
                <w:rFonts w:hint="eastAsia" w:ascii="仿宋_GB2312" w:hAnsi="仿宋_GB2312" w:eastAsia="仿宋_GB2312" w:cs="仿宋_GB2312"/>
                <w:sz w:val="24"/>
                <w:szCs w:val="24"/>
                <w:lang w:val="en-US" w:eastAsia="zh-CN"/>
              </w:rPr>
              <w:t>每提供一项</w:t>
            </w:r>
            <w:r>
              <w:rPr>
                <w:rFonts w:hint="default" w:ascii="仿宋_GB2312" w:hAnsi="仿宋_GB2312" w:eastAsia="仿宋_GB2312" w:cs="仿宋_GB2312"/>
                <w:sz w:val="24"/>
                <w:szCs w:val="24"/>
                <w:lang w:val="en" w:eastAsia="zh-CN"/>
              </w:rPr>
              <w:t>营销策划、新媒体账号运营/达人培训/短视频拍摄/营销策划等</w:t>
            </w:r>
            <w:r>
              <w:rPr>
                <w:rFonts w:hint="eastAsia" w:ascii="仿宋_GB2312" w:hAnsi="仿宋_GB2312" w:eastAsia="仿宋_GB2312" w:cs="仿宋_GB2312"/>
                <w:sz w:val="24"/>
                <w:szCs w:val="24"/>
                <w:lang w:eastAsia="zh-CN"/>
              </w:rPr>
              <w:t>业绩得</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lang w:eastAsia="zh-CN"/>
              </w:rPr>
              <w:t>分，最高得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lang w:eastAsia="zh-CN"/>
              </w:rPr>
              <w:t>分</w:t>
            </w:r>
            <w:r>
              <w:rPr>
                <w:rFonts w:hint="eastAsia" w:ascii="仿宋_GB2312" w:hAnsi="仿宋_GB2312" w:eastAsia="仿宋_GB2312" w:cs="仿宋_GB2312"/>
                <w:sz w:val="24"/>
                <w:szCs w:val="24"/>
                <w:lang w:val="en-US" w:eastAsia="zh-CN"/>
              </w:rPr>
              <w:t>。</w:t>
            </w:r>
          </w:p>
          <w:p>
            <w:pPr>
              <w:topLinePunct/>
              <w:snapToGrid w:val="0"/>
              <w:spacing w:line="560" w:lineRule="exact"/>
              <w:jc w:val="both"/>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topLinePunct/>
              <w:snapToGrid w:val="0"/>
              <w:spacing w:line="560" w:lineRule="exact"/>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每项业绩按以下要求提供完整准确的证明文件，一个合同计算一个业绩，一年一签的续签合同只计算一个业绩：</w:t>
            </w:r>
          </w:p>
          <w:p>
            <w:pPr>
              <w:topLinePunct/>
              <w:snapToGrid w:val="0"/>
              <w:spacing w:line="560" w:lineRule="exact"/>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合同关键页（关键信息包括但不仅限于合同的项目名称、服务内容、合同服务的起止时间、合同双方的盖章、签订日期等）；</w:t>
            </w:r>
          </w:p>
          <w:p>
            <w:pPr>
              <w:topLinePunct/>
              <w:snapToGrid w:val="0"/>
              <w:spacing w:line="560" w:lineRule="exact"/>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未提供证明材料或者提供的证明材料不符合要求或提供的证明材料不清晰导致采购小组无法辨认的，不得分。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拟安排项目团队成员</w:t>
            </w:r>
          </w:p>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sz w:val="24"/>
                <w:szCs w:val="24"/>
                <w:lang w:val="en-US" w:eastAsia="zh-CN"/>
              </w:rPr>
              <w:t>分）</w:t>
            </w:r>
          </w:p>
        </w:tc>
        <w:tc>
          <w:tcPr>
            <w:tcW w:w="6143" w:type="dxa"/>
            <w:noWrap w:val="0"/>
            <w:vAlign w:val="center"/>
          </w:tcPr>
          <w:p>
            <w:pPr>
              <w:pStyle w:val="11"/>
              <w:widowControl/>
              <w:topLinePunct w:val="0"/>
              <w:snapToGrid w:val="0"/>
              <w:spacing w:line="360" w:lineRule="exact"/>
              <w:jc w:val="both"/>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adjustRightInd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 每提供1名具有本科及以上学历的项目团队成员，得1分，本小项最高得</w:t>
            </w:r>
            <w:r>
              <w:rPr>
                <w:rFonts w:hint="default" w:ascii="仿宋_GB2312" w:hAnsi="仿宋_GB2312" w:eastAsia="仿宋_GB2312" w:cs="仿宋_GB2312"/>
                <w:color w:val="auto"/>
                <w:sz w:val="24"/>
                <w:szCs w:val="24"/>
                <w:highlight w:val="none"/>
                <w:lang w:val="en" w:eastAsia="zh-CN"/>
              </w:rPr>
              <w:t>3</w:t>
            </w:r>
            <w:r>
              <w:rPr>
                <w:rFonts w:hint="eastAsia" w:ascii="仿宋_GB2312" w:hAnsi="仿宋_GB2312" w:eastAsia="仿宋_GB2312" w:cs="仿宋_GB2312"/>
                <w:color w:val="auto"/>
                <w:sz w:val="24"/>
                <w:szCs w:val="24"/>
                <w:highlight w:val="none"/>
                <w:lang w:val="en-US" w:eastAsia="zh-CN"/>
              </w:rPr>
              <w:t>分；</w:t>
            </w:r>
          </w:p>
          <w:p>
            <w:pPr>
              <w:adjustRightInd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 每提供1名具有以下相关专业背景的人员，得</w:t>
            </w:r>
            <w:r>
              <w:rPr>
                <w:rFonts w:hint="default" w:ascii="仿宋_GB2312" w:hAnsi="仿宋_GB2312" w:eastAsia="仿宋_GB2312" w:cs="仿宋_GB2312"/>
                <w:color w:val="auto"/>
                <w:sz w:val="24"/>
                <w:szCs w:val="24"/>
                <w:highlight w:val="none"/>
                <w:lang w:val="en" w:eastAsia="zh-CN"/>
              </w:rPr>
              <w:t>1</w:t>
            </w:r>
            <w:r>
              <w:rPr>
                <w:rFonts w:hint="eastAsia" w:ascii="仿宋_GB2312" w:hAnsi="仿宋_GB2312" w:eastAsia="仿宋_GB2312" w:cs="仿宋_GB2312"/>
                <w:color w:val="auto"/>
                <w:sz w:val="24"/>
                <w:szCs w:val="24"/>
                <w:highlight w:val="none"/>
                <w:lang w:val="en-US" w:eastAsia="zh-CN"/>
              </w:rPr>
              <w:t>分，本小项最高得</w:t>
            </w:r>
            <w:r>
              <w:rPr>
                <w:rFonts w:hint="default" w:ascii="仿宋_GB2312" w:hAnsi="仿宋_GB2312" w:eastAsia="仿宋_GB2312" w:cs="仿宋_GB2312"/>
                <w:color w:val="auto"/>
                <w:sz w:val="24"/>
                <w:szCs w:val="24"/>
                <w:highlight w:val="none"/>
                <w:lang w:val="en" w:eastAsia="zh-CN"/>
              </w:rPr>
              <w:t>2</w:t>
            </w:r>
            <w:r>
              <w:rPr>
                <w:rFonts w:hint="eastAsia" w:ascii="仿宋_GB2312" w:hAnsi="仿宋_GB2312" w:eastAsia="仿宋_GB2312" w:cs="仿宋_GB2312"/>
                <w:color w:val="auto"/>
                <w:sz w:val="24"/>
                <w:szCs w:val="24"/>
                <w:highlight w:val="none"/>
                <w:lang w:val="en-US" w:eastAsia="zh-CN"/>
              </w:rPr>
              <w:t>分（同1人提供多个专业不重复得分）。</w:t>
            </w:r>
          </w:p>
          <w:p>
            <w:pPr>
              <w:adjustRightInd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相关专业包括：新媒体运营、传播学、自媒体运营、数字营销、摄影摄像、广播电视编导、新闻学、文学、广告学、视觉传达设计、数字媒体艺术设计等；</w:t>
            </w:r>
          </w:p>
          <w:p>
            <w:pPr>
              <w:adjustRightInd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3.以上两项合计最高分</w:t>
            </w:r>
            <w:r>
              <w:rPr>
                <w:rFonts w:hint="default" w:ascii="仿宋_GB2312" w:hAnsi="仿宋_GB2312" w:eastAsia="仿宋_GB2312" w:cs="仿宋_GB2312"/>
                <w:color w:val="auto"/>
                <w:sz w:val="24"/>
                <w:szCs w:val="24"/>
                <w:highlight w:val="none"/>
                <w:lang w:val="en" w:eastAsia="zh-CN"/>
              </w:rPr>
              <w:t>5</w:t>
            </w:r>
            <w:r>
              <w:rPr>
                <w:rFonts w:hint="eastAsia" w:ascii="仿宋_GB2312" w:hAnsi="仿宋_GB2312" w:eastAsia="仿宋_GB2312" w:cs="仿宋_GB2312"/>
                <w:color w:val="auto"/>
                <w:sz w:val="24"/>
                <w:szCs w:val="24"/>
                <w:highlight w:val="none"/>
                <w:lang w:val="en" w:eastAsia="zh-CN"/>
              </w:rPr>
              <w:t>分</w:t>
            </w:r>
            <w:r>
              <w:rPr>
                <w:rFonts w:hint="eastAsia" w:ascii="仿宋_GB2312" w:hAnsi="仿宋_GB2312" w:eastAsia="仿宋_GB2312" w:cs="仿宋_GB2312"/>
                <w:color w:val="auto"/>
                <w:sz w:val="24"/>
                <w:szCs w:val="24"/>
                <w:highlight w:val="none"/>
                <w:lang w:val="en-US" w:eastAsia="zh-CN"/>
              </w:rPr>
              <w:t>。</w:t>
            </w:r>
          </w:p>
          <w:p>
            <w:pPr>
              <w:pStyle w:val="11"/>
              <w:widowControl/>
              <w:topLinePunct w:val="0"/>
              <w:snapToGrid w:val="0"/>
              <w:spacing w:line="360" w:lineRule="exact"/>
              <w:jc w:val="both"/>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widowControl/>
              <w:topLinePunct/>
              <w:snapToGrid w:val="0"/>
              <w:spacing w:line="5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1.提供毕业证书或学位证书扫描件、学历信息在学信网查询结果截图，原件备查。</w:t>
            </w:r>
          </w:p>
          <w:p>
            <w:pPr>
              <w:widowControl/>
              <w:topLinePunct/>
              <w:snapToGrid w:val="0"/>
              <w:spacing w:line="56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2.以上人员近三个月社保缴纳记录。</w:t>
            </w:r>
          </w:p>
          <w:p>
            <w:pPr>
              <w:widowControl/>
              <w:topLinePunct/>
              <w:snapToGrid w:val="0"/>
              <w:spacing w:line="560" w:lineRule="exact"/>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highlight w:val="none"/>
                <w:lang w:val="en-US" w:eastAsia="zh-CN"/>
              </w:rPr>
              <w:t>以上证明文件原件备查，</w:t>
            </w:r>
            <w:r>
              <w:rPr>
                <w:rFonts w:hint="eastAsia" w:ascii="仿宋_GB2312" w:hAnsi="仿宋_GB2312" w:eastAsia="仿宋_GB2312" w:cs="仿宋_GB2312"/>
                <w:sz w:val="24"/>
                <w:szCs w:val="24"/>
                <w:highlight w:val="none"/>
                <w:lang w:eastAsia="zh-CN"/>
              </w:rPr>
              <w:t>未提供或未按要求提供或提供的不清晰导致采购小组无法判断的，不得分。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项目完成（服务期满）</w:t>
            </w:r>
          </w:p>
          <w:p>
            <w:pPr>
              <w:spacing w:line="560" w:lineRule="exact"/>
              <w:jc w:val="left"/>
              <w:rPr>
                <w:rFonts w:hint="eastAsia"/>
                <w:lang w:eastAsia="zh-CN"/>
              </w:rPr>
            </w:pPr>
            <w:r>
              <w:rPr>
                <w:rFonts w:hint="eastAsia" w:ascii="仿宋_GB2312" w:hAnsi="仿宋_GB2312" w:eastAsia="仿宋_GB2312" w:cs="仿宋_GB2312"/>
                <w:sz w:val="24"/>
                <w:szCs w:val="24"/>
                <w:lang w:val="en-US" w:eastAsia="zh-CN"/>
              </w:rPr>
              <w:t>后的服务承诺（</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sz w:val="24"/>
                <w:szCs w:val="24"/>
                <w:lang w:val="en-US" w:eastAsia="zh-CN"/>
              </w:rPr>
              <w:t>分）</w:t>
            </w:r>
          </w:p>
        </w:tc>
        <w:tc>
          <w:tcPr>
            <w:tcW w:w="6143" w:type="dxa"/>
            <w:noWrap w:val="0"/>
            <w:vAlign w:val="center"/>
          </w:tcPr>
          <w:p>
            <w:pPr>
              <w:topLinePunct/>
              <w:snapToGrid w:val="0"/>
              <w:spacing w:line="560" w:lineRule="exact"/>
              <w:jc w:val="both"/>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（一）</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内容：</w:t>
            </w:r>
          </w:p>
          <w:p>
            <w:pPr>
              <w:adjustRightInd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numPr>
                <w:ilvl w:val="-1"/>
                <w:numId w:val="0"/>
              </w:numPr>
              <w:adjustRightInd w:val="0"/>
              <w:snapToGrid w:val="0"/>
              <w:spacing w:line="5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2.配合项目检查审计等事项。</w:t>
            </w:r>
          </w:p>
          <w:p>
            <w:pPr>
              <w:topLinePunct/>
              <w:snapToGrid w:val="0"/>
              <w:spacing w:line="560" w:lineRule="exact"/>
              <w:jc w:val="both"/>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（二）</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依据：</w:t>
            </w:r>
          </w:p>
          <w:p>
            <w:pPr>
              <w:topLinePunct/>
              <w:snapToGrid w:val="0"/>
              <w:spacing w:line="560" w:lineRule="exact"/>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highlight w:val="none"/>
              </w:rPr>
              <w:t>提供</w:t>
            </w:r>
            <w:r>
              <w:rPr>
                <w:rFonts w:hint="eastAsia" w:ascii="仿宋_GB2312" w:hAnsi="仿宋_GB2312" w:eastAsia="仿宋_GB2312" w:cs="仿宋_GB2312"/>
                <w:sz w:val="24"/>
                <w:szCs w:val="24"/>
                <w:highlight w:val="none"/>
                <w:lang w:eastAsia="zh-CN"/>
              </w:rPr>
              <w:t>服务</w:t>
            </w:r>
            <w:r>
              <w:rPr>
                <w:rFonts w:hint="eastAsia" w:ascii="仿宋_GB2312" w:hAnsi="仿宋_GB2312" w:eastAsia="仿宋_GB2312" w:cs="仿宋_GB2312"/>
                <w:sz w:val="24"/>
                <w:szCs w:val="24"/>
                <w:highlight w:val="none"/>
              </w:rPr>
              <w:t>承诺函（格式自拟）并加盖投标人公章，未提供承诺或承诺内容不满足要求不得分。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技术部分（</w:t>
            </w:r>
            <w:r>
              <w:rPr>
                <w:rFonts w:hint="eastAsia" w:ascii="仿宋_GB2312" w:hAnsi="仿宋_GB2312" w:eastAsia="仿宋_GB2312" w:cs="仿宋_GB2312"/>
                <w:color w:val="auto"/>
                <w:sz w:val="24"/>
                <w:szCs w:val="24"/>
                <w:highlight w:val="none"/>
                <w:lang w:val="en-US" w:eastAsia="zh-CN"/>
              </w:rPr>
              <w:t>60</w:t>
            </w:r>
            <w:r>
              <w:rPr>
                <w:rFonts w:hint="eastAsia" w:ascii="仿宋_GB2312" w:hAnsi="仿宋_GB2312" w:eastAsia="仿宋_GB2312" w:cs="仿宋_GB2312"/>
                <w:sz w:val="24"/>
                <w:szCs w:val="24"/>
                <w:vertAlign w:val="baseline"/>
                <w:lang w:val="en-US" w:eastAsia="zh-CN"/>
              </w:rPr>
              <w:t>分）</w:t>
            </w: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实</w:t>
            </w:r>
            <w:r>
              <w:rPr>
                <w:rFonts w:hint="eastAsia" w:ascii="仿宋_GB2312" w:hAnsi="仿宋_GB2312" w:eastAsia="仿宋_GB2312" w:cs="仿宋_GB2312"/>
                <w:sz w:val="24"/>
                <w:szCs w:val="24"/>
                <w:lang w:val="en-US" w:eastAsia="zh-CN"/>
              </w:rPr>
              <w:t>施</w:t>
            </w:r>
          </w:p>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方案</w:t>
            </w:r>
          </w:p>
          <w:p>
            <w:pPr>
              <w:spacing w:line="560" w:lineRule="exact"/>
              <w:jc w:val="left"/>
              <w:rPr>
                <w:rFonts w:hint="eastAsia"/>
                <w:lang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auto"/>
                <w:sz w:val="24"/>
                <w:szCs w:val="24"/>
                <w:highlight w:val="none"/>
                <w:lang w:val="en-US" w:eastAsia="zh-CN"/>
              </w:rPr>
              <w:t>35</w:t>
            </w:r>
            <w:r>
              <w:rPr>
                <w:rFonts w:hint="eastAsia" w:ascii="仿宋_GB2312" w:hAnsi="仿宋_GB2312" w:eastAsia="仿宋_GB2312" w:cs="仿宋_GB2312"/>
                <w:sz w:val="24"/>
                <w:szCs w:val="24"/>
                <w:lang w:val="en-US" w:eastAsia="zh-CN"/>
              </w:rPr>
              <w:t>分）</w:t>
            </w:r>
          </w:p>
        </w:tc>
        <w:tc>
          <w:tcPr>
            <w:tcW w:w="6143" w:type="dxa"/>
            <w:noWrap w:val="0"/>
            <w:vAlign w:val="top"/>
          </w:tcPr>
          <w:p>
            <w:pPr>
              <w:keepNext w:val="0"/>
              <w:keepLines w:val="0"/>
              <w:pageBreakBefore w:val="0"/>
              <w:widowControl w:val="0"/>
              <w:kinsoku/>
              <w:wordWrap/>
              <w:overflowPunct/>
              <w:topLinePunct/>
              <w:autoSpaceDE/>
              <w:autoSpaceDN/>
              <w:bidi w:val="0"/>
              <w:adjustRightInd/>
              <w:snapToGrid w:val="0"/>
              <w:spacing w:line="500" w:lineRule="exact"/>
              <w:jc w:val="both"/>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w:t>
            </w:r>
            <w:r>
              <w:rPr>
                <w:rFonts w:hint="default" w:ascii="仿宋_GB2312" w:hAnsi="仿宋_GB2312" w:eastAsia="仿宋_GB2312" w:cs="仿宋_GB2312"/>
                <w:color w:val="auto"/>
                <w:sz w:val="24"/>
                <w:szCs w:val="24"/>
                <w:highlight w:val="none"/>
                <w:lang w:val="en" w:eastAsia="zh-CN"/>
              </w:rPr>
              <w:t>.</w:t>
            </w:r>
            <w:r>
              <w:rPr>
                <w:rFonts w:hint="eastAsia" w:ascii="仿宋_GB2312" w:hAnsi="仿宋_GB2312" w:eastAsia="仿宋_GB2312" w:cs="仿宋_GB2312"/>
                <w:color w:val="auto"/>
                <w:sz w:val="24"/>
                <w:szCs w:val="24"/>
                <w:highlight w:val="none"/>
                <w:lang w:val="en-US" w:eastAsia="zh-CN"/>
              </w:rPr>
              <w:t>品牌IP定位与推荐官培育方案；</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2.团队专业能力与执行经验；</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3.视频制作与质量保障方案；</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4.流量运营与数据保障方案。</w:t>
            </w:r>
          </w:p>
          <w:p>
            <w:pPr>
              <w:keepNext w:val="0"/>
              <w:keepLines w:val="0"/>
              <w:pageBreakBefore w:val="0"/>
              <w:widowControl w:val="0"/>
              <w:kinsoku/>
              <w:wordWrap/>
              <w:overflowPunct/>
              <w:topLinePunct/>
              <w:autoSpaceDE/>
              <w:autoSpaceDN/>
              <w:bidi w:val="0"/>
              <w:adjustRightInd/>
              <w:snapToGrid w:val="0"/>
              <w:spacing w:line="500" w:lineRule="exact"/>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满足以上任意一项要求得5分，最高得20分，在此基础上，</w:t>
            </w:r>
            <w:r>
              <w:rPr>
                <w:rFonts w:hint="eastAsia" w:ascii="仿宋_GB2312" w:hAnsi="仿宋_GB2312" w:eastAsia="仿宋_GB2312" w:cs="仿宋_GB2312"/>
                <w:sz w:val="24"/>
                <w:szCs w:val="24"/>
              </w:rPr>
              <w:t>根据供应商的具体响应内容按照量化的评审因素指标进一步评审，设定优、良、中、差四个评分标准：</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1.优：项目实施方案内容全面、具体、针对性强、科学合理、可操作性强得15分；</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2.良：项目实施方案内容较丰富、较具体、针对性较强、较科学合理、可操作性较强得11分；</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3.中：项目实施方案内容、针对性、可操作性一般得7分；</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color w:val="auto"/>
                <w:sz w:val="24"/>
                <w:szCs w:val="24"/>
                <w:highlight w:val="none"/>
                <w:lang w:val="en-US" w:eastAsia="zh-CN"/>
              </w:rPr>
              <w:t>4.差：其他情况不得分。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0" w:hRule="atLeast"/>
        </w:trPr>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项目重点难点分析、应对措施及相关的合理化建议</w:t>
            </w:r>
          </w:p>
          <w:p>
            <w:pPr>
              <w:spacing w:line="560" w:lineRule="exact"/>
              <w:jc w:val="left"/>
              <w:rPr>
                <w:rFonts w:hint="eastAsia"/>
                <w:lang w:eastAsia="zh-CN"/>
              </w:rPr>
            </w:pPr>
            <w:r>
              <w:rPr>
                <w:rFonts w:hint="eastAsia" w:ascii="仿宋_GB2312" w:hAnsi="仿宋_GB2312" w:eastAsia="仿宋_GB2312" w:cs="仿宋_GB2312"/>
                <w:sz w:val="24"/>
                <w:szCs w:val="24"/>
                <w:vertAlign w:val="baseline"/>
                <w:lang w:val="en-US"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sz w:val="24"/>
                <w:szCs w:val="24"/>
                <w:vertAlign w:val="baseline"/>
                <w:lang w:val="en-US" w:eastAsia="zh-CN"/>
              </w:rPr>
              <w:t>分）</w:t>
            </w:r>
          </w:p>
        </w:tc>
        <w:tc>
          <w:tcPr>
            <w:tcW w:w="6143" w:type="dxa"/>
            <w:noWrap w:val="0"/>
            <w:vAlign w:val="top"/>
          </w:tcPr>
          <w:p>
            <w:pPr>
              <w:keepNext w:val="0"/>
              <w:keepLines w:val="0"/>
              <w:pageBreakBefore w:val="0"/>
              <w:widowControl w:val="0"/>
              <w:kinsoku/>
              <w:wordWrap/>
              <w:overflowPunct/>
              <w:topLinePunct/>
              <w:autoSpaceDE/>
              <w:autoSpaceDN/>
              <w:bidi w:val="0"/>
              <w:adjustRightInd/>
              <w:snapToGrid w:val="0"/>
              <w:spacing w:line="500" w:lineRule="exact"/>
              <w:jc w:val="both"/>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考察对项目工作量、可完成度等重点难点问题的识别和分析能力，并就识别出的重点难点提出可行的应对措施及合理化建议。</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包括但不限于以下内容：</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1.详细阐述本项目存在的重难点问题；</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2.根据项目重难点，详细阐述对应的应对措施；</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3.向招标方提出项目实施具体建议。</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满足以上任意一项要求得5分，最高得15分，在此基础上，</w:t>
            </w:r>
            <w:r>
              <w:rPr>
                <w:rFonts w:hint="eastAsia" w:ascii="仿宋_GB2312" w:hAnsi="仿宋_GB2312" w:eastAsia="仿宋_GB2312" w:cs="仿宋_GB2312"/>
                <w:sz w:val="24"/>
                <w:szCs w:val="24"/>
              </w:rPr>
              <w:t>根据供应商的具体响应内容按照量化的评审因素指标进一步评审，设定优、良、中、差四个评分标准：</w:t>
            </w:r>
          </w:p>
          <w:p>
            <w:pPr>
              <w:keepNext w:val="0"/>
              <w:keepLines w:val="0"/>
              <w:pageBreakBefore w:val="0"/>
              <w:widowControl w:val="0"/>
              <w:kinsoku/>
              <w:wordWrap/>
              <w:overflowPunct/>
              <w:autoSpaceDE/>
              <w:autoSpaceDN/>
              <w:bidi w:val="0"/>
              <w:adjustRightInd/>
              <w:spacing w:line="5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优：以上项目重点难点分析、应对措施及相关的合理化建议的三点内容全面具体、针对性强、可操作性强，加</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sz w:val="24"/>
                <w:szCs w:val="24"/>
              </w:rPr>
              <w:t>分；</w:t>
            </w:r>
          </w:p>
          <w:p>
            <w:pPr>
              <w:keepNext w:val="0"/>
              <w:keepLines w:val="0"/>
              <w:pageBreakBefore w:val="0"/>
              <w:widowControl w:val="0"/>
              <w:kinsoku/>
              <w:wordWrap/>
              <w:overflowPunct/>
              <w:autoSpaceDE/>
              <w:autoSpaceDN/>
              <w:bidi w:val="0"/>
              <w:adjustRightInd/>
              <w:spacing w:line="5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良：以上项目重点难点分析、应对措施及相关的合理化建议的三点内容较</w:t>
            </w:r>
            <w:r>
              <w:rPr>
                <w:rFonts w:hint="eastAsia" w:ascii="仿宋_GB2312" w:hAnsi="仿宋_GB2312" w:eastAsia="仿宋_GB2312" w:cs="仿宋_GB2312"/>
                <w:sz w:val="24"/>
                <w:szCs w:val="24"/>
                <w:lang w:eastAsia="zh-CN"/>
              </w:rPr>
              <w:t>丰富</w:t>
            </w:r>
            <w:r>
              <w:rPr>
                <w:rFonts w:hint="eastAsia" w:ascii="仿宋_GB2312" w:hAnsi="仿宋_GB2312" w:eastAsia="仿宋_GB2312" w:cs="仿宋_GB2312"/>
                <w:sz w:val="24"/>
                <w:szCs w:val="24"/>
              </w:rPr>
              <w:t>、针对性较强、可操作性较强，加</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分；</w:t>
            </w:r>
          </w:p>
          <w:p>
            <w:pPr>
              <w:keepNext w:val="0"/>
              <w:keepLines w:val="0"/>
              <w:pageBreakBefore w:val="0"/>
              <w:widowControl w:val="0"/>
              <w:kinsoku/>
              <w:wordWrap/>
              <w:overflowPunct/>
              <w:autoSpaceDE/>
              <w:autoSpaceDN/>
              <w:bidi w:val="0"/>
              <w:adjustRightInd/>
              <w:spacing w:line="5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中：以上项目重点难点分析、应对措施及相关的合理化建议的三点内容完整性、针对性、可操作性均一般，加</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sz w:val="24"/>
                <w:szCs w:val="24"/>
              </w:rPr>
              <w:t>分；</w:t>
            </w:r>
          </w:p>
          <w:p>
            <w:pPr>
              <w:keepNext w:val="0"/>
              <w:keepLines w:val="0"/>
              <w:pageBreakBefore w:val="0"/>
              <w:widowControl w:val="0"/>
              <w:kinsoku/>
              <w:wordWrap/>
              <w:overflowPunct/>
              <w:autoSpaceDE/>
              <w:autoSpaceDN/>
              <w:bidi w:val="0"/>
              <w:adjustRightInd/>
              <w:snapToGrid/>
              <w:spacing w:line="50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差：</w:t>
            </w:r>
            <w:r>
              <w:rPr>
                <w:rFonts w:hint="eastAsia" w:ascii="仿宋_GB2312" w:hAnsi="仿宋_GB2312" w:eastAsia="仿宋_GB2312" w:cs="仿宋_GB2312"/>
                <w:sz w:val="24"/>
                <w:szCs w:val="24"/>
                <w:lang w:eastAsia="zh-CN"/>
              </w:rPr>
              <w:t>其他情况</w:t>
            </w:r>
            <w:r>
              <w:rPr>
                <w:rFonts w:hint="eastAsia" w:ascii="仿宋_GB2312" w:hAnsi="仿宋_GB2312" w:eastAsia="仿宋_GB2312" w:cs="仿宋_GB2312"/>
                <w:color w:val="auto"/>
                <w:sz w:val="24"/>
                <w:szCs w:val="24"/>
                <w:highlight w:val="none"/>
                <w:lang w:val="en-US" w:eastAsia="zh-CN"/>
              </w:rPr>
              <w:t>不得分。</w:t>
            </w:r>
          </w:p>
        </w:tc>
      </w:tr>
    </w:tbl>
    <w:p>
      <w:pPr>
        <w:pStyle w:val="18"/>
        <w:spacing w:line="560" w:lineRule="exact"/>
        <w:ind w:firstLine="640" w:firstLineChars="200"/>
        <w:jc w:val="both"/>
        <w:rPr>
          <w:rFonts w:hint="eastAsia" w:ascii="方正黑体_GBK" w:hAnsi="方正黑体_GBK" w:eastAsia="方正黑体_GBK" w:cs="方正黑体_GBK"/>
          <w:b w:val="0"/>
          <w:bCs/>
          <w:color w:val="000000"/>
          <w:sz w:val="32"/>
          <w:szCs w:val="32"/>
          <w:lang w:eastAsia="zh-CN"/>
        </w:rPr>
      </w:pPr>
      <w:r>
        <w:rPr>
          <w:rFonts w:hint="eastAsia" w:ascii="方正黑体_GBK" w:hAnsi="方正黑体_GBK" w:eastAsia="方正黑体_GBK" w:cs="方正黑体_GBK"/>
          <w:b w:val="0"/>
          <w:bCs/>
          <w:color w:val="000000"/>
          <w:sz w:val="32"/>
          <w:szCs w:val="32"/>
          <w:lang w:eastAsia="zh-CN"/>
        </w:rPr>
        <w:t>八、</w:t>
      </w:r>
      <w:r>
        <w:rPr>
          <w:rFonts w:hint="eastAsia" w:ascii="方正黑体_GBK" w:hAnsi="方正黑体_GBK" w:eastAsia="方正黑体_GBK" w:cs="方正黑体_GBK"/>
          <w:b w:val="0"/>
          <w:bCs/>
          <w:color w:val="000000"/>
          <w:sz w:val="32"/>
          <w:szCs w:val="32"/>
        </w:rPr>
        <w:t>供应商提供资料清单</w:t>
      </w:r>
      <w:r>
        <w:rPr>
          <w:rFonts w:hint="eastAsia" w:ascii="方正黑体_GBK" w:hAnsi="方正黑体_GBK" w:eastAsia="方正黑体_GBK" w:cs="方正黑体_GBK"/>
          <w:b/>
          <w:bCs w:val="0"/>
          <w:color w:val="auto"/>
          <w:sz w:val="32"/>
          <w:szCs w:val="32"/>
          <w:lang w:eastAsia="zh-CN"/>
        </w:rPr>
        <w:t>（均需每页加盖公章）</w:t>
      </w:r>
    </w:p>
    <w:p>
      <w:pPr>
        <w:spacing w:line="560" w:lineRule="exact"/>
        <w:ind w:firstLine="642" w:firstLineChars="200"/>
        <w:jc w:val="both"/>
        <w:rPr>
          <w:rFonts w:hint="eastAsia" w:ascii="仿宋_GB2312" w:hAnsi="仿宋" w:eastAsia="仿宋_GB2312" w:cs="Times New Roman"/>
          <w:b/>
          <w:bCs/>
          <w:color w:val="FF0000"/>
          <w:sz w:val="32"/>
          <w:highlight w:val="none"/>
        </w:rPr>
      </w:pPr>
      <w:r>
        <w:rPr>
          <w:rFonts w:hint="eastAsia" w:ascii="仿宋_GB2312" w:hAnsi="仿宋" w:eastAsia="仿宋_GB2312" w:cs="Times New Roman"/>
          <w:b/>
          <w:bCs/>
          <w:color w:val="FF0000"/>
          <w:sz w:val="32"/>
          <w:highlight w:val="none"/>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hint="eastAsia" w:ascii="仿宋_GB2312" w:hAnsi="仿宋" w:eastAsia="仿宋_GB2312" w:cs="Times New Roman"/>
          <w:sz w:val="32"/>
        </w:rPr>
      </w:pPr>
      <w:r>
        <w:rPr>
          <w:rFonts w:hint="eastAsia" w:ascii="仿宋_GB2312" w:hAnsi="仿宋" w:eastAsia="仿宋_GB2312" w:cs="Times New Roman"/>
          <w:sz w:val="32"/>
        </w:rPr>
        <w:t>1.营业执照、事业法人证书、社会团体法人登记证书、相关许可证书；</w:t>
      </w:r>
    </w:p>
    <w:p>
      <w:pPr>
        <w:spacing w:line="560" w:lineRule="exact"/>
        <w:ind w:firstLine="640" w:firstLineChars="200"/>
        <w:jc w:val="both"/>
        <w:rPr>
          <w:rFonts w:hint="eastAsia" w:ascii="仿宋_GB2312" w:hAnsi="仿宋" w:eastAsia="仿宋_GB2312" w:cs="Times New Roman"/>
          <w:sz w:val="32"/>
        </w:rPr>
      </w:pPr>
      <w:r>
        <w:rPr>
          <w:rFonts w:hint="eastAsia" w:ascii="仿宋_GB2312" w:hAnsi="仿宋" w:eastAsia="仿宋_GB2312" w:cs="Times New Roman"/>
          <w:sz w:val="32"/>
        </w:rPr>
        <w:t>2.法定代表人身份证复印件；</w:t>
      </w:r>
    </w:p>
    <w:p>
      <w:pPr>
        <w:spacing w:line="560" w:lineRule="exact"/>
        <w:ind w:firstLine="640" w:firstLineChars="200"/>
        <w:jc w:val="both"/>
        <w:rPr>
          <w:rFonts w:hint="eastAsia" w:ascii="仿宋_GB2312" w:hAnsi="仿宋" w:eastAsia="仿宋_GB2312" w:cs="Times New Roman"/>
          <w:sz w:val="32"/>
        </w:rPr>
      </w:pPr>
      <w:r>
        <w:rPr>
          <w:rFonts w:hint="eastAsia" w:ascii="仿宋_GB2312" w:hAnsi="仿宋" w:eastAsia="仿宋_GB2312" w:cs="Times New Roman"/>
          <w:sz w:val="32"/>
        </w:rPr>
        <w:t>3.项目报价表（需按格式提供）；</w:t>
      </w:r>
    </w:p>
    <w:p>
      <w:pPr>
        <w:spacing w:line="560" w:lineRule="exact"/>
        <w:ind w:firstLine="640" w:firstLineChars="200"/>
        <w:jc w:val="both"/>
        <w:rPr>
          <w:rFonts w:hint="eastAsia" w:ascii="仿宋_GB2312" w:hAnsi="仿宋" w:eastAsia="仿宋_GB2312" w:cs="Times New Roman"/>
          <w:sz w:val="32"/>
        </w:rPr>
      </w:pPr>
      <w:r>
        <w:rPr>
          <w:rFonts w:hint="eastAsia" w:ascii="仿宋_GB2312" w:hAnsi="仿宋" w:eastAsia="仿宋_GB2312" w:cs="Times New Roman"/>
          <w:sz w:val="32"/>
        </w:rPr>
        <w:t>4.诚信承诺书（详见附件1）；</w:t>
      </w:r>
    </w:p>
    <w:p>
      <w:pPr>
        <w:spacing w:line="560" w:lineRule="exact"/>
        <w:ind w:firstLine="640" w:firstLineChars="200"/>
        <w:jc w:val="both"/>
        <w:rPr>
          <w:rFonts w:hint="eastAsia" w:ascii="仿宋_GB2312" w:hAnsi="仿宋" w:eastAsia="仿宋_GB2312" w:cs="Times New Roman"/>
          <w:sz w:val="32"/>
        </w:rPr>
      </w:pPr>
      <w:r>
        <w:rPr>
          <w:rFonts w:hint="eastAsia" w:ascii="仿宋_GB2312" w:hAnsi="仿宋" w:eastAsia="仿宋_GB2312" w:cs="Times New Roman"/>
          <w:sz w:val="32"/>
        </w:rPr>
        <w:t>5.填写《供应商基本情况表》（加盖单位公章，详见附件2），并完整提交表格列明的供应商相关人员近三个月社保缴纳证明；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投标人未按要求完整提供对应人员社保材料的，按无效投标处理。</w:t>
      </w:r>
    </w:p>
    <w:p>
      <w:pPr>
        <w:spacing w:line="560" w:lineRule="exact"/>
        <w:ind w:firstLine="640" w:firstLineChars="200"/>
        <w:jc w:val="both"/>
        <w:rPr>
          <w:rFonts w:hint="eastAsia" w:ascii="仿宋_GB2312" w:hAnsi="仿宋" w:eastAsia="仿宋_GB2312" w:cs="Times New Roman"/>
          <w:sz w:val="32"/>
        </w:rPr>
      </w:pPr>
      <w:r>
        <w:rPr>
          <w:rFonts w:hint="eastAsia" w:ascii="仿宋_GB2312" w:hAnsi="仿宋" w:eastAsia="仿宋_GB2312" w:cs="Times New Roman"/>
          <w:sz w:val="32"/>
        </w:rPr>
        <w:t>6.评分规则所需资料（同类业绩证明、方案等）。</w:t>
      </w:r>
    </w:p>
    <w:p>
      <w:pPr>
        <w:pStyle w:val="8"/>
        <w:spacing w:after="0" w:line="560" w:lineRule="exact"/>
        <w:ind w:left="0" w:leftChars="0" w:right="0" w:rightChars="0" w:firstLine="640"/>
        <w:jc w:val="both"/>
        <w:rPr>
          <w:rFonts w:hint="eastAsia" w:ascii="方正黑体_GBK" w:hAnsi="方正黑体_GBK" w:eastAsia="方正黑体_GBK" w:cs="方正黑体_GBK"/>
          <w:bCs/>
          <w:color w:val="000000"/>
          <w:sz w:val="32"/>
          <w:szCs w:val="32"/>
          <w:lang w:val="en-US" w:eastAsia="zh-CN"/>
        </w:rPr>
      </w:pPr>
      <w:r>
        <w:rPr>
          <w:rFonts w:hint="eastAsia" w:ascii="方正黑体_GBK" w:hAnsi="方正黑体_GBK" w:eastAsia="方正黑体_GBK" w:cs="方正黑体_GBK"/>
          <w:bCs/>
          <w:color w:val="000000"/>
          <w:sz w:val="32"/>
          <w:szCs w:val="32"/>
          <w:lang w:val="en-US" w:eastAsia="zh-CN"/>
        </w:rPr>
        <w:t>九、其他注意事项</w:t>
      </w:r>
    </w:p>
    <w:p>
      <w:pPr>
        <w:keepNext w:val="0"/>
        <w:keepLines w:val="0"/>
        <w:widowControl/>
        <w:suppressLineNumbers w:val="0"/>
        <w:spacing w:line="560" w:lineRule="exact"/>
        <w:ind w:firstLine="640" w:firstLineChars="200"/>
        <w:jc w:val="both"/>
        <w:rPr>
          <w:rFonts w:hint="eastAsia" w:ascii="仿宋_GB2312" w:hAnsi="仿宋" w:eastAsia="仿宋_GB2312" w:cs="Times New Roman"/>
          <w:kern w:val="2"/>
          <w:sz w:val="32"/>
          <w:szCs w:val="24"/>
          <w:lang w:val="en-US" w:eastAsia="zh-CN" w:bidi="ar-SA"/>
        </w:rPr>
      </w:pPr>
      <w:r>
        <w:rPr>
          <w:rFonts w:hint="eastAsia" w:ascii="仿宋_GB2312" w:hAnsi="仿宋" w:eastAsia="仿宋_GB2312" w:cs="Times New Roman"/>
          <w:sz w:val="32"/>
          <w:lang w:val="en-US" w:eastAsia="zh-CN"/>
        </w:rPr>
        <w:t>1.供应商需</w:t>
      </w:r>
      <w:r>
        <w:rPr>
          <w:rFonts w:hint="default" w:ascii="仿宋_GB2312" w:hAnsi="仿宋" w:eastAsia="仿宋_GB2312" w:cs="Times New Roman"/>
          <w:sz w:val="32"/>
          <w:lang w:val="en-US" w:eastAsia="zh-CN"/>
        </w:rPr>
        <w:t>深圳政府采购自行采购系统</w:t>
      </w:r>
      <w:r>
        <w:rPr>
          <w:rFonts w:hint="eastAsia" w:ascii="仿宋_GB2312" w:hAnsi="仿宋" w:eastAsia="仿宋_GB2312" w:cs="Times New Roman"/>
          <w:kern w:val="2"/>
          <w:sz w:val="32"/>
          <w:szCs w:val="24"/>
          <w:lang w:val="en-US" w:eastAsia="zh-CN" w:bidi="ar-SA"/>
        </w:rPr>
        <w:t>完成供应商注册（网址：https://zxcg.szggzy.com/home/index.html），请于本项目投标截止时间前完成注册，否则如中标/成交，可能影响采购结果的发布。</w:t>
      </w:r>
    </w:p>
    <w:p>
      <w:pPr>
        <w:pStyle w:val="8"/>
        <w:spacing w:after="0" w:line="560" w:lineRule="exact"/>
        <w:ind w:left="0" w:leftChars="0" w:right="0" w:rightChars="0" w:firstLine="640"/>
        <w:jc w:val="both"/>
        <w:rPr>
          <w:rFonts w:hint="default" w:ascii="仿宋_GB2312" w:hAnsi="仿宋" w:eastAsia="仿宋_GB2312" w:cs="Times New Roman"/>
          <w:sz w:val="32"/>
          <w:lang w:val="en-US" w:eastAsia="zh-CN"/>
        </w:rPr>
      </w:pPr>
      <w:r>
        <w:rPr>
          <w:rFonts w:hint="eastAsia" w:ascii="仿宋_GB2312" w:hAnsi="仿宋" w:eastAsia="仿宋_GB2312" w:cs="Times New Roman"/>
          <w:sz w:val="32"/>
          <w:lang w:val="en-US" w:eastAsia="zh-CN"/>
        </w:rPr>
        <w:t>2.</w:t>
      </w:r>
      <w:r>
        <w:rPr>
          <w:rFonts w:hint="eastAsia" w:ascii="仿宋_GB2312" w:hAnsi="仿宋" w:eastAsia="仿宋_GB2312" w:cs="Times New Roman"/>
          <w:sz w:val="32"/>
        </w:rPr>
        <w:t>供应商需</w:t>
      </w:r>
      <w:r>
        <w:rPr>
          <w:rFonts w:hint="eastAsia" w:ascii="仿宋_GB2312" w:hAnsi="仿宋" w:eastAsia="仿宋_GB2312" w:cs="Times New Roman"/>
          <w:sz w:val="32"/>
          <w:lang w:val="en-US" w:eastAsia="zh-CN"/>
        </w:rPr>
        <w:t>以</w:t>
      </w:r>
      <w:r>
        <w:rPr>
          <w:rFonts w:hint="eastAsia" w:ascii="仿宋_GB2312" w:hAnsi="仿宋" w:eastAsia="仿宋_GB2312" w:cs="Times New Roman"/>
          <w:sz w:val="32"/>
        </w:rPr>
        <w:t>邮寄</w:t>
      </w:r>
      <w:r>
        <w:rPr>
          <w:rFonts w:hint="eastAsia" w:ascii="仿宋_GB2312" w:hAnsi="仿宋" w:eastAsia="仿宋_GB2312" w:cs="Times New Roman"/>
          <w:sz w:val="32"/>
          <w:lang w:val="en-US" w:eastAsia="zh-CN"/>
        </w:rPr>
        <w:t>方式提供</w:t>
      </w:r>
      <w:r>
        <w:rPr>
          <w:rFonts w:hint="eastAsia" w:ascii="仿宋_GB2312" w:hAnsi="仿宋" w:eastAsia="仿宋_GB2312" w:cs="Times New Roman"/>
          <w:color w:val="auto"/>
          <w:sz w:val="32"/>
          <w:highlight w:val="none"/>
        </w:rPr>
        <w:t>7</w:t>
      </w:r>
      <w:r>
        <w:rPr>
          <w:rFonts w:hint="eastAsia" w:ascii="仿宋_GB2312" w:hAnsi="仿宋" w:eastAsia="仿宋_GB2312" w:cs="Times New Roman"/>
          <w:sz w:val="32"/>
        </w:rPr>
        <w:t>份密封纸质版投标资料至本单位</w:t>
      </w:r>
      <w:r>
        <w:rPr>
          <w:rFonts w:hint="eastAsia" w:ascii="仿宋_GB2312" w:hAnsi="仿宋" w:eastAsia="仿宋_GB2312" w:cs="Times New Roman"/>
          <w:sz w:val="32"/>
          <w:lang w:eastAsia="zh-CN"/>
        </w:rPr>
        <w:t>，</w:t>
      </w:r>
      <w:r>
        <w:rPr>
          <w:rFonts w:hint="eastAsia" w:ascii="仿宋_GB2312" w:hAnsi="仿宋" w:eastAsia="仿宋_GB2312" w:cs="Times New Roman"/>
          <w:sz w:val="32"/>
          <w:lang w:val="en-US" w:eastAsia="zh-CN"/>
        </w:rPr>
        <w:t>并在封面备注“龙华文体旅IP打造与推荐官培育计划</w:t>
      </w:r>
      <w:r>
        <w:rPr>
          <w:rFonts w:hint="default" w:ascii="仿宋_GB2312" w:hAnsi="仿宋" w:eastAsia="仿宋_GB2312" w:cs="Times New Roman"/>
          <w:sz w:val="32"/>
          <w:lang w:val="en" w:eastAsia="zh-CN"/>
        </w:rPr>
        <w:t>”</w:t>
      </w:r>
      <w:r>
        <w:rPr>
          <w:rFonts w:hint="eastAsia" w:ascii="仿宋_GB2312" w:hAnsi="仿宋" w:eastAsia="仿宋_GB2312" w:cs="Times New Roman"/>
          <w:sz w:val="32"/>
          <w:lang w:val="en-US" w:eastAsia="zh-CN"/>
        </w:rPr>
        <w:t>项目</w:t>
      </w:r>
      <w:r>
        <w:rPr>
          <w:rFonts w:hint="eastAsia" w:ascii="仿宋_GB2312" w:hAnsi="仿宋_GB2312" w:eastAsia="仿宋_GB2312" w:cs="仿宋_GB2312"/>
          <w:color w:val="000000"/>
          <w:kern w:val="0"/>
          <w:sz w:val="32"/>
          <w:szCs w:val="32"/>
          <w:lang w:val="en-US" w:eastAsia="zh-CN"/>
        </w:rPr>
        <w:t>+公司全称+日期+联系人+联系方式。</w:t>
      </w:r>
    </w:p>
    <w:p>
      <w:pPr>
        <w:pStyle w:val="8"/>
        <w:spacing w:after="0" w:line="560" w:lineRule="exact"/>
        <w:ind w:left="0" w:leftChars="0" w:right="0" w:rightChars="0" w:firstLine="640" w:firstLineChars="200"/>
        <w:jc w:val="both"/>
        <w:rPr>
          <w:rFonts w:ascii="仿宋_GB2312" w:hAnsi="仿宋" w:eastAsia="仿宋_GB2312" w:cs="Times New Roman"/>
          <w:sz w:val="32"/>
        </w:rPr>
      </w:pPr>
      <w:r>
        <w:rPr>
          <w:rFonts w:hint="eastAsia" w:ascii="仿宋_GB2312" w:hAnsi="仿宋" w:eastAsia="仿宋_GB2312" w:cs="Times New Roman"/>
          <w:sz w:val="32"/>
        </w:rPr>
        <w:t>地址：</w:t>
      </w:r>
      <w:bookmarkStart w:id="1" w:name="OLE_LINK5"/>
      <w:r>
        <w:rPr>
          <w:rFonts w:hint="eastAsia" w:ascii="仿宋_GB2312" w:hAnsi="仿宋" w:eastAsia="仿宋_GB2312" w:cs="Times New Roman"/>
          <w:sz w:val="32"/>
        </w:rPr>
        <w:t>深圳市龙华区</w:t>
      </w:r>
      <w:r>
        <w:rPr>
          <w:rFonts w:hint="eastAsia" w:ascii="仿宋_GB2312" w:hAnsi="仿宋" w:eastAsia="仿宋_GB2312" w:cs="Times New Roman"/>
          <w:sz w:val="32"/>
          <w:lang w:val="en-US" w:eastAsia="zh-CN"/>
        </w:rPr>
        <w:t>龙华街道</w:t>
      </w:r>
      <w:r>
        <w:rPr>
          <w:rFonts w:hint="eastAsia" w:ascii="仿宋_GB2312" w:hAnsi="仿宋" w:eastAsia="仿宋_GB2312" w:cs="Times New Roman"/>
          <w:sz w:val="32"/>
        </w:rPr>
        <w:t>富康行政</w:t>
      </w:r>
      <w:r>
        <w:rPr>
          <w:rFonts w:hint="eastAsia" w:ascii="仿宋_GB2312" w:hAnsi="仿宋" w:eastAsia="仿宋_GB2312" w:cs="Times New Roman"/>
          <w:sz w:val="32"/>
          <w:lang w:val="en-US" w:eastAsia="zh-CN"/>
        </w:rPr>
        <w:t>服务</w:t>
      </w:r>
      <w:r>
        <w:rPr>
          <w:rFonts w:hint="eastAsia" w:ascii="仿宋_GB2312" w:hAnsi="仿宋" w:eastAsia="仿宋_GB2312" w:cs="Times New Roman"/>
          <w:sz w:val="32"/>
        </w:rPr>
        <w:t>办公区</w:t>
      </w:r>
      <w:bookmarkEnd w:id="1"/>
    </w:p>
    <w:p>
      <w:pPr>
        <w:pStyle w:val="19"/>
        <w:spacing w:line="560" w:lineRule="exact"/>
        <w:jc w:val="both"/>
        <w:rPr>
          <w:rFonts w:ascii="仿宋_GB2312" w:hAnsi="仿宋" w:eastAsia="仿宋_GB2312" w:cs="Times New Roman"/>
          <w:sz w:val="32"/>
        </w:rPr>
      </w:pPr>
      <w:r>
        <w:rPr>
          <w:rFonts w:hint="eastAsia" w:ascii="仿宋_GB2312" w:hAnsi="仿宋" w:eastAsia="仿宋_GB2312" w:cs="Times New Roman"/>
          <w:sz w:val="32"/>
        </w:rPr>
        <w:t>收件人：吴先生</w:t>
      </w:r>
    </w:p>
    <w:p>
      <w:pPr>
        <w:spacing w:line="560" w:lineRule="exact"/>
        <w:ind w:firstLine="640" w:firstLineChars="200"/>
        <w:jc w:val="both"/>
        <w:rPr>
          <w:rFonts w:hint="default" w:ascii="仿宋_GB2312" w:hAnsi="仿宋" w:eastAsia="仿宋_GB2312" w:cs="Times New Roman"/>
          <w:sz w:val="32"/>
          <w:szCs w:val="22"/>
          <w:lang w:val="en-US"/>
        </w:rPr>
      </w:pPr>
      <w:r>
        <w:rPr>
          <w:rFonts w:hint="eastAsia" w:ascii="仿宋_GB2312" w:hAnsi="仿宋" w:eastAsia="仿宋_GB2312" w:cs="Times New Roman"/>
          <w:sz w:val="32"/>
        </w:rPr>
        <w:t>联系方式</w:t>
      </w:r>
      <w:r>
        <w:rPr>
          <w:rFonts w:hint="eastAsia" w:ascii="仿宋_GB2312" w:hAnsi="仿宋" w:eastAsia="仿宋_GB2312" w:cs="Times New Roman"/>
          <w:sz w:val="32"/>
          <w:lang w:eastAsia="zh-CN"/>
        </w:rPr>
        <w:t>：</w:t>
      </w:r>
      <w:r>
        <w:rPr>
          <w:rFonts w:hint="eastAsia" w:ascii="仿宋_GB2312" w:hAnsi="仿宋" w:eastAsia="仿宋_GB2312" w:cs="Times New Roman"/>
          <w:sz w:val="32"/>
          <w:szCs w:val="22"/>
        </w:rPr>
        <w:t>0755-23338</w:t>
      </w:r>
      <w:r>
        <w:rPr>
          <w:rFonts w:hint="default" w:ascii="仿宋_GB2312" w:hAnsi="仿宋" w:eastAsia="仿宋_GB2312" w:cs="Times New Roman"/>
          <w:sz w:val="32"/>
          <w:szCs w:val="22"/>
          <w:lang w:val="en-US"/>
        </w:rPr>
        <w:t>032</w:t>
      </w:r>
    </w:p>
    <w:p>
      <w:pPr>
        <w:pStyle w:val="19"/>
        <w:spacing w:line="560" w:lineRule="exact"/>
        <w:ind w:firstLine="0" w:firstLineChars="0"/>
        <w:rPr>
          <w:rFonts w:hint="default" w:ascii="黑体" w:hAnsi="黑体" w:eastAsia="黑体" w:cs="黑体"/>
          <w:color w:val="000000"/>
          <w:sz w:val="32"/>
          <w:szCs w:val="32"/>
          <w:lang w:val="en-US" w:eastAsia="zh-CN"/>
        </w:rPr>
      </w:pPr>
      <w:r>
        <w:rPr>
          <w:rFonts w:ascii="仿宋_GB2312" w:hAnsi="仿宋" w:eastAsia="仿宋_GB2312" w:cs="Times New Roman"/>
          <w:sz w:val="32"/>
        </w:rPr>
        <w:br w:type="page"/>
      </w: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1</w:t>
      </w:r>
    </w:p>
    <w:p>
      <w:pPr>
        <w:pStyle w:val="5"/>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lang w:val="en-US" w:eastAsia="zh-CN"/>
        </w:rPr>
      </w:pPr>
    </w:p>
    <w:p>
      <w:pPr>
        <w:pStyle w:val="3"/>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pStyle w:val="19"/>
        <w:spacing w:line="560" w:lineRule="exact"/>
        <w:ind w:firstLine="0" w:firstLineChars="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pPr>
        <w:pStyle w:val="12"/>
        <w:snapToGrid w:val="0"/>
        <w:spacing w:before="0" w:after="0" w:line="560" w:lineRule="exact"/>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供应商基本情况表</w:t>
      </w:r>
    </w:p>
    <w:p>
      <w:pPr>
        <w:spacing w:line="560" w:lineRule="exact"/>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14"/>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采购人</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项目名称</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投标（响应）供应商</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供应商统一社会信用代码</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职务</w:t>
            </w:r>
          </w:p>
        </w:tc>
        <w:tc>
          <w:tcPr>
            <w:tcW w:w="1270"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姓名</w:t>
            </w:r>
          </w:p>
        </w:tc>
        <w:tc>
          <w:tcPr>
            <w:tcW w:w="199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身份证号码</w:t>
            </w:r>
          </w:p>
        </w:tc>
        <w:tc>
          <w:tcPr>
            <w:tcW w:w="1500"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劳动合同</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关系单位</w:t>
            </w:r>
          </w:p>
        </w:tc>
        <w:tc>
          <w:tcPr>
            <w:tcW w:w="2145"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缴纳社会</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3</w:t>
            </w:r>
          </w:p>
        </w:tc>
        <w:tc>
          <w:tcPr>
            <w:tcW w:w="2345" w:type="dxa"/>
            <w:gridSpan w:val="2"/>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项目负责人</w:t>
            </w:r>
          </w:p>
        </w:tc>
        <w:tc>
          <w:tcPr>
            <w:tcW w:w="127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4</w:t>
            </w:r>
          </w:p>
        </w:tc>
        <w:tc>
          <w:tcPr>
            <w:tcW w:w="2345"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主要技术人员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5</w:t>
            </w:r>
          </w:p>
        </w:tc>
        <w:tc>
          <w:tcPr>
            <w:tcW w:w="2345" w:type="dxa"/>
            <w:gridSpan w:val="2"/>
            <w:noWrap w:val="0"/>
            <w:vAlign w:val="center"/>
          </w:tcPr>
          <w:p>
            <w:pPr>
              <w:pStyle w:val="6"/>
              <w:snapToGrid w:val="0"/>
              <w:spacing w:line="240" w:lineRule="auto"/>
              <w:ind w:firstLine="0" w:firstLineChars="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投标文件编制人员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lef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关联关系类型</w:t>
            </w:r>
          </w:p>
        </w:tc>
        <w:tc>
          <w:tcPr>
            <w:tcW w:w="206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关联主体名称</w:t>
            </w:r>
          </w:p>
        </w:tc>
        <w:tc>
          <w:tcPr>
            <w:tcW w:w="4845" w:type="dxa"/>
            <w:gridSpan w:val="3"/>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说明：同一关联关系类型有多个主体的，应分行填写。</w:t>
            </w:r>
          </w:p>
        </w:tc>
      </w:tr>
    </w:tbl>
    <w:p>
      <w:pPr>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CA315F"/>
    <w:multiLevelType w:val="singleLevel"/>
    <w:tmpl w:val="33CA315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376E1AF"/>
    <w:rsid w:val="08EA3C34"/>
    <w:rsid w:val="11E07B6F"/>
    <w:rsid w:val="156009FD"/>
    <w:rsid w:val="163C3C0C"/>
    <w:rsid w:val="16EB8C75"/>
    <w:rsid w:val="1C387FA6"/>
    <w:rsid w:val="206568E9"/>
    <w:rsid w:val="27027B2E"/>
    <w:rsid w:val="270D16ED"/>
    <w:rsid w:val="27D17500"/>
    <w:rsid w:val="28991DCC"/>
    <w:rsid w:val="2A9E72CC"/>
    <w:rsid w:val="2B4E2D46"/>
    <w:rsid w:val="2C027C88"/>
    <w:rsid w:val="2E32343F"/>
    <w:rsid w:val="2F8B0780"/>
    <w:rsid w:val="309317F7"/>
    <w:rsid w:val="328673D6"/>
    <w:rsid w:val="34A22009"/>
    <w:rsid w:val="35C97A69"/>
    <w:rsid w:val="35FCA340"/>
    <w:rsid w:val="360E0293"/>
    <w:rsid w:val="375021F0"/>
    <w:rsid w:val="3793CE47"/>
    <w:rsid w:val="3A575643"/>
    <w:rsid w:val="3ADB2718"/>
    <w:rsid w:val="3B334302"/>
    <w:rsid w:val="3D5FDCFC"/>
    <w:rsid w:val="3D89020A"/>
    <w:rsid w:val="3EFE69D5"/>
    <w:rsid w:val="3F7D16C5"/>
    <w:rsid w:val="3FFD1EEB"/>
    <w:rsid w:val="40CF0629"/>
    <w:rsid w:val="417E7959"/>
    <w:rsid w:val="42415594"/>
    <w:rsid w:val="428A7C17"/>
    <w:rsid w:val="437028A4"/>
    <w:rsid w:val="47462CC7"/>
    <w:rsid w:val="48A028AB"/>
    <w:rsid w:val="4C46376A"/>
    <w:rsid w:val="4C7B12CE"/>
    <w:rsid w:val="4D0F7FFF"/>
    <w:rsid w:val="4DAF1EFF"/>
    <w:rsid w:val="4EB6312B"/>
    <w:rsid w:val="4F414646"/>
    <w:rsid w:val="4FF93B0B"/>
    <w:rsid w:val="523C7D0A"/>
    <w:rsid w:val="55C220B3"/>
    <w:rsid w:val="55E71B19"/>
    <w:rsid w:val="5630526E"/>
    <w:rsid w:val="5BB97AB4"/>
    <w:rsid w:val="5D3C0667"/>
    <w:rsid w:val="5ECA3D86"/>
    <w:rsid w:val="5F2BE56A"/>
    <w:rsid w:val="5F933480"/>
    <w:rsid w:val="603F6A66"/>
    <w:rsid w:val="611F03B9"/>
    <w:rsid w:val="63CEA5AE"/>
    <w:rsid w:val="64A70DF2"/>
    <w:rsid w:val="64BE438D"/>
    <w:rsid w:val="66320B8F"/>
    <w:rsid w:val="696E0130"/>
    <w:rsid w:val="69E421A0"/>
    <w:rsid w:val="6A687275"/>
    <w:rsid w:val="6CFFD566"/>
    <w:rsid w:val="6D1F1741"/>
    <w:rsid w:val="6D24799D"/>
    <w:rsid w:val="6E536BB7"/>
    <w:rsid w:val="6F152DFC"/>
    <w:rsid w:val="6FC72380"/>
    <w:rsid w:val="6FFF3328"/>
    <w:rsid w:val="6FFFB74C"/>
    <w:rsid w:val="708C17E3"/>
    <w:rsid w:val="7232523A"/>
    <w:rsid w:val="73A730C7"/>
    <w:rsid w:val="73FB884D"/>
    <w:rsid w:val="7420296E"/>
    <w:rsid w:val="74695916"/>
    <w:rsid w:val="75047B9A"/>
    <w:rsid w:val="79DD35DB"/>
    <w:rsid w:val="7B8BADC8"/>
    <w:rsid w:val="7B8C6B3B"/>
    <w:rsid w:val="7BD3E33C"/>
    <w:rsid w:val="7BF7E217"/>
    <w:rsid w:val="7D7F2B73"/>
    <w:rsid w:val="7D9F3A20"/>
    <w:rsid w:val="7DD39989"/>
    <w:rsid w:val="7E1075B0"/>
    <w:rsid w:val="7E9F479A"/>
    <w:rsid w:val="7EEE7B47"/>
    <w:rsid w:val="7F7D7368"/>
    <w:rsid w:val="7FDF5948"/>
    <w:rsid w:val="9EFFBBA7"/>
    <w:rsid w:val="9FF753B3"/>
    <w:rsid w:val="BBFF548B"/>
    <w:rsid w:val="CEAEA899"/>
    <w:rsid w:val="DD5E8A79"/>
    <w:rsid w:val="DEB7FE68"/>
    <w:rsid w:val="DFFE7D2B"/>
    <w:rsid w:val="DFFF69F1"/>
    <w:rsid w:val="E376E1AF"/>
    <w:rsid w:val="E77E6E49"/>
    <w:rsid w:val="EFF64497"/>
    <w:rsid w:val="F3FAEE2F"/>
    <w:rsid w:val="FA7FA87E"/>
    <w:rsid w:val="FDFFDEC4"/>
    <w:rsid w:val="FEDF4DE0"/>
    <w:rsid w:val="FFBFB86A"/>
    <w:rsid w:val="FFEF2FC6"/>
    <w:rsid w:val="FFFB35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5"/>
    <w:next w:val="1"/>
    <w:qFormat/>
    <w:uiPriority w:val="9"/>
    <w:pPr>
      <w:spacing w:before="260" w:after="260" w:line="240" w:lineRule="auto"/>
      <w:outlineLvl w:val="2"/>
    </w:pPr>
    <w:rPr>
      <w:rFonts w:ascii="宋体" w:hAnsi="宋体" w:eastAsia="宋体"/>
      <w:szCs w:val="32"/>
    </w:rPr>
  </w:style>
  <w:style w:type="paragraph" w:styleId="5">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after="120"/>
    </w:pPr>
  </w:style>
  <w:style w:type="paragraph" w:styleId="6">
    <w:name w:val="Normal Indent"/>
    <w:basedOn w:val="1"/>
    <w:qFormat/>
    <w:uiPriority w:val="0"/>
    <w:pPr>
      <w:ind w:firstLine="420"/>
    </w:pPr>
    <w:rPr>
      <w:szCs w:val="20"/>
    </w:rPr>
  </w:style>
  <w:style w:type="paragraph" w:styleId="7">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8">
    <w:name w:val="Block Text"/>
    <w:basedOn w:val="1"/>
    <w:qFormat/>
    <w:uiPriority w:val="0"/>
    <w:pPr>
      <w:tabs>
        <w:tab w:val="left" w:pos="426"/>
      </w:tabs>
      <w:spacing w:after="120"/>
      <w:ind w:left="1440" w:leftChars="700" w:right="1440" w:rightChars="700"/>
    </w:pPr>
  </w:style>
  <w:style w:type="paragraph" w:styleId="9">
    <w:name w:val="Plain Text"/>
    <w:basedOn w:val="1"/>
    <w:unhideWhenUsed/>
    <w:qFormat/>
    <w:uiPriority w:val="99"/>
    <w:rPr>
      <w:rFonts w:ascii="宋体" w:hAnsi="Calibri" w:cs="Courier New"/>
      <w:szCs w:val="21"/>
    </w:rPr>
  </w:style>
  <w:style w:type="paragraph" w:styleId="10">
    <w:name w:val="Body Text 2"/>
    <w:basedOn w:val="1"/>
    <w:qFormat/>
    <w:uiPriority w:val="0"/>
    <w:pPr>
      <w:spacing w:line="360" w:lineRule="auto"/>
    </w:pPr>
    <w:rPr>
      <w:sz w:val="24"/>
    </w:rPr>
  </w:style>
  <w:style w:type="paragraph" w:styleId="11">
    <w:name w:val="Normal (Web)"/>
    <w:basedOn w:val="1"/>
    <w:qFormat/>
    <w:uiPriority w:val="99"/>
    <w:rPr>
      <w:sz w:val="24"/>
    </w:rPr>
  </w:style>
  <w:style w:type="paragraph" w:styleId="12">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List Paragraph"/>
    <w:basedOn w:val="17"/>
    <w:qFormat/>
    <w:uiPriority w:val="34"/>
    <w:pPr>
      <w:ind w:firstLine="420" w:firstLineChars="200"/>
    </w:pPr>
  </w:style>
  <w:style w:type="paragraph" w:customStyle="1" w:styleId="17">
    <w:name w:val="星耀正文"/>
    <w:basedOn w:val="1"/>
    <w:qFormat/>
    <w:uiPriority w:val="3"/>
    <w:pPr>
      <w:ind w:firstLine="422" w:firstLineChars="200"/>
    </w:pPr>
    <w:rPr>
      <w:rFonts w:ascii="宋体" w:hAnsi="宋体" w:eastAsia="仿宋_GB2312"/>
      <w:bCs/>
    </w:rPr>
  </w:style>
  <w:style w:type="paragraph" w:customStyle="1" w:styleId="18">
    <w:name w:val="USE 1"/>
    <w:basedOn w:val="1"/>
    <w:qFormat/>
    <w:uiPriority w:val="0"/>
    <w:pPr>
      <w:spacing w:line="200" w:lineRule="atLeast"/>
      <w:jc w:val="left"/>
    </w:pPr>
    <w:rPr>
      <w:rFonts w:ascii="宋体" w:hAnsi="宋体"/>
      <w:b/>
      <w:sz w:val="24"/>
      <w:szCs w:val="28"/>
    </w:rPr>
  </w:style>
  <w:style w:type="paragraph" w:customStyle="1" w:styleId="19">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20">
    <w:name w:val="_Style 3"/>
    <w:basedOn w:val="1"/>
    <w:next w:val="1"/>
    <w:qFormat/>
    <w:uiPriority w:val="99"/>
    <w:pPr>
      <w:spacing w:line="360" w:lineRule="auto"/>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4760</Words>
  <Characters>4901</Characters>
  <Lines>0</Lines>
  <Paragraphs>0</Paragraphs>
  <TotalTime>21</TotalTime>
  <ScaleCrop>false</ScaleCrop>
  <LinksUpToDate>false</LinksUpToDate>
  <CharactersWithSpaces>5026</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2025-04-22T17:16:00Z</dcterms:created>
  <dc:creator>yang</dc:creator>
  <cp:lastModifiedBy>lxy</cp:lastModifiedBy>
  <cp:lastPrinted>2026-09-25T03:12:00Z</cp:lastPrinted>
  <dcterms:modified xsi:type="dcterms:W3CDTF">2026-09-24T17:24:14Z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DEB04186F8A0868B02D3B46A2B903A8A</vt:lpwstr>
  </property>
  <property fmtid="{D5CDD505-2E9C-101B-9397-08002B2CF9AE}" pid="4" name="KSOTemplateDocerSaveRecord">
    <vt:lpwstr>eyJoZGlkIjoiOGU5YTE0MGQ1Nzc0NDg0MDkwYzRmZmI1M2MxMDZjNDUiLCJ1c2VySWQiOiI3NjI1MDM3NTIifQ==</vt:lpwstr>
  </property>
</Properties>
</file>