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autoSpaceDE/>
        <w:autoSpaceDN/>
        <w:bidi w:val="0"/>
        <w:adjustRightInd/>
        <w:spacing w:line="56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pacing w:val="6"/>
          <w:sz w:val="44"/>
          <w:szCs w:val="44"/>
          <w:highlight w:val="none"/>
          <w:lang w:eastAsia="zh-CN"/>
        </w:rPr>
        <w:t>2026-2027年龙华区文化旅游市场经营场所安全风险管控工作项目需求书</w:t>
      </w:r>
    </w:p>
    <w:p>
      <w:pPr>
        <w:pStyle w:val="9"/>
        <w:spacing w:line="560" w:lineRule="exact"/>
        <w:jc w:val="both"/>
        <w:rPr>
          <w:rFonts w:ascii="方正小标宋简体" w:hAnsi="方正小标宋简体" w:eastAsia="方正小标宋简体" w:cs="方正小标宋简体"/>
          <w:color w:val="auto"/>
          <w:spacing w:val="17"/>
          <w:sz w:val="44"/>
          <w:szCs w:val="44"/>
          <w:highlight w:val="none"/>
        </w:rPr>
      </w:pPr>
    </w:p>
    <w:p>
      <w:pPr>
        <w:keepNext w:val="0"/>
        <w:keepLines w:val="0"/>
        <w:pageBreakBefore w:val="0"/>
        <w:widowControl w:val="0"/>
        <w:numPr>
          <w:ilvl w:val="0"/>
          <w:numId w:val="1"/>
        </w:numPr>
        <w:tabs>
          <w:tab w:val="left" w:pos="1820"/>
        </w:tabs>
        <w:kinsoku/>
        <w:wordWrap/>
        <w:overflowPunct/>
        <w:topLinePunct w:val="0"/>
        <w:autoSpaceDE/>
        <w:autoSpaceDN/>
        <w:bidi w:val="0"/>
        <w:adjustRightInd/>
        <w:snapToGrid w:val="0"/>
        <w:spacing w:line="560" w:lineRule="exact"/>
        <w:ind w:firstLine="640" w:firstLineChars="200"/>
        <w:jc w:val="both"/>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项目目标</w:t>
      </w:r>
    </w:p>
    <w:p>
      <w:pPr>
        <w:keepNext w:val="0"/>
        <w:keepLines w:val="0"/>
        <w:pageBreakBefore w:val="0"/>
        <w:widowControl w:val="0"/>
        <w:tabs>
          <w:tab w:val="left" w:pos="1820"/>
        </w:tabs>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Times New Roman"/>
          <w:color w:val="auto"/>
          <w:kern w:val="2"/>
          <w:sz w:val="32"/>
          <w:szCs w:val="24"/>
          <w:highlight w:val="none"/>
          <w:lang w:val="en-US" w:eastAsia="zh-CN" w:bidi="ar-SA"/>
        </w:rPr>
      </w:pPr>
      <w:r>
        <w:rPr>
          <w:rFonts w:hint="eastAsia" w:ascii="仿宋_GB2312" w:hAnsi="仿宋_GB2312" w:eastAsia="仿宋_GB2312" w:cs="Times New Roman"/>
          <w:color w:val="auto"/>
          <w:kern w:val="2"/>
          <w:sz w:val="32"/>
          <w:szCs w:val="24"/>
          <w:highlight w:val="none"/>
          <w:lang w:val="en-US" w:eastAsia="zh-CN" w:bidi="ar-SA"/>
        </w:rPr>
        <w:t>执行2026-2027年龙华区文化旅游市场经营场所安全风险管控工作项目，协助开展监管场所安全风险评估、分析、治理管控，动态掌控监管场所的风险点位及安全隐患情况，更具针对性地进行安全工作指导和监督管理，对于排查出来的问题由安全风险管控人员和执法人员进行督促整改，同时使各监管场所负责人更深入认识安全生产工作的重要性和迫切性，切实履行安全生产主体责任，有效防范各类安全事故发生，保障我区文体旅游市场安全形势稳定向好，维护辖区群众生命财产安全。</w:t>
      </w:r>
    </w:p>
    <w:p>
      <w:pPr>
        <w:keepNext w:val="0"/>
        <w:keepLines w:val="0"/>
        <w:pageBreakBefore w:val="0"/>
        <w:widowControl w:val="0"/>
        <w:tabs>
          <w:tab w:val="left" w:pos="1820"/>
        </w:tabs>
        <w:kinsoku/>
        <w:wordWrap/>
        <w:overflowPunct/>
        <w:topLinePunct w:val="0"/>
        <w:autoSpaceDE/>
        <w:autoSpaceDN/>
        <w:bidi w:val="0"/>
        <w:adjustRightInd/>
        <w:snapToGrid w:val="0"/>
        <w:spacing w:line="560" w:lineRule="exact"/>
        <w:ind w:firstLine="640" w:firstLineChars="200"/>
        <w:jc w:val="both"/>
        <w:textAlignment w:val="auto"/>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rPr>
        <w:t>二、</w:t>
      </w:r>
      <w:r>
        <w:rPr>
          <w:rFonts w:hint="eastAsia" w:ascii="黑体" w:hAnsi="黑体" w:eastAsia="黑体" w:cs="黑体"/>
          <w:bCs/>
          <w:color w:val="auto"/>
          <w:sz w:val="32"/>
          <w:szCs w:val="32"/>
          <w:highlight w:val="none"/>
          <w:lang w:eastAsia="zh-CN"/>
        </w:rPr>
        <w:t>服务时间</w:t>
      </w:r>
    </w:p>
    <w:p>
      <w:pPr>
        <w:pStyle w:val="8"/>
        <w:keepNext w:val="0"/>
        <w:keepLines w:val="0"/>
        <w:pageBreakBefore w:val="0"/>
        <w:widowControl w:val="0"/>
        <w:kinsoku/>
        <w:wordWrap/>
        <w:overflowPunct/>
        <w:topLinePunct w:val="0"/>
        <w:autoSpaceDE/>
        <w:autoSpaceDN/>
        <w:bidi w:val="0"/>
        <w:adjustRightInd/>
        <w:spacing w:after="0" w:line="560" w:lineRule="exact"/>
        <w:ind w:left="0" w:leftChars="0" w:right="0" w:rightChars="0" w:firstLine="640" w:firstLineChars="200"/>
        <w:textAlignment w:val="auto"/>
        <w:rPr>
          <w:rFonts w:ascii="仿宋_GB2312" w:hAnsi="仿宋_GB2312" w:eastAsia="仿宋_GB2312" w:cs="仿宋_GB2312"/>
          <w:color w:val="auto"/>
          <w:sz w:val="32"/>
          <w:szCs w:val="36"/>
          <w:highlight w:val="none"/>
        </w:rPr>
      </w:pPr>
      <w:r>
        <w:rPr>
          <w:rFonts w:hint="eastAsia" w:ascii="仿宋_GB2312" w:hAnsi="仿宋_GB2312" w:eastAsia="仿宋_GB2312" w:cs="仿宋_GB2312"/>
          <w:color w:val="auto"/>
          <w:sz w:val="32"/>
          <w:szCs w:val="36"/>
          <w:highlight w:val="none"/>
          <w:lang w:val="en-US" w:eastAsia="zh-CN"/>
        </w:rPr>
        <w:t>2026年12月至2027年5月（暂定）</w:t>
      </w:r>
    </w:p>
    <w:p>
      <w:pPr>
        <w:keepNext w:val="0"/>
        <w:keepLines w:val="0"/>
        <w:pageBreakBefore w:val="0"/>
        <w:widowControl w:val="0"/>
        <w:tabs>
          <w:tab w:val="left" w:pos="1820"/>
        </w:tabs>
        <w:kinsoku/>
        <w:wordWrap/>
        <w:overflowPunct/>
        <w:topLinePunct w:val="0"/>
        <w:autoSpaceDE/>
        <w:autoSpaceDN/>
        <w:bidi w:val="0"/>
        <w:adjustRightInd/>
        <w:snapToGrid w:val="0"/>
        <w:spacing w:line="560" w:lineRule="exact"/>
        <w:ind w:firstLine="640" w:firstLineChars="200"/>
        <w:jc w:val="both"/>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w:t>
      </w:r>
      <w:bookmarkStart w:id="0" w:name="OLE_LINK2"/>
      <w:r>
        <w:rPr>
          <w:rFonts w:hint="eastAsia" w:ascii="黑体" w:hAnsi="黑体" w:eastAsia="黑体" w:cs="黑体"/>
          <w:bCs/>
          <w:color w:val="auto"/>
          <w:sz w:val="32"/>
          <w:szCs w:val="32"/>
          <w:highlight w:val="none"/>
        </w:rPr>
        <w:t>项目内容及要求</w:t>
      </w:r>
      <w:bookmarkEnd w:id="0"/>
    </w:p>
    <w:p>
      <w:pPr>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rPr>
        <w:t>（一）项目内容</w:t>
      </w:r>
    </w:p>
    <w:p>
      <w:pPr>
        <w:keepNext w:val="0"/>
        <w:keepLines w:val="0"/>
        <w:pageBreakBefore w:val="0"/>
        <w:widowControl w:val="0"/>
        <w:tabs>
          <w:tab w:val="left" w:pos="1820"/>
        </w:tabs>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Calibri" w:eastAsia="仿宋_GB2312" w:cs="仿宋_GB2312"/>
          <w:color w:val="auto"/>
          <w:sz w:val="32"/>
          <w:szCs w:val="32"/>
          <w:highlight w:val="none"/>
          <w:lang w:eastAsia="zh-CN" w:bidi="ar"/>
        </w:rPr>
      </w:pPr>
      <w:r>
        <w:rPr>
          <w:rFonts w:hint="eastAsia" w:ascii="仿宋_GB2312" w:hAnsi="仿宋_GB2312" w:eastAsia="仿宋_GB2312" w:cs="仿宋_GB2312"/>
          <w:color w:val="auto"/>
          <w:sz w:val="32"/>
          <w:szCs w:val="32"/>
          <w:highlight w:val="none"/>
          <w:lang w:val="en-US" w:eastAsia="zh-CN"/>
        </w:rPr>
        <w:t>协助开展文化旅游市场经营场安全风险管控工作，包括网吧、歌舞娱乐、剧本杀和密室逃脱、电子游艺、景区等共约278家场所，协助风险管控家次不少于556家次，从技术和管理层面为文化旅游经营场所开展安全风险辨识、分析和管控提供技术支持，完善风险点危险源数据，提高场所安全管理水平。</w:t>
      </w:r>
    </w:p>
    <w:p>
      <w:pPr>
        <w:spacing w:line="56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楷体_GB2312" w:hAnsi="楷体_GB2312" w:eastAsia="楷体_GB2312" w:cs="楷体_GB2312"/>
          <w:color w:val="auto"/>
          <w:sz w:val="32"/>
          <w:szCs w:val="32"/>
          <w:highlight w:val="none"/>
        </w:rPr>
        <w:t>（二）具体要求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组织</w:t>
      </w:r>
      <w:r>
        <w:rPr>
          <w:rFonts w:hint="eastAsia" w:ascii="仿宋_GB2312" w:hAnsi="仿宋_GB2312" w:eastAsia="仿宋_GB2312" w:cs="仿宋_GB2312"/>
          <w:color w:val="auto"/>
          <w:sz w:val="32"/>
          <w:szCs w:val="32"/>
          <w:highlight w:val="none"/>
          <w:lang w:val="en" w:eastAsia="zh-CN"/>
        </w:rPr>
        <w:t>开展</w:t>
      </w:r>
      <w:r>
        <w:rPr>
          <w:rFonts w:hint="eastAsia" w:ascii="仿宋_GB2312" w:hAnsi="Arial" w:eastAsia="仿宋_GB2312" w:cs="Arial"/>
          <w:color w:val="auto"/>
          <w:kern w:val="0"/>
          <w:sz w:val="32"/>
          <w:szCs w:val="32"/>
          <w:highlight w:val="none"/>
          <w:lang w:val="en-US" w:eastAsia="zh-CN"/>
        </w:rPr>
        <w:t>2026-2027年龙华区文化旅游市场经营场所安全风险管控项目工作</w:t>
      </w:r>
      <w:r>
        <w:rPr>
          <w:rFonts w:hint="eastAsia" w:ascii="仿宋_GB2312" w:hAnsi="仿宋_GB2312" w:eastAsia="仿宋_GB2312" w:cs="仿宋_GB2312"/>
          <w:color w:val="auto"/>
          <w:sz w:val="32"/>
          <w:szCs w:val="32"/>
          <w:highlight w:val="none"/>
          <w:lang w:val="en-US" w:eastAsia="zh-CN"/>
        </w:rPr>
        <w:t>。具体工作内容如下：</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1.成立项目管理班子，组织检查人员，并安排一名专职人员负责信息收集、整理、上报工作；</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2.由安全专业技术人员对全区网吧、歌舞娱乐、剧本杀和密室逃脱、电子游艺、景区等共约278家场所开展2次全覆盖安全风险管控工作，协助风险管控家次不少于556家次；</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3.指导、协助场所开展风险辨识、分析和管控，建立风险管控工作台账，对风险管控过程发现的隐患，</w:t>
      </w:r>
      <w:r>
        <w:rPr>
          <w:rFonts w:hint="eastAsia" w:ascii="仿宋_GB2312" w:hAnsi="Calibri" w:eastAsia="仿宋_GB2312" w:cs="仿宋_GB2312"/>
          <w:color w:val="auto"/>
          <w:sz w:val="32"/>
          <w:szCs w:val="32"/>
          <w:highlight w:val="none"/>
          <w:lang w:bidi="ar"/>
        </w:rPr>
        <w:t>从技术</w:t>
      </w:r>
      <w:r>
        <w:rPr>
          <w:rFonts w:hint="eastAsia" w:ascii="仿宋_GB2312" w:hAnsi="Calibri" w:eastAsia="仿宋_GB2312" w:cs="仿宋_GB2312"/>
          <w:color w:val="auto"/>
          <w:sz w:val="32"/>
          <w:szCs w:val="32"/>
          <w:highlight w:val="none"/>
          <w:lang w:eastAsia="zh-CN" w:bidi="ar"/>
        </w:rPr>
        <w:t>和</w:t>
      </w:r>
      <w:r>
        <w:rPr>
          <w:rFonts w:hint="eastAsia" w:ascii="仿宋_GB2312" w:hAnsi="Calibri" w:eastAsia="仿宋_GB2312" w:cs="仿宋_GB2312"/>
          <w:color w:val="auto"/>
          <w:sz w:val="32"/>
          <w:szCs w:val="32"/>
          <w:highlight w:val="none"/>
          <w:lang w:bidi="ar"/>
        </w:rPr>
        <w:t>管理</w:t>
      </w:r>
      <w:r>
        <w:rPr>
          <w:rFonts w:hint="eastAsia" w:ascii="仿宋_GB2312" w:hAnsi="Calibri" w:eastAsia="仿宋_GB2312" w:cs="仿宋_GB2312"/>
          <w:color w:val="auto"/>
          <w:sz w:val="32"/>
          <w:szCs w:val="32"/>
          <w:highlight w:val="none"/>
          <w:lang w:eastAsia="zh-CN" w:bidi="ar"/>
        </w:rPr>
        <w:t>层面</w:t>
      </w:r>
      <w:r>
        <w:rPr>
          <w:rFonts w:hint="eastAsia" w:ascii="仿宋_GB2312" w:hAnsi="仿宋_GB2312" w:eastAsia="仿宋_GB2312" w:cs="仿宋_GB2312"/>
          <w:color w:val="auto"/>
          <w:sz w:val="32"/>
          <w:szCs w:val="32"/>
          <w:highlight w:val="none"/>
          <w:lang w:val="en-US" w:eastAsia="zh-CN"/>
        </w:rPr>
        <w:t>提出专业整改意见，</w:t>
      </w:r>
      <w:r>
        <w:rPr>
          <w:rFonts w:hint="eastAsia" w:ascii="仿宋_GB2312" w:eastAsia="仿宋_GB2312" w:cs="仿宋_GB2312"/>
          <w:color w:val="auto"/>
          <w:sz w:val="32"/>
          <w:szCs w:val="32"/>
          <w:highlight w:val="none"/>
          <w:lang w:eastAsia="zh-CN" w:bidi="ar"/>
        </w:rPr>
        <w:t>督促</w:t>
      </w:r>
      <w:r>
        <w:rPr>
          <w:rFonts w:hint="eastAsia" w:ascii="仿宋_GB2312" w:hAnsi="仿宋_GB2312" w:eastAsia="仿宋_GB2312" w:cs="仿宋_GB2312"/>
          <w:color w:val="auto"/>
          <w:sz w:val="32"/>
          <w:szCs w:val="32"/>
          <w:highlight w:val="none"/>
          <w:lang w:val="en-US" w:eastAsia="zh-CN"/>
        </w:rPr>
        <w:t>落实整改，</w:t>
      </w:r>
      <w:r>
        <w:rPr>
          <w:rFonts w:hint="eastAsia" w:ascii="仿宋_GB2312" w:hAnsi="Calibri" w:eastAsia="仿宋_GB2312" w:cs="仿宋_GB2312"/>
          <w:color w:val="auto"/>
          <w:sz w:val="32"/>
          <w:szCs w:val="32"/>
          <w:highlight w:val="none"/>
          <w:lang w:bidi="ar"/>
        </w:rPr>
        <w:t>积极消除各类安全隐患</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本次列入安全管控服务的场所数以名单公布的278家为基数，但不仅限于名单中的278家场所，如在日常检查、其他部门移交、群众举报等过程发现新的上述类型场所，一并纳入本项目服务要求进行风险管控；结合监管场所经营状态变化，如有注销证件或倒闭场所从风险管控名单中移除；</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5.指导、协助经营场所完善安全风险管控档案；</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6.承办龙华区文化广电旅游体育局交办的其他安全管控工作。</w:t>
      </w:r>
    </w:p>
    <w:p>
      <w:pPr>
        <w:keepNext w:val="0"/>
        <w:keepLines w:val="0"/>
        <w:pageBreakBefore w:val="0"/>
        <w:widowControl w:val="0"/>
        <w:tabs>
          <w:tab w:val="left" w:pos="1820"/>
        </w:tabs>
        <w:kinsoku/>
        <w:wordWrap/>
        <w:overflowPunct/>
        <w:topLinePunct w:val="0"/>
        <w:autoSpaceDE/>
        <w:autoSpaceDN/>
        <w:bidi w:val="0"/>
        <w:adjustRightInd/>
        <w:snapToGrid w:val="0"/>
        <w:spacing w:line="560" w:lineRule="exact"/>
        <w:ind w:firstLine="640" w:firstLineChars="200"/>
        <w:jc w:val="both"/>
        <w:textAlignment w:val="auto"/>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eastAsia="zh-CN"/>
        </w:rPr>
        <w:t>四、报价限额</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6"/>
          <w:highlight w:val="none"/>
          <w:lang w:val="en-US" w:eastAsia="zh-CN"/>
        </w:rPr>
        <w:t>14.178</w:t>
      </w:r>
      <w:r>
        <w:rPr>
          <w:rFonts w:hint="eastAsia" w:ascii="仿宋_GB2312" w:hAnsi="仿宋_GB2312" w:eastAsia="仿宋_GB2312" w:cs="仿宋_GB2312"/>
          <w:color w:val="auto"/>
          <w:sz w:val="32"/>
          <w:szCs w:val="36"/>
          <w:highlight w:val="none"/>
          <w:lang w:eastAsia="zh-CN"/>
        </w:rPr>
        <w:t>万元，</w:t>
      </w:r>
      <w:r>
        <w:rPr>
          <w:rFonts w:hint="eastAsia" w:ascii="仿宋_GB2312" w:hAnsi="仿宋_GB2312" w:eastAsia="仿宋_GB2312" w:cs="仿宋_GB2312"/>
          <w:b/>
          <w:bCs/>
          <w:color w:val="auto"/>
          <w:sz w:val="32"/>
          <w:szCs w:val="32"/>
          <w:highlight w:val="none"/>
          <w:lang w:eastAsia="zh-CN"/>
        </w:rPr>
        <w:t>项目报价表</w:t>
      </w:r>
      <w:r>
        <w:rPr>
          <w:rFonts w:hint="eastAsia" w:ascii="仿宋_GB2312" w:hAnsi="仿宋_GB2312" w:eastAsia="仿宋_GB2312" w:cs="仿宋_GB2312"/>
          <w:color w:val="auto"/>
          <w:sz w:val="32"/>
          <w:szCs w:val="32"/>
          <w:highlight w:val="none"/>
        </w:rPr>
        <w:t>需</w:t>
      </w:r>
      <w:r>
        <w:rPr>
          <w:rFonts w:hint="eastAsia" w:ascii="仿宋_GB2312" w:hAnsi="仿宋_GB2312" w:eastAsia="仿宋_GB2312" w:cs="仿宋_GB2312"/>
          <w:color w:val="auto"/>
          <w:sz w:val="32"/>
          <w:szCs w:val="32"/>
          <w:highlight w:val="none"/>
          <w:lang w:eastAsia="zh-CN"/>
        </w:rPr>
        <w:t>按格式提供，与下表</w:t>
      </w:r>
      <w:r>
        <w:rPr>
          <w:rFonts w:hint="eastAsia" w:ascii="仿宋_GB2312" w:hAnsi="仿宋_GB2312" w:eastAsia="仿宋_GB2312" w:cs="仿宋_GB2312"/>
          <w:color w:val="auto"/>
          <w:sz w:val="32"/>
          <w:szCs w:val="32"/>
          <w:highlight w:val="none"/>
        </w:rPr>
        <w:t>保持一致</w:t>
      </w:r>
      <w:r>
        <w:rPr>
          <w:rFonts w:hint="eastAsia" w:ascii="仿宋_GB2312" w:hAnsi="仿宋_GB2312" w:eastAsia="仿宋_GB2312" w:cs="仿宋_GB2312"/>
          <w:color w:val="auto"/>
          <w:sz w:val="32"/>
          <w:szCs w:val="32"/>
          <w:highlight w:val="none"/>
          <w:lang w:eastAsia="zh-CN"/>
        </w:rPr>
        <w: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065"/>
        <w:gridCol w:w="1142"/>
        <w:gridCol w:w="5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4"/>
            <w:noWrap w:val="0"/>
            <w:vAlign w:val="top"/>
          </w:tcPr>
          <w:p>
            <w:pPr>
              <w:pStyle w:val="8"/>
              <w:keepNext w:val="0"/>
              <w:keepLines w:val="0"/>
              <w:suppressLineNumbers w:val="0"/>
              <w:spacing w:before="0" w:beforeAutospacing="0" w:after="0" w:afterAutospacing="0" w:line="560" w:lineRule="exact"/>
              <w:ind w:left="0" w:leftChars="0" w:right="0" w:rightChars="0" w:firstLine="0" w:firstLineChars="0"/>
              <w:jc w:val="center"/>
              <w:rPr>
                <w:rFonts w:hint="default"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val="en-US" w:eastAsia="zh-CN"/>
              </w:rPr>
              <w:t>2026-2027年龙华区文化旅游市场经营场所安全风险管控工作项目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firstLine="0" w:firstLineChars="0"/>
              <w:jc w:val="center"/>
              <w:textAlignment w:val="auto"/>
              <w:outlineLvl w:val="9"/>
              <w:rPr>
                <w:rFonts w:hint="default" w:ascii="仿宋_GB2312" w:hAnsi="仿宋_GB2312" w:eastAsia="仿宋_GB2312" w:cs="仿宋_GB2312"/>
                <w:color w:val="auto"/>
                <w:sz w:val="32"/>
                <w:szCs w:val="32"/>
                <w:highlight w:val="none"/>
                <w:vertAlign w:val="baseline"/>
                <w:lang w:val="en-US" w:eastAsia="zh-CN"/>
              </w:rPr>
            </w:pPr>
            <w:r>
              <w:rPr>
                <w:rFonts w:hint="eastAsia" w:ascii="黑体" w:hAnsi="黑体" w:eastAsia="黑体" w:cs="黑体"/>
                <w:b/>
                <w:color w:val="auto"/>
                <w:kern w:val="0"/>
                <w:sz w:val="24"/>
                <w:szCs w:val="24"/>
                <w:highlight w:val="none"/>
                <w:shd w:val="clear" w:color="auto" w:fill="auto"/>
              </w:rPr>
              <w:t>序号</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firstLine="0" w:firstLineChars="0"/>
              <w:jc w:val="center"/>
              <w:textAlignment w:val="auto"/>
              <w:outlineLvl w:val="9"/>
              <w:rPr>
                <w:rFonts w:hint="default" w:ascii="仿宋_GB2312" w:hAnsi="仿宋_GB2312" w:eastAsia="仿宋_GB2312" w:cs="仿宋_GB2312"/>
                <w:color w:val="auto"/>
                <w:sz w:val="32"/>
                <w:szCs w:val="32"/>
                <w:highlight w:val="none"/>
                <w:vertAlign w:val="baseline"/>
                <w:lang w:val="en-US" w:eastAsia="zh-CN"/>
              </w:rPr>
            </w:pPr>
            <w:r>
              <w:rPr>
                <w:rFonts w:hint="eastAsia" w:ascii="黑体" w:hAnsi="黑体" w:eastAsia="黑体" w:cs="黑体"/>
                <w:b/>
                <w:color w:val="auto"/>
                <w:kern w:val="0"/>
                <w:sz w:val="24"/>
                <w:szCs w:val="24"/>
                <w:highlight w:val="none"/>
                <w:shd w:val="clear" w:color="auto" w:fill="auto"/>
              </w:rPr>
              <w:t>项目名称</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firstLine="0" w:firstLineChars="0"/>
              <w:jc w:val="center"/>
              <w:textAlignment w:val="auto"/>
              <w:outlineLvl w:val="9"/>
              <w:rPr>
                <w:rFonts w:hint="default" w:ascii="仿宋_GB2312" w:hAnsi="仿宋_GB2312" w:eastAsia="仿宋_GB2312" w:cs="仿宋_GB2312"/>
                <w:color w:val="auto"/>
                <w:sz w:val="32"/>
                <w:szCs w:val="32"/>
                <w:highlight w:val="none"/>
                <w:vertAlign w:val="baseline"/>
                <w:lang w:eastAsia="zh-CN"/>
              </w:rPr>
            </w:pPr>
            <w:r>
              <w:rPr>
                <w:rFonts w:hint="eastAsia" w:ascii="黑体" w:hAnsi="黑体" w:eastAsia="黑体" w:cs="黑体"/>
                <w:b/>
                <w:color w:val="auto"/>
                <w:kern w:val="0"/>
                <w:sz w:val="24"/>
                <w:szCs w:val="24"/>
                <w:highlight w:val="none"/>
                <w:shd w:val="clear" w:color="auto" w:fill="auto"/>
              </w:rPr>
              <w:t>数量</w:t>
            </w:r>
          </w:p>
        </w:tc>
        <w:tc>
          <w:tcPr>
            <w:tcW w:w="591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firstLine="0" w:firstLineChars="0"/>
              <w:jc w:val="center"/>
              <w:textAlignment w:val="auto"/>
              <w:outlineLvl w:val="9"/>
              <w:rPr>
                <w:rFonts w:hint="default" w:ascii="仿宋_GB2312" w:hAnsi="仿宋_GB2312" w:eastAsia="仿宋_GB2312" w:cs="仿宋_GB2312"/>
                <w:color w:val="auto"/>
                <w:sz w:val="32"/>
                <w:szCs w:val="32"/>
                <w:highlight w:val="none"/>
                <w:vertAlign w:val="baseline"/>
                <w:lang w:eastAsia="zh-CN"/>
              </w:rPr>
            </w:pPr>
            <w:r>
              <w:rPr>
                <w:rFonts w:hint="eastAsia" w:ascii="黑体" w:hAnsi="黑体" w:eastAsia="黑体" w:cs="黑体"/>
                <w:b/>
                <w:color w:val="auto"/>
                <w:kern w:val="0"/>
                <w:sz w:val="24"/>
                <w:szCs w:val="24"/>
                <w:highlight w:val="none"/>
                <w:shd w:val="clear" w:color="auto" w:fill="auto"/>
                <w:lang w:val="en-US" w:eastAsia="zh-CN" w:bidi="ar-SA"/>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firstLine="0" w:firstLineChars="0"/>
              <w:jc w:val="left"/>
              <w:textAlignment w:val="auto"/>
              <w:outlineLvl w:val="9"/>
              <w:rPr>
                <w:rFonts w:hint="default" w:ascii="仿宋_GB2312" w:hAnsi="仿宋_GB2312" w:eastAsia="仿宋_GB2312" w:cs="仿宋_GB2312"/>
                <w:color w:val="auto"/>
                <w:sz w:val="32"/>
                <w:szCs w:val="32"/>
                <w:highlight w:val="none"/>
                <w:vertAlign w:val="baseline"/>
                <w:lang w:eastAsia="zh-CN"/>
              </w:rPr>
            </w:pPr>
            <w:r>
              <w:rPr>
                <w:rFonts w:hint="eastAsia" w:ascii="宋体" w:hAnsi="宋体" w:eastAsia="宋体" w:cs="宋体"/>
                <w:color w:val="auto"/>
                <w:kern w:val="0"/>
                <w:sz w:val="24"/>
                <w:szCs w:val="24"/>
                <w:highlight w:val="none"/>
                <w:shd w:val="clear" w:color="auto" w:fill="auto"/>
                <w:lang w:val="en-US" w:eastAsia="zh-CN"/>
              </w:rPr>
              <w:t>1</w:t>
            </w:r>
          </w:p>
        </w:tc>
        <w:tc>
          <w:tcPr>
            <w:tcW w:w="1044" w:type="dxa"/>
            <w:noWrap w:val="0"/>
            <w:vAlign w:val="center"/>
          </w:tcPr>
          <w:p>
            <w:pPr>
              <w:keepNext w:val="0"/>
              <w:keepLines w:val="0"/>
              <w:widowControl/>
              <w:suppressLineNumbers w:val="0"/>
              <w:autoSpaceDE w:val="0"/>
              <w:autoSpaceDN/>
              <w:spacing w:before="0" w:beforeAutospacing="0" w:after="0" w:afterAutospacing="0" w:line="480" w:lineRule="exact"/>
              <w:ind w:left="0" w:leftChars="0" w:right="0" w:rightChars="0"/>
              <w:jc w:val="center"/>
              <w:rPr>
                <w:rFonts w:hint="default" w:ascii="仿宋_GB2312" w:hAnsi="仿宋_GB2312" w:eastAsia="仿宋_GB2312" w:cs="仿宋_GB2312"/>
                <w:color w:val="auto"/>
                <w:sz w:val="32"/>
                <w:szCs w:val="32"/>
                <w:highlight w:val="none"/>
                <w:vertAlign w:val="baseline"/>
                <w:lang w:eastAsia="zh-CN"/>
              </w:rPr>
            </w:pPr>
            <w:r>
              <w:rPr>
                <w:rFonts w:hint="eastAsia" w:ascii="仿宋_GB2312" w:hAnsi="等线" w:eastAsia="仿宋_GB2312" w:cs="仿宋_GB2312"/>
                <w:color w:val="000000"/>
                <w:kern w:val="0"/>
                <w:sz w:val="28"/>
                <w:szCs w:val="28"/>
                <w:highlight w:val="none"/>
                <w:lang w:val="en-US" w:eastAsia="zh-CN" w:bidi="ar"/>
              </w:rPr>
              <w:t>文化旅游市场经营场所专项风险管控</w:t>
            </w:r>
          </w:p>
        </w:tc>
        <w:tc>
          <w:tcPr>
            <w:tcW w:w="1110" w:type="dxa"/>
            <w:noWrap w:val="0"/>
            <w:vAlign w:val="center"/>
          </w:tcPr>
          <w:p>
            <w:pPr>
              <w:keepNext w:val="0"/>
              <w:keepLines w:val="0"/>
              <w:widowControl/>
              <w:suppressLineNumbers w:val="0"/>
              <w:autoSpaceDE w:val="0"/>
              <w:autoSpaceDN/>
              <w:spacing w:before="0" w:beforeAutospacing="0" w:after="0" w:afterAutospacing="0" w:line="480" w:lineRule="exact"/>
              <w:ind w:left="0" w:leftChars="0" w:right="0" w:rightChars="0"/>
              <w:jc w:val="center"/>
              <w:rPr>
                <w:rFonts w:hint="default" w:ascii="仿宋_GB2312" w:hAnsi="仿宋_GB2312" w:eastAsia="仿宋_GB2312" w:cs="仿宋_GB2312"/>
                <w:color w:val="auto"/>
                <w:sz w:val="32"/>
                <w:szCs w:val="32"/>
                <w:highlight w:val="none"/>
                <w:vertAlign w:val="baseline"/>
                <w:lang w:eastAsia="zh-CN"/>
              </w:rPr>
            </w:pPr>
            <w:r>
              <w:rPr>
                <w:rFonts w:hint="eastAsia" w:ascii="仿宋_GB2312" w:hAnsi="等线" w:eastAsia="仿宋_GB2312" w:cs="仿宋_GB2312"/>
                <w:color w:val="000000"/>
                <w:kern w:val="0"/>
                <w:sz w:val="28"/>
                <w:szCs w:val="28"/>
                <w:highlight w:val="none"/>
                <w:lang w:val="en-US" w:eastAsia="zh-CN" w:bidi="ar"/>
              </w:rPr>
              <w:t>556家次</w:t>
            </w:r>
          </w:p>
        </w:tc>
        <w:tc>
          <w:tcPr>
            <w:tcW w:w="591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left"/>
              <w:textAlignment w:val="auto"/>
              <w:outlineLvl w:val="9"/>
              <w:rPr>
                <w:rFonts w:hint="default" w:ascii="仿宋_GB2312" w:hAnsi="仿宋_GB2312" w:eastAsia="仿宋_GB2312" w:cs="仿宋_GB2312"/>
                <w:color w:val="auto"/>
                <w:sz w:val="32"/>
                <w:szCs w:val="32"/>
                <w:highlight w:val="none"/>
                <w:vertAlign w:val="baseline"/>
                <w:lang w:eastAsia="zh-CN"/>
              </w:rPr>
            </w:pPr>
            <w:r>
              <w:rPr>
                <w:rFonts w:hint="eastAsia" w:ascii="仿宋_GB2312" w:hAnsi="等线" w:eastAsia="仿宋_GB2312" w:cs="仿宋_GB2312"/>
                <w:color w:val="000000"/>
                <w:kern w:val="0"/>
                <w:sz w:val="28"/>
                <w:szCs w:val="28"/>
                <w:highlight w:val="none"/>
                <w:lang w:bidi="ar"/>
              </w:rPr>
              <w:t>协助对全区网吧、歌舞娱乐、剧本杀和密室逃脱、电子游艺、景区等共约278家场所开展2轮全覆盖安全风险管控，项目服务期限拟定为2026年12月至2027年5月（具体以实际为准)，协助风险管控家次不少于556家次，开展风险点位辨识和分析，指导场所开展安全风险管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4"/>
            <w:noWrap w:val="0"/>
            <w:vAlign w:val="top"/>
          </w:tcPr>
          <w:p>
            <w:pPr>
              <w:keepNext w:val="0"/>
              <w:keepLines w:val="0"/>
              <w:widowControl/>
              <w:suppressLineNumbers w:val="0"/>
              <w:spacing w:before="0" w:beforeAutospacing="0" w:after="0" w:afterAutospacing="0" w:line="560" w:lineRule="exact"/>
              <w:ind w:left="0" w:leftChars="0" w:right="0" w:rightChars="0" w:firstLine="0" w:firstLineChars="0"/>
              <w:jc w:val="both"/>
              <w:rPr>
                <w:rFonts w:hint="default"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eastAsia="zh-CN"/>
              </w:rPr>
              <w:t>投标价格（万元）：</w:t>
            </w:r>
            <w:r>
              <w:rPr>
                <w:rFonts w:hint="eastAsia" w:ascii="仿宋_GB2312" w:hAnsi="仿宋_GB2312" w:eastAsia="仿宋_GB2312" w:cs="仿宋_GB2312"/>
                <w:color w:val="auto"/>
                <w:sz w:val="32"/>
                <w:szCs w:val="32"/>
                <w:highlight w:val="none"/>
                <w:vertAlign w:val="baseline"/>
                <w:lang w:val="en-US" w:eastAsia="zh-CN"/>
              </w:rPr>
              <w:t>__（</w:t>
            </w:r>
            <w:r>
              <w:rPr>
                <w:rFonts w:hint="eastAsia" w:ascii="仿宋_GB2312" w:hAnsi="仿宋_GB2312" w:eastAsia="仿宋_GB2312" w:cs="仿宋_GB2312"/>
                <w:b/>
                <w:bCs/>
                <w:color w:val="auto"/>
                <w:sz w:val="32"/>
                <w:szCs w:val="32"/>
                <w:highlight w:val="none"/>
                <w:vertAlign w:val="baseline"/>
                <w:lang w:val="en-US" w:eastAsia="zh-CN"/>
              </w:rPr>
              <w:t>以万元为单位，最多保留两位小数</w:t>
            </w:r>
            <w:r>
              <w:rPr>
                <w:rFonts w:hint="eastAsia" w:ascii="仿宋_GB2312" w:hAnsi="仿宋_GB2312" w:eastAsia="仿宋_GB2312" w:cs="仿宋_GB2312"/>
                <w:color w:val="auto"/>
                <w:sz w:val="32"/>
                <w:szCs w:val="32"/>
                <w:highlight w:val="none"/>
                <w:vertAlign w:val="baseline"/>
                <w:lang w:val="en-US" w:eastAsia="zh-CN"/>
              </w:rPr>
              <w:t>）</w:t>
            </w:r>
          </w:p>
        </w:tc>
      </w:tr>
    </w:tbl>
    <w:p>
      <w:pPr>
        <w:spacing w:line="560" w:lineRule="exa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黑体"/>
          <w:bCs/>
          <w:color w:val="auto"/>
          <w:sz w:val="32"/>
          <w:szCs w:val="32"/>
          <w:highlight w:val="none"/>
        </w:rPr>
        <w:t>五、</w:t>
      </w:r>
      <w:r>
        <w:rPr>
          <w:rFonts w:hint="eastAsia" w:ascii="黑体" w:hAnsi="黑体" w:eastAsia="黑体" w:cs="黑体"/>
          <w:color w:val="auto"/>
          <w:sz w:val="32"/>
          <w:szCs w:val="32"/>
          <w:highlight w:val="none"/>
        </w:rPr>
        <w:t>供应商的资质要求</w:t>
      </w:r>
    </w:p>
    <w:p>
      <w:pPr>
        <w:widowControl/>
        <w:spacing w:line="240" w:lineRule="auto"/>
        <w:ind w:firstLine="640" w:firstLineChars="200"/>
        <w:jc w:val="both"/>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（一）在中国境内注册的独立法人或其他组织（提供营业执照、事业法人证书、社会团体法人登记证书等扫描件）</w:t>
      </w:r>
      <w:r>
        <w:rPr>
          <w:rFonts w:hint="eastAsia" w:ascii="仿宋_GB2312" w:hAnsi="仿宋" w:cs="仿宋"/>
          <w:color w:val="auto"/>
          <w:sz w:val="32"/>
          <w:szCs w:val="32"/>
          <w:highlight w:val="none"/>
          <w:lang w:eastAsia="zh-CN"/>
        </w:rPr>
        <w:t>，</w:t>
      </w:r>
      <w:r>
        <w:rPr>
          <w:rFonts w:hint="eastAsia" w:ascii="仿宋_GB2312" w:hAnsi="仿宋" w:eastAsia="仿宋_GB2312" w:cs="仿宋"/>
          <w:color w:val="auto"/>
          <w:sz w:val="32"/>
          <w:szCs w:val="32"/>
          <w:highlight w:val="none"/>
        </w:rPr>
        <w:t>总</w:t>
      </w:r>
      <w:r>
        <w:rPr>
          <w:rFonts w:hint="eastAsia" w:ascii="仿宋_GB2312" w:hAnsi="仿宋" w:eastAsia="仿宋_GB2312" w:cs="仿宋"/>
          <w:bCs/>
          <w:color w:val="auto"/>
          <w:sz w:val="32"/>
          <w:szCs w:val="32"/>
          <w:highlight w:val="none"/>
        </w:rPr>
        <w:t>公司</w:t>
      </w:r>
      <w:r>
        <w:rPr>
          <w:rFonts w:hint="eastAsia" w:ascii="仿宋_GB2312" w:hAnsi="仿宋" w:eastAsia="仿宋_GB2312" w:cs="仿宋"/>
          <w:bCs/>
          <w:color w:val="auto"/>
          <w:sz w:val="32"/>
          <w:szCs w:val="32"/>
          <w:highlight w:val="none"/>
          <w:lang w:eastAsia="zh-CN"/>
        </w:rPr>
        <w:t>与</w:t>
      </w:r>
      <w:r>
        <w:rPr>
          <w:rFonts w:hint="eastAsia" w:ascii="仿宋_GB2312" w:hAnsi="仿宋" w:eastAsia="仿宋_GB2312" w:cs="仿宋"/>
          <w:bCs/>
          <w:color w:val="auto"/>
          <w:sz w:val="32"/>
          <w:szCs w:val="32"/>
          <w:highlight w:val="none"/>
        </w:rPr>
        <w:t>分公司</w:t>
      </w:r>
      <w:r>
        <w:rPr>
          <w:rFonts w:hint="eastAsia" w:ascii="仿宋_GB2312" w:hAnsi="仿宋" w:eastAsia="仿宋_GB2312" w:cs="仿宋"/>
          <w:bCs/>
          <w:color w:val="auto"/>
          <w:sz w:val="32"/>
          <w:szCs w:val="32"/>
          <w:highlight w:val="none"/>
          <w:lang w:eastAsia="zh-CN"/>
        </w:rPr>
        <w:t>仅限</w:t>
      </w:r>
      <w:r>
        <w:rPr>
          <w:rFonts w:hint="eastAsia" w:ascii="仿宋_GB2312" w:hAnsi="仿宋" w:eastAsia="仿宋_GB2312" w:cs="仿宋"/>
          <w:bCs/>
          <w:color w:val="auto"/>
          <w:sz w:val="32"/>
          <w:szCs w:val="32"/>
          <w:highlight w:val="none"/>
        </w:rPr>
        <w:t>一家</w:t>
      </w:r>
      <w:r>
        <w:rPr>
          <w:rFonts w:hint="eastAsia" w:ascii="仿宋_GB2312" w:hAnsi="仿宋" w:eastAsia="仿宋_GB2312" w:cs="仿宋"/>
          <w:bCs/>
          <w:color w:val="auto"/>
          <w:sz w:val="32"/>
          <w:szCs w:val="32"/>
          <w:highlight w:val="none"/>
          <w:lang w:eastAsia="zh-CN"/>
        </w:rPr>
        <w:t>参与本项目</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sz w:val="32"/>
          <w:szCs w:val="32"/>
          <w:highlight w:val="none"/>
          <w:lang w:eastAsia="zh-CN"/>
        </w:rPr>
        <w:t>不得同时</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kern w:val="2"/>
          <w:sz w:val="32"/>
          <w:szCs w:val="32"/>
          <w:highlight w:val="none"/>
          <w:lang w:val="en-US" w:eastAsia="zh-CN" w:bidi="ar-SA"/>
        </w:rPr>
        <w:t>若由分公司投标，须提供总公司（或具备独立法人资格的上级单位）出具、加盖总公司公章的授权函，明确由总公司为本次投标及后续履约行为承担民事责任，</w:t>
      </w:r>
      <w:r>
        <w:rPr>
          <w:rFonts w:hint="eastAsia" w:ascii="仿宋_GB2312" w:hAnsi="仿宋" w:eastAsia="仿宋_GB2312" w:cs="仿宋"/>
          <w:color w:val="auto"/>
          <w:sz w:val="32"/>
          <w:szCs w:val="32"/>
          <w:highlight w:val="none"/>
        </w:rPr>
        <w:t>以及提供总、分公司的营业执</w:t>
      </w:r>
      <w:r>
        <w:rPr>
          <w:rFonts w:hint="eastAsia" w:ascii="仿宋_GB2312" w:hAnsi="仿宋" w:eastAsia="仿宋_GB2312" w:cs="仿宋"/>
          <w:bCs/>
          <w:color w:val="auto"/>
          <w:sz w:val="32"/>
          <w:szCs w:val="32"/>
          <w:highlight w:val="none"/>
        </w:rPr>
        <w:t>照扫描件</w:t>
      </w:r>
      <w:r>
        <w:rPr>
          <w:rFonts w:hint="eastAsia" w:ascii="仿宋_GB2312" w:hAnsi="仿宋" w:eastAsia="仿宋_GB2312" w:cs="仿宋"/>
          <w:bCs/>
          <w:color w:val="auto"/>
          <w:kern w:val="2"/>
          <w:sz w:val="32"/>
          <w:szCs w:val="32"/>
          <w:highlight w:val="none"/>
          <w:lang w:val="en-US" w:eastAsia="zh-CN" w:bidi="ar-SA"/>
        </w:rPr>
        <w:t>；</w:t>
      </w:r>
    </w:p>
    <w:p>
      <w:pPr>
        <w:pStyle w:val="17"/>
        <w:spacing w:line="560" w:lineRule="exact"/>
        <w:ind w:firstLine="640"/>
        <w:jc w:val="both"/>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rPr>
        <w:t>（二）</w:t>
      </w:r>
      <w:r>
        <w:rPr>
          <w:rFonts w:hint="eastAsia" w:ascii="仿宋_GB2312" w:hAnsi="仿宋" w:cs="仿宋"/>
          <w:color w:val="auto"/>
          <w:sz w:val="32"/>
          <w:szCs w:val="32"/>
          <w:highlight w:val="none"/>
          <w:lang w:eastAsia="zh-CN"/>
        </w:rPr>
        <w:t>投标人</w:t>
      </w:r>
      <w:r>
        <w:rPr>
          <w:rFonts w:hint="eastAsia" w:ascii="仿宋_GB2312" w:hAnsi="仿宋" w:eastAsia="仿宋_GB2312" w:cs="仿宋"/>
          <w:color w:val="auto"/>
          <w:sz w:val="32"/>
          <w:szCs w:val="32"/>
          <w:highlight w:val="none"/>
        </w:rPr>
        <w:t>近三年内（成立不足三年的</w:t>
      </w:r>
      <w:r>
        <w:rPr>
          <w:rFonts w:hint="eastAsia" w:ascii="仿宋_GB2312" w:hAnsi="仿宋" w:cs="仿宋"/>
          <w:color w:val="auto"/>
          <w:sz w:val="32"/>
          <w:szCs w:val="32"/>
          <w:highlight w:val="none"/>
          <w:lang w:eastAsia="zh-CN"/>
        </w:rPr>
        <w:t>，自</w:t>
      </w:r>
      <w:r>
        <w:rPr>
          <w:rFonts w:hint="eastAsia" w:ascii="仿宋_GB2312" w:hAnsi="仿宋" w:eastAsia="仿宋_GB2312" w:cs="仿宋"/>
          <w:color w:val="auto"/>
          <w:sz w:val="32"/>
          <w:szCs w:val="32"/>
          <w:highlight w:val="none"/>
        </w:rPr>
        <w:t>成立之日起算），在经营活动中没有重大违法记录以及不存在被有关部门禁止参与政府采购活动且在有效期内的情况</w:t>
      </w:r>
      <w:r>
        <w:rPr>
          <w:rFonts w:hint="eastAsia" w:ascii="仿宋_GB2312" w:hAnsi="仿宋" w:cs="仿宋"/>
          <w:color w:val="auto"/>
          <w:sz w:val="32"/>
          <w:szCs w:val="32"/>
          <w:highlight w:val="none"/>
          <w:lang w:eastAsia="zh-CN"/>
        </w:rPr>
        <w:t>；</w:t>
      </w:r>
    </w:p>
    <w:p>
      <w:pPr>
        <w:pStyle w:val="17"/>
        <w:spacing w:line="560" w:lineRule="exact"/>
        <w:ind w:firstLine="640"/>
        <w:jc w:val="both"/>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rPr>
        <w:t>（三）</w:t>
      </w:r>
      <w:r>
        <w:rPr>
          <w:rFonts w:hint="eastAsia" w:ascii="仿宋_GB2312" w:hAnsi="仿宋" w:eastAsia="仿宋_GB2312" w:cs="仿宋"/>
          <w:bCs/>
          <w:color w:val="auto"/>
          <w:kern w:val="2"/>
          <w:sz w:val="32"/>
          <w:szCs w:val="32"/>
          <w:highlight w:val="none"/>
          <w:lang w:val="en-US" w:eastAsia="zh-CN" w:bidi="ar-SA"/>
        </w:rPr>
        <w:t>不同供应商的法定代表人、主要经营负责人、项目投标授权代表人、项目负责人、主要技术人员不得为同一人、</w:t>
      </w:r>
      <w:r>
        <w:rPr>
          <w:rFonts w:hint="eastAsia" w:ascii="仿宋_GB2312" w:hAnsi="仿宋" w:cs="仿宋"/>
          <w:bCs/>
          <w:color w:val="auto"/>
          <w:kern w:val="2"/>
          <w:sz w:val="32"/>
          <w:szCs w:val="32"/>
          <w:highlight w:val="none"/>
          <w:lang w:val="en-US" w:eastAsia="zh-CN" w:bidi="ar-SA"/>
        </w:rPr>
        <w:t>也不得隶属</w:t>
      </w:r>
      <w:r>
        <w:rPr>
          <w:rFonts w:hint="eastAsia" w:ascii="仿宋_GB2312" w:hAnsi="仿宋" w:eastAsia="仿宋_GB2312" w:cs="仿宋"/>
          <w:bCs/>
          <w:color w:val="auto"/>
          <w:kern w:val="2"/>
          <w:sz w:val="32"/>
          <w:szCs w:val="32"/>
          <w:highlight w:val="none"/>
          <w:lang w:val="en-US" w:eastAsia="zh-CN" w:bidi="ar-SA"/>
        </w:rPr>
        <w:t>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color w:val="auto"/>
          <w:sz w:val="32"/>
          <w:szCs w:val="32"/>
          <w:highlight w:val="none"/>
        </w:rPr>
        <w:t>，不得同时参加本项目的采购活动</w:t>
      </w:r>
      <w:r>
        <w:rPr>
          <w:rFonts w:hint="eastAsia" w:ascii="仿宋_GB2312" w:hAnsi="仿宋" w:cs="仿宋"/>
          <w:color w:val="auto"/>
          <w:sz w:val="32"/>
          <w:szCs w:val="32"/>
          <w:highlight w:val="none"/>
          <w:lang w:eastAsia="zh-CN"/>
        </w:rPr>
        <w:t>。</w:t>
      </w:r>
    </w:p>
    <w:p>
      <w:pPr>
        <w:spacing w:line="560" w:lineRule="exact"/>
        <w:ind w:firstLine="640" w:firstLineChars="200"/>
        <w:jc w:val="both"/>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六、选定供应商方法</w:t>
      </w:r>
    </w:p>
    <w:p>
      <w:pPr>
        <w:spacing w:line="560" w:lineRule="exact"/>
        <w:ind w:firstLine="640" w:firstLineChars="200"/>
        <w:jc w:val="both"/>
        <w:rPr>
          <w:rFonts w:hint="eastAsia" w:ascii="仿宋_GB2312" w:hAnsi="仿宋" w:eastAsia="仿宋_GB2312"/>
          <w:color w:val="auto"/>
          <w:sz w:val="32"/>
          <w:highlight w:val="none"/>
          <w:lang w:val="en-US" w:eastAsia="zh-CN"/>
        </w:rPr>
      </w:pPr>
      <w:r>
        <w:rPr>
          <w:rFonts w:hint="eastAsia" w:ascii="仿宋_GB2312" w:hAnsi="仿宋" w:eastAsia="仿宋_GB2312"/>
          <w:color w:val="auto"/>
          <w:sz w:val="32"/>
          <w:highlight w:val="none"/>
        </w:rPr>
        <w:t>综合评分法</w:t>
      </w:r>
    </w:p>
    <w:p>
      <w:pPr>
        <w:keepNext w:val="0"/>
        <w:keepLines w:val="0"/>
        <w:pageBreakBefore w:val="0"/>
        <w:widowControl w:val="0"/>
        <w:snapToGrid/>
        <w:spacing w:line="560" w:lineRule="exact"/>
        <w:ind w:firstLine="640" w:firstLineChars="200"/>
        <w:jc w:val="both"/>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rPr>
        <w:t>七、评分要求</w:t>
      </w:r>
    </w:p>
    <w:p>
      <w:pPr>
        <w:pStyle w:val="19"/>
        <w:spacing w:line="560" w:lineRule="exact"/>
        <w:ind w:firstLine="640" w:firstLineChars="200"/>
        <w:jc w:val="both"/>
        <w:rPr>
          <w:rFonts w:ascii="楷体_GB2312" w:hAnsi="楷体_GB2312" w:eastAsia="楷体_GB2312" w:cs="楷体_GB2312"/>
          <w:b w:val="0"/>
          <w:bCs/>
          <w:color w:val="auto"/>
          <w:sz w:val="32"/>
          <w:szCs w:val="32"/>
          <w:highlight w:val="none"/>
        </w:rPr>
      </w:pPr>
      <w:r>
        <w:rPr>
          <w:rFonts w:hint="eastAsia" w:ascii="楷体_GB2312" w:hAnsi="楷体_GB2312" w:eastAsia="楷体_GB2312" w:cs="楷体_GB2312"/>
          <w:b w:val="0"/>
          <w:bCs/>
          <w:color w:val="auto"/>
          <w:sz w:val="32"/>
          <w:szCs w:val="32"/>
          <w:highlight w:val="none"/>
        </w:rPr>
        <w:t>（一）评分规则</w:t>
      </w:r>
    </w:p>
    <w:p>
      <w:pPr>
        <w:spacing w:line="560" w:lineRule="exact"/>
        <w:ind w:firstLine="640" w:firstLineChars="200"/>
        <w:jc w:val="both"/>
        <w:rPr>
          <w:rFonts w:ascii="楷体_GB2312" w:hAnsi="楷体_GB2312" w:eastAsia="楷体_GB2312" w:cs="楷体_GB2312"/>
          <w:bCs/>
          <w:color w:val="auto"/>
          <w:sz w:val="32"/>
          <w:szCs w:val="32"/>
          <w:highlight w:val="none"/>
        </w:rPr>
      </w:pPr>
      <w:r>
        <w:rPr>
          <w:rFonts w:hint="eastAsia" w:ascii="仿宋_GB2312" w:eastAsia="仿宋_GB2312"/>
          <w:color w:val="auto"/>
          <w:sz w:val="32"/>
          <w:szCs w:val="32"/>
          <w:highlight w:val="none"/>
        </w:rPr>
        <w:t>采取综合评分标准，平均分最高的投标人为本项目中标人。</w:t>
      </w:r>
    </w:p>
    <w:p>
      <w:pPr>
        <w:pStyle w:val="19"/>
        <w:spacing w:line="560" w:lineRule="exact"/>
        <w:ind w:firstLine="640" w:firstLineChars="200"/>
        <w:jc w:val="both"/>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rPr>
        <w:t>（二）评分权重</w:t>
      </w:r>
    </w:p>
    <w:tbl>
      <w:tblPr>
        <w:tblStyle w:val="14"/>
        <w:tblW w:w="8355"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089"/>
        <w:gridCol w:w="2089"/>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9"/>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评分内容</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9"/>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报价</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9"/>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商务</w:t>
            </w:r>
            <w:r>
              <w:rPr>
                <w:rFonts w:hint="eastAsia" w:ascii="仿宋_GB2312" w:hAnsi="仿宋_GB2312" w:eastAsia="仿宋_GB2312" w:cs="仿宋_GB2312"/>
                <w:b w:val="0"/>
                <w:bCs/>
                <w:color w:val="auto"/>
                <w:szCs w:val="24"/>
                <w:highlight w:val="none"/>
                <w:lang w:eastAsia="zh-CN"/>
              </w:rPr>
              <w:t>部分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9"/>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技术</w:t>
            </w:r>
            <w:r>
              <w:rPr>
                <w:rFonts w:hint="eastAsia" w:ascii="仿宋_GB2312" w:hAnsi="仿宋_GB2312" w:eastAsia="仿宋_GB2312" w:cs="仿宋_GB2312"/>
                <w:b w:val="0"/>
                <w:bCs/>
                <w:color w:val="auto"/>
                <w:szCs w:val="24"/>
                <w:highlight w:val="none"/>
                <w:lang w:eastAsia="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9"/>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分值</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9"/>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9"/>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9"/>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45</w:t>
            </w:r>
            <w:r>
              <w:rPr>
                <w:rFonts w:hint="eastAsia" w:ascii="仿宋_GB2312" w:hAnsi="仿宋_GB2312" w:eastAsia="仿宋_GB2312" w:cs="仿宋_GB2312"/>
                <w:b w:val="0"/>
                <w:bCs/>
                <w:color w:val="auto"/>
                <w:szCs w:val="24"/>
                <w:highlight w:val="none"/>
              </w:rPr>
              <w:t>分</w:t>
            </w:r>
          </w:p>
        </w:tc>
      </w:tr>
    </w:tbl>
    <w:p>
      <w:pPr>
        <w:pStyle w:val="19"/>
        <w:spacing w:line="560" w:lineRule="exact"/>
        <w:ind w:firstLine="640" w:firstLineChars="200"/>
        <w:jc w:val="both"/>
        <w:rPr>
          <w:rFonts w:ascii="仿宋_GB2312" w:eastAsia="仿宋_GB2312"/>
          <w:color w:val="auto"/>
          <w:sz w:val="32"/>
          <w:szCs w:val="32"/>
          <w:highlight w:val="none"/>
        </w:rPr>
      </w:pPr>
      <w:r>
        <w:rPr>
          <w:rFonts w:hint="eastAsia" w:ascii="楷体_GB2312" w:hAnsi="楷体_GB2312" w:eastAsia="楷体_GB2312" w:cs="楷体_GB2312"/>
          <w:b w:val="0"/>
          <w:bCs/>
          <w:color w:val="auto"/>
          <w:sz w:val="32"/>
          <w:szCs w:val="32"/>
          <w:highlight w:val="none"/>
        </w:rPr>
        <w:t>（三）评分标准</w:t>
      </w:r>
    </w:p>
    <w:tbl>
      <w:tblPr>
        <w:tblStyle w:val="15"/>
        <w:tblW w:w="8483"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170"/>
        <w:gridCol w:w="6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vMerge w:val="restart"/>
            <w:noWrap w:val="0"/>
            <w:vAlign w:val="center"/>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报价</w:t>
            </w:r>
          </w:p>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vertAlign w:val="baseline"/>
                <w:lang w:val="en-US" w:eastAsia="zh-CN"/>
              </w:rPr>
              <w:t>30分</w:t>
            </w:r>
            <w:r>
              <w:rPr>
                <w:rFonts w:hint="eastAsia" w:ascii="仿宋_GB2312" w:hAnsi="仿宋_GB2312" w:eastAsia="仿宋_GB2312" w:cs="仿宋_GB2312"/>
                <w:color w:val="auto"/>
                <w:sz w:val="24"/>
                <w:szCs w:val="24"/>
                <w:highlight w:val="none"/>
                <w:vertAlign w:val="baseline"/>
                <w:lang w:eastAsia="zh-CN"/>
              </w:rPr>
              <w:t>）</w:t>
            </w:r>
          </w:p>
        </w:tc>
        <w:tc>
          <w:tcPr>
            <w:tcW w:w="1170" w:type="dxa"/>
            <w:noWrap w:val="0"/>
            <w:vAlign w:val="top"/>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评分</w:t>
            </w:r>
          </w:p>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r>
              <w:rPr>
                <w:rFonts w:hint="eastAsia" w:ascii="仿宋_GB2312" w:hAnsi="仿宋_GB2312" w:eastAsia="仿宋_GB2312" w:cs="仿宋_GB2312"/>
                <w:color w:val="auto"/>
                <w:sz w:val="24"/>
                <w:szCs w:val="24"/>
                <w:highlight w:val="none"/>
                <w:vertAlign w:val="baseline"/>
                <w:lang w:eastAsia="zh-CN"/>
              </w:rPr>
              <w:t>因素</w:t>
            </w:r>
          </w:p>
        </w:tc>
        <w:tc>
          <w:tcPr>
            <w:tcW w:w="6143" w:type="dxa"/>
            <w:noWrap w:val="0"/>
            <w:vAlign w:val="center"/>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r>
              <w:rPr>
                <w:rFonts w:hint="eastAsia" w:ascii="仿宋_GB2312" w:hAnsi="仿宋_GB2312" w:eastAsia="仿宋_GB2312" w:cs="仿宋_GB2312"/>
                <w:color w:val="auto"/>
                <w:sz w:val="24"/>
                <w:szCs w:val="24"/>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vMerge w:val="continue"/>
            <w:noWrap w:val="0"/>
            <w:vAlign w:val="center"/>
          </w:tcPr>
          <w:p>
            <w:pPr>
              <w:pStyle w:val="6"/>
              <w:keepNext w:val="0"/>
              <w:keepLines w:val="0"/>
              <w:suppressLineNumbers w:val="0"/>
              <w:spacing w:before="0" w:beforeAutospacing="0" w:afterAutospacing="0" w:line="560" w:lineRule="exact"/>
              <w:ind w:left="0" w:right="0"/>
              <w:jc w:val="center"/>
              <w:rPr>
                <w:rFonts w:hint="eastAsia" w:ascii="仿宋_GB2312" w:hAnsi="仿宋_GB2312" w:eastAsia="仿宋_GB2312" w:cs="仿宋_GB2312"/>
                <w:color w:val="auto"/>
                <w:sz w:val="24"/>
                <w:szCs w:val="24"/>
                <w:highlight w:val="none"/>
                <w:lang w:eastAsia="zh-CN"/>
              </w:rPr>
            </w:pPr>
          </w:p>
        </w:tc>
        <w:tc>
          <w:tcPr>
            <w:tcW w:w="1170" w:type="dxa"/>
            <w:noWrap w:val="0"/>
            <w:vAlign w:val="center"/>
          </w:tcPr>
          <w:p>
            <w:pPr>
              <w:keepNext w:val="0"/>
              <w:keepLines w:val="0"/>
              <w:suppressLineNumbers w:val="0"/>
              <w:topLinePunct/>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价格</w:t>
            </w:r>
          </w:p>
        </w:tc>
        <w:tc>
          <w:tcPr>
            <w:tcW w:w="6143" w:type="dxa"/>
            <w:noWrap w:val="0"/>
            <w:vAlign w:val="center"/>
          </w:tcPr>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以本次报价或投标人所报的有效报价中的最低价作为基准报价。投标人报价得分=（基准价/投标人报价）*</w:t>
            </w: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color w:val="auto"/>
                <w:sz w:val="24"/>
                <w:szCs w:val="24"/>
                <w:highlight w:val="none"/>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vMerge w:val="restart"/>
            <w:noWrap w:val="0"/>
            <w:vAlign w:val="center"/>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商务</w:t>
            </w:r>
          </w:p>
          <w:p>
            <w:pPr>
              <w:pStyle w:val="6"/>
              <w:keepNext w:val="0"/>
              <w:keepLines w:val="0"/>
              <w:suppressLineNumbers w:val="0"/>
              <w:spacing w:before="0" w:beforeAutospacing="0" w:afterAutospacing="0" w:line="560" w:lineRule="exact"/>
              <w:ind w:left="0" w:right="0"/>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部分</w:t>
            </w:r>
          </w:p>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color w:val="auto"/>
                <w:sz w:val="24"/>
                <w:szCs w:val="24"/>
                <w:highlight w:val="none"/>
                <w:vertAlign w:val="baseline"/>
                <w:lang w:val="en-US" w:eastAsia="zh-CN"/>
              </w:rPr>
              <w:t>分</w:t>
            </w:r>
            <w:r>
              <w:rPr>
                <w:rFonts w:hint="eastAsia" w:ascii="仿宋_GB2312" w:hAnsi="仿宋_GB2312" w:eastAsia="仿宋_GB2312" w:cs="仿宋_GB2312"/>
                <w:color w:val="auto"/>
                <w:sz w:val="24"/>
                <w:szCs w:val="24"/>
                <w:highlight w:val="none"/>
                <w:vertAlign w:val="baseline"/>
                <w:lang w:eastAsia="zh-CN"/>
              </w:rPr>
              <w:t>）</w:t>
            </w:r>
          </w:p>
        </w:tc>
        <w:tc>
          <w:tcPr>
            <w:tcW w:w="1170" w:type="dxa"/>
            <w:noWrap w:val="0"/>
            <w:vAlign w:val="center"/>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eastAsia="zh-CN"/>
              </w:rPr>
              <w:t>同类项目经验（</w:t>
            </w:r>
            <w:r>
              <w:rPr>
                <w:rFonts w:hint="eastAsia" w:ascii="仿宋_GB2312" w:hAnsi="仿宋_GB2312" w:eastAsia="仿宋_GB2312" w:cs="仿宋_GB2312"/>
                <w:color w:val="auto"/>
                <w:sz w:val="24"/>
                <w:szCs w:val="24"/>
                <w:highlight w:val="none"/>
                <w:lang w:val="en-US" w:eastAsia="zh-CN"/>
              </w:rPr>
              <w:t>10分</w:t>
            </w:r>
            <w:r>
              <w:rPr>
                <w:rFonts w:hint="eastAsia" w:ascii="仿宋_GB2312" w:hAnsi="仿宋_GB2312" w:eastAsia="仿宋_GB2312" w:cs="仿宋_GB2312"/>
                <w:color w:val="auto"/>
                <w:sz w:val="24"/>
                <w:szCs w:val="24"/>
                <w:highlight w:val="none"/>
                <w:lang w:eastAsia="zh-CN"/>
              </w:rPr>
              <w:t>）</w:t>
            </w:r>
          </w:p>
        </w:tc>
        <w:tc>
          <w:tcPr>
            <w:tcW w:w="6143" w:type="dxa"/>
            <w:noWrap w:val="0"/>
            <w:vAlign w:val="top"/>
          </w:tcPr>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（一）评审内容</w:t>
            </w:r>
          </w:p>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投标人自202</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eastAsia="zh-CN"/>
              </w:rPr>
              <w:t>年1月1日至本项目投标截止日（以合同签订日期为准），</w:t>
            </w:r>
            <w:r>
              <w:rPr>
                <w:rFonts w:hint="eastAsia" w:ascii="仿宋_GB2312" w:hAnsi="仿宋_GB2312" w:eastAsia="仿宋_GB2312" w:cs="仿宋_GB2312"/>
                <w:color w:val="auto"/>
                <w:sz w:val="24"/>
                <w:szCs w:val="24"/>
                <w:highlight w:val="none"/>
                <w:lang w:val="en-US" w:eastAsia="zh-CN"/>
              </w:rPr>
              <w:t>每提供一项安全服务类</w:t>
            </w:r>
            <w:r>
              <w:rPr>
                <w:rFonts w:hint="eastAsia" w:ascii="仿宋_GB2312" w:hAnsi="仿宋_GB2312" w:eastAsia="仿宋_GB2312" w:cs="仿宋_GB2312"/>
                <w:color w:val="auto"/>
                <w:sz w:val="24"/>
                <w:szCs w:val="24"/>
                <w:highlight w:val="none"/>
                <w:lang w:eastAsia="zh-CN"/>
              </w:rPr>
              <w:t>项目业绩得</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eastAsia="zh-CN"/>
              </w:rPr>
              <w:t>分，最高得</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lang w:eastAsia="zh-CN"/>
              </w:rPr>
              <w:t>分</w:t>
            </w:r>
            <w:r>
              <w:rPr>
                <w:rFonts w:hint="eastAsia" w:ascii="仿宋_GB2312" w:hAnsi="仿宋_GB2312" w:eastAsia="仿宋_GB2312" w:cs="仿宋_GB2312"/>
                <w:color w:val="auto"/>
                <w:sz w:val="24"/>
                <w:szCs w:val="24"/>
                <w:highlight w:val="none"/>
                <w:lang w:val="en-US" w:eastAsia="zh-CN"/>
              </w:rPr>
              <w:t>。</w:t>
            </w:r>
          </w:p>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lang w:eastAsia="zh-CN"/>
              </w:rPr>
              <w:t>）评审依据</w:t>
            </w:r>
          </w:p>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每项业绩按以下要求提供完整准确的证明文件，一个合同计算一个业绩，一年一签的续签合同只计算一个业绩：</w:t>
            </w:r>
          </w:p>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合同关键页（关键信息包括但不仅限于合同的项目名称、服务内容、合同服务的起止时间、合同双方的盖章、签订日期等）；</w:t>
            </w:r>
          </w:p>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未提供证明材料或者提供的证明材料不符合要求或提供的证明材料不清晰导致采购小组无法辨认的，不得分。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70" w:type="dxa"/>
            <w:vMerge w:val="continue"/>
            <w:noWrap w:val="0"/>
            <w:vAlign w:val="center"/>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p>
        </w:tc>
        <w:tc>
          <w:tcPr>
            <w:tcW w:w="1170" w:type="dxa"/>
            <w:noWrap w:val="0"/>
            <w:vAlign w:val="center"/>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拟安排项目团队成员</w:t>
            </w:r>
          </w:p>
          <w:p>
            <w:pPr>
              <w:keepNext w:val="0"/>
              <w:keepLines w:val="0"/>
              <w:suppressLineNumbers w:val="0"/>
              <w:spacing w:before="0" w:beforeAutospacing="0" w:after="0" w:afterAutospacing="0" w:line="560" w:lineRule="exact"/>
              <w:ind w:left="0" w:right="0"/>
              <w:jc w:val="center"/>
              <w:rPr>
                <w:rFonts w:hint="eastAsia"/>
                <w:color w:val="auto"/>
                <w:highlight w:val="none"/>
                <w:lang w:val="en-US" w:eastAsia="zh-CN"/>
              </w:rPr>
            </w:pPr>
            <w:r>
              <w:rPr>
                <w:rFonts w:hint="eastAsia" w:ascii="仿宋_GB2312" w:hAnsi="仿宋_GB2312" w:eastAsia="仿宋_GB2312" w:cs="仿宋_GB2312"/>
                <w:color w:val="auto"/>
                <w:sz w:val="24"/>
                <w:szCs w:val="24"/>
                <w:highlight w:val="none"/>
                <w:lang w:val="en-US" w:eastAsia="zh-CN"/>
              </w:rPr>
              <w:t>（12分）</w:t>
            </w:r>
          </w:p>
        </w:tc>
        <w:tc>
          <w:tcPr>
            <w:tcW w:w="6143" w:type="dxa"/>
            <w:noWrap w:val="0"/>
            <w:vAlign w:val="center"/>
          </w:tcPr>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（一）评审内容</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拟安排的项目</w:t>
            </w:r>
            <w:r>
              <w:rPr>
                <w:rFonts w:hint="eastAsia" w:ascii="仿宋_GB2312" w:hAnsi="仿宋_GB2312" w:eastAsia="仿宋_GB2312" w:cs="仿宋_GB2312"/>
                <w:color w:val="auto"/>
                <w:sz w:val="24"/>
                <w:szCs w:val="24"/>
                <w:highlight w:val="none"/>
                <w:lang w:val="en-US" w:eastAsia="zh-CN"/>
              </w:rPr>
              <w:t>团队成员</w:t>
            </w:r>
            <w:r>
              <w:rPr>
                <w:rFonts w:hint="eastAsia" w:ascii="仿宋_GB2312" w:hAnsi="仿宋_GB2312" w:eastAsia="仿宋_GB2312" w:cs="仿宋_GB2312"/>
                <w:color w:val="auto"/>
                <w:sz w:val="24"/>
                <w:szCs w:val="24"/>
                <w:highlight w:val="none"/>
                <w:lang w:eastAsia="zh-CN"/>
              </w:rPr>
              <w:t>情况：</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具有本科（或以上）学历，每提供一人的得</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分，最高得</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eastAsia="zh-CN"/>
              </w:rPr>
              <w:t>分（注：同一人不同学历不累计分值）；</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具有中级（或以上）安全工程师（非网络信息类），每提供一人得</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分，最高得</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eastAsia="zh-CN"/>
              </w:rPr>
              <w:t>分；</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3</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具有</w:t>
            </w:r>
            <w:r>
              <w:rPr>
                <w:rFonts w:hint="eastAsia" w:ascii="仿宋_GB2312" w:hAnsi="仿宋_GB2312" w:eastAsia="仿宋_GB2312" w:cs="仿宋_GB2312"/>
                <w:color w:val="auto"/>
                <w:sz w:val="24"/>
                <w:szCs w:val="24"/>
                <w:highlight w:val="none"/>
                <w:lang w:val="en-US" w:eastAsia="zh-CN"/>
              </w:rPr>
              <w:t>安全服务</w:t>
            </w:r>
            <w:r>
              <w:rPr>
                <w:rFonts w:hint="eastAsia" w:ascii="仿宋_GB2312" w:hAnsi="仿宋_GB2312" w:eastAsia="仿宋_GB2312" w:cs="仿宋_GB2312"/>
                <w:color w:val="auto"/>
                <w:sz w:val="24"/>
                <w:szCs w:val="24"/>
                <w:highlight w:val="none"/>
                <w:lang w:eastAsia="zh-CN"/>
              </w:rPr>
              <w:t>有关工作经验，每提供一人得</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分，最高得</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eastAsia="zh-CN"/>
              </w:rPr>
              <w:t>分；</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同一人具备1至3项情况的可</w:t>
            </w:r>
            <w:r>
              <w:rPr>
                <w:rFonts w:hint="eastAsia" w:ascii="仿宋_GB2312" w:hAnsi="仿宋_GB2312" w:eastAsia="仿宋_GB2312" w:cs="仿宋_GB2312"/>
                <w:color w:val="auto"/>
                <w:sz w:val="24"/>
                <w:szCs w:val="24"/>
                <w:highlight w:val="none"/>
                <w:lang w:val="en-US" w:eastAsia="zh-CN"/>
              </w:rPr>
              <w:t>重复得</w:t>
            </w:r>
            <w:r>
              <w:rPr>
                <w:rFonts w:hint="eastAsia" w:ascii="仿宋_GB2312" w:hAnsi="仿宋_GB2312" w:eastAsia="仿宋_GB2312" w:cs="仿宋_GB2312"/>
                <w:color w:val="auto"/>
                <w:sz w:val="24"/>
                <w:szCs w:val="24"/>
                <w:highlight w:val="none"/>
                <w:lang w:eastAsia="zh-CN"/>
              </w:rPr>
              <w:t>分，本项最高得</w:t>
            </w:r>
            <w:r>
              <w:rPr>
                <w:rFonts w:hint="eastAsia" w:ascii="仿宋_GB2312" w:hAnsi="仿宋_GB2312" w:eastAsia="仿宋_GB2312" w:cs="仿宋_GB2312"/>
                <w:color w:val="auto"/>
                <w:sz w:val="24"/>
                <w:szCs w:val="24"/>
                <w:highlight w:val="none"/>
                <w:lang w:val="en-US" w:eastAsia="zh-CN"/>
              </w:rPr>
              <w:t>12</w:t>
            </w:r>
            <w:r>
              <w:rPr>
                <w:rFonts w:hint="eastAsia" w:ascii="仿宋_GB2312" w:hAnsi="仿宋_GB2312" w:eastAsia="仿宋_GB2312" w:cs="仿宋_GB2312"/>
                <w:color w:val="auto"/>
                <w:sz w:val="24"/>
                <w:szCs w:val="24"/>
                <w:highlight w:val="none"/>
                <w:lang w:eastAsia="zh-CN"/>
              </w:rPr>
              <w:t>分。</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lang w:eastAsia="zh-CN"/>
              </w:rPr>
              <w:t>）评审依据</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提供毕业证书</w:t>
            </w:r>
            <w:r>
              <w:rPr>
                <w:rFonts w:hint="eastAsia" w:ascii="仿宋_GB2312" w:hAnsi="仿宋_GB2312" w:eastAsia="仿宋_GB2312" w:cs="仿宋_GB2312"/>
                <w:color w:val="auto"/>
                <w:sz w:val="24"/>
                <w:szCs w:val="24"/>
                <w:highlight w:val="none"/>
                <w:lang w:eastAsia="zh-CN"/>
              </w:rPr>
              <w:t>或学位证书</w:t>
            </w:r>
            <w:r>
              <w:rPr>
                <w:rFonts w:hint="eastAsia" w:ascii="仿宋_GB2312" w:hAnsi="仿宋_GB2312" w:eastAsia="仿宋_GB2312" w:cs="仿宋_GB2312"/>
                <w:color w:val="auto"/>
                <w:sz w:val="24"/>
                <w:szCs w:val="24"/>
                <w:highlight w:val="none"/>
              </w:rPr>
              <w:t>扫描件</w:t>
            </w:r>
            <w:r>
              <w:rPr>
                <w:rFonts w:hint="eastAsia" w:ascii="仿宋_GB2312" w:hAnsi="仿宋_GB2312" w:eastAsia="仿宋_GB2312" w:cs="仿宋_GB2312"/>
                <w:color w:val="auto"/>
                <w:sz w:val="24"/>
                <w:szCs w:val="24"/>
                <w:highlight w:val="none"/>
                <w:lang w:eastAsia="zh-CN"/>
              </w:rPr>
              <w:t>，及</w:t>
            </w:r>
            <w:r>
              <w:rPr>
                <w:rFonts w:hint="eastAsia" w:ascii="仿宋_GB2312" w:hAnsi="仿宋_GB2312" w:eastAsia="仿宋_GB2312" w:cs="仿宋_GB2312"/>
                <w:color w:val="auto"/>
                <w:sz w:val="24"/>
                <w:szCs w:val="24"/>
                <w:highlight w:val="none"/>
              </w:rPr>
              <w:t>学历信息在学信网查询结果截图，原件备查。</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提供相关证书</w:t>
            </w:r>
            <w:r>
              <w:rPr>
                <w:rFonts w:hint="eastAsia" w:ascii="仿宋_GB2312" w:hAnsi="仿宋_GB2312" w:eastAsia="仿宋_GB2312" w:cs="仿宋_GB2312"/>
                <w:color w:val="auto"/>
                <w:sz w:val="24"/>
                <w:szCs w:val="24"/>
                <w:highlight w:val="none"/>
                <w:lang w:eastAsia="zh-CN"/>
              </w:rPr>
              <w:t>扫描件及线上查询验证截图</w:t>
            </w:r>
            <w:r>
              <w:rPr>
                <w:rFonts w:hint="eastAsia" w:ascii="仿宋_GB2312" w:hAnsi="仿宋_GB2312" w:eastAsia="仿宋_GB2312" w:cs="仿宋_GB2312"/>
                <w:color w:val="auto"/>
                <w:sz w:val="24"/>
                <w:szCs w:val="24"/>
                <w:highlight w:val="none"/>
              </w:rPr>
              <w:t>。</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相关工作经验需提供相关项目合同关键页（应包含但不限于合同甲乙双方名称、服务项目名称、签订合同时间、甲乙双方公章等关键信息）扫描件。合同中未体现项目经理或项目负责人姓名的，需同时提供该项目合同甲方出具的证明文件扫描件（加盖合同甲方公章或业务章）</w:t>
            </w:r>
            <w:r>
              <w:rPr>
                <w:rFonts w:hint="eastAsia" w:ascii="仿宋_GB2312" w:hAnsi="仿宋_GB2312" w:eastAsia="仿宋_GB2312" w:cs="仿宋_GB2312"/>
                <w:color w:val="auto"/>
                <w:sz w:val="24"/>
                <w:szCs w:val="24"/>
                <w:highlight w:val="none"/>
              </w:rPr>
              <w:t>。</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4.以上人员近三月社保缴纳记录。</w:t>
            </w:r>
          </w:p>
          <w:p>
            <w:pPr>
              <w:keepNext w:val="0"/>
              <w:keepLines w:val="0"/>
              <w:suppressLineNumbers w:val="0"/>
              <w:topLinePunct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5.以上证明文件原件备查，未提供或未按要求提供或提供的不清晰导致采购小组无法判断的，不得分。</w:t>
            </w:r>
          </w:p>
          <w:p>
            <w:pPr>
              <w:keepNext w:val="0"/>
              <w:keepLines w:val="0"/>
              <w:suppressLineNumbers w:val="0"/>
              <w:adjustRightInd w:val="0"/>
              <w:snapToGrid w:val="0"/>
              <w:spacing w:before="0" w:beforeAutospacing="0" w:after="0" w:afterAutospacing="0"/>
              <w:ind w:left="0" w:right="0"/>
              <w:rPr>
                <w:rFonts w:hint="eastAsia" w:ascii="仿宋_GB2312" w:hAnsi="仿宋_GB2312" w:eastAsia="仿宋_GB2312" w:cs="仿宋_GB2312"/>
                <w:color w:val="auto"/>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vMerge w:val="continue"/>
            <w:noWrap w:val="0"/>
            <w:vAlign w:val="center"/>
          </w:tcPr>
          <w:p>
            <w:pPr>
              <w:keepNext w:val="0"/>
              <w:keepLines w:val="0"/>
              <w:suppressLineNumbers w:val="0"/>
              <w:spacing w:before="0" w:beforeAutospacing="0" w:after="0" w:afterAutospacing="0" w:line="560" w:lineRule="exact"/>
              <w:ind w:left="0" w:right="113" w:rightChars="54"/>
              <w:jc w:val="center"/>
              <w:rPr>
                <w:rFonts w:hint="eastAsia" w:ascii="仿宋_GB2312" w:hAnsi="仿宋_GB2312" w:eastAsia="仿宋_GB2312" w:cs="仿宋_GB2312"/>
                <w:color w:val="auto"/>
                <w:sz w:val="24"/>
                <w:szCs w:val="24"/>
                <w:highlight w:val="none"/>
                <w:lang w:val="en-US" w:eastAsia="zh-CN"/>
              </w:rPr>
            </w:pPr>
          </w:p>
        </w:tc>
        <w:tc>
          <w:tcPr>
            <w:tcW w:w="1170" w:type="dxa"/>
            <w:noWrap w:val="0"/>
            <w:vAlign w:val="center"/>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项目完成（服务期满）</w:t>
            </w:r>
          </w:p>
          <w:p>
            <w:pPr>
              <w:keepNext w:val="0"/>
              <w:keepLines w:val="0"/>
              <w:suppressLineNumbers w:val="0"/>
              <w:spacing w:before="0" w:beforeAutospacing="0" w:after="0" w:afterAutospacing="0" w:line="560" w:lineRule="exact"/>
              <w:ind w:left="0" w:right="113" w:rightChars="54"/>
              <w:jc w:val="center"/>
              <w:rPr>
                <w:rFonts w:hint="eastAsia"/>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后的服务承诺（3分）</w:t>
            </w:r>
          </w:p>
        </w:tc>
        <w:tc>
          <w:tcPr>
            <w:tcW w:w="6143" w:type="dxa"/>
            <w:noWrap w:val="0"/>
            <w:vAlign w:val="center"/>
          </w:tcPr>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keepNext w:val="0"/>
              <w:keepLines w:val="0"/>
              <w:suppressLineNumbers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根据针对本项目做出的服务承诺，考察包括但不限于以下内容：</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1.在服务期满后主动交接项目相关资料；</w:t>
            </w:r>
          </w:p>
          <w:p>
            <w:pPr>
              <w:keepNext w:val="0"/>
              <w:keepLines w:val="0"/>
              <w:numPr>
                <w:ilvl w:val="-1"/>
                <w:numId w:val="0"/>
              </w:numPr>
              <w:suppressLineNumbers w:val="0"/>
              <w:adjustRightInd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2.与后续服务公司进行资料、工作等交接；</w:t>
            </w:r>
          </w:p>
          <w:p>
            <w:pPr>
              <w:keepNext w:val="0"/>
              <w:keepLines w:val="0"/>
              <w:numPr>
                <w:ilvl w:val="-1"/>
                <w:numId w:val="0"/>
              </w:numPr>
              <w:suppressLineNumbers w:val="0"/>
              <w:adjustRightInd w:val="0"/>
              <w:snapToGrid w:val="0"/>
              <w:spacing w:before="0" w:beforeAutospacing="0" w:after="0" w:afterAutospacing="0" w:line="560" w:lineRule="exact"/>
              <w:ind w:left="0" w:right="0"/>
              <w:jc w:val="both"/>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3.配合项目检查审计等事项。</w:t>
            </w:r>
          </w:p>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p>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提供</w:t>
            </w:r>
            <w:r>
              <w:rPr>
                <w:rFonts w:hint="eastAsia" w:ascii="仿宋_GB2312" w:hAnsi="仿宋_GB2312" w:eastAsia="仿宋_GB2312" w:cs="仿宋_GB2312"/>
                <w:color w:val="auto"/>
                <w:sz w:val="24"/>
                <w:szCs w:val="24"/>
                <w:highlight w:val="none"/>
                <w:lang w:eastAsia="zh-CN"/>
              </w:rPr>
              <w:t>服务</w:t>
            </w:r>
            <w:r>
              <w:rPr>
                <w:rFonts w:hint="eastAsia" w:ascii="仿宋_GB2312" w:hAnsi="仿宋_GB2312" w:eastAsia="仿宋_GB2312" w:cs="仿宋_GB2312"/>
                <w:color w:val="auto"/>
                <w:sz w:val="24"/>
                <w:szCs w:val="24"/>
                <w:highlight w:val="none"/>
              </w:rPr>
              <w:t>承诺函（格式自拟）并加盖投标人公章，未提供承诺或承诺内容不满足要求不得分。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vMerge w:val="restart"/>
            <w:noWrap w:val="0"/>
            <w:vAlign w:val="center"/>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技术</w:t>
            </w:r>
          </w:p>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部分</w:t>
            </w:r>
          </w:p>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vertAlign w:val="baseline"/>
                <w:lang w:val="en-US" w:eastAsia="zh-CN"/>
              </w:rPr>
              <w:t>（45分）</w:t>
            </w:r>
          </w:p>
        </w:tc>
        <w:tc>
          <w:tcPr>
            <w:tcW w:w="1170" w:type="dxa"/>
            <w:noWrap w:val="0"/>
            <w:vAlign w:val="center"/>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实</w:t>
            </w:r>
            <w:r>
              <w:rPr>
                <w:rFonts w:hint="eastAsia" w:ascii="仿宋_GB2312" w:hAnsi="仿宋_GB2312" w:eastAsia="仿宋_GB2312" w:cs="仿宋_GB2312"/>
                <w:color w:val="auto"/>
                <w:sz w:val="24"/>
                <w:szCs w:val="24"/>
                <w:highlight w:val="none"/>
                <w:lang w:val="en-US" w:eastAsia="zh-CN"/>
              </w:rPr>
              <w:t>施</w:t>
            </w:r>
          </w:p>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方案</w:t>
            </w:r>
          </w:p>
          <w:p>
            <w:pPr>
              <w:keepNext w:val="0"/>
              <w:keepLines w:val="0"/>
              <w:suppressLineNumbers w:val="0"/>
              <w:spacing w:before="0" w:beforeAutospacing="0" w:after="0" w:afterAutospacing="0" w:line="560" w:lineRule="exact"/>
              <w:ind w:left="0" w:right="0"/>
              <w:jc w:val="center"/>
              <w:rPr>
                <w:rFonts w:hint="eastAsia"/>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（25分）</w:t>
            </w:r>
          </w:p>
        </w:tc>
        <w:tc>
          <w:tcPr>
            <w:tcW w:w="6143" w:type="dxa"/>
            <w:noWrap w:val="0"/>
            <w:vAlign w:val="top"/>
          </w:tcPr>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pStyle w:val="13"/>
              <w:keepNext w:val="0"/>
              <w:keepLines w:val="0"/>
              <w:widowControl/>
              <w:suppressLineNumbers w:val="0"/>
              <w:topLinePunct w:val="0"/>
              <w:snapToGrid w:val="0"/>
              <w:spacing w:before="0" w:beforeAutospacing="0" w:after="0" w:afterAutospacing="0" w:line="560" w:lineRule="exact"/>
              <w:ind w:left="0" w:right="0"/>
              <w:jc w:val="both"/>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4"/>
                <w:szCs w:val="24"/>
                <w:highlight w:val="none"/>
                <w:lang w:val="en-US" w:eastAsia="zh-CN"/>
              </w:rPr>
              <w:t>根据投标人提供的实施方案，考察包括但不限于：</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highlight w:val="none"/>
              </w:rPr>
              <w:t>1.项目整体规划；</w:t>
            </w:r>
          </w:p>
          <w:p>
            <w:pPr>
              <w:pStyle w:val="13"/>
              <w:keepNext w:val="0"/>
              <w:keepLines w:val="0"/>
              <w:widowControl/>
              <w:suppressLineNumbers w:val="0"/>
              <w:topLinePunct w:val="0"/>
              <w:snapToGrid w:val="0"/>
              <w:spacing w:before="0" w:beforeAutospacing="0" w:after="0" w:afterAutospacing="0" w:line="560" w:lineRule="exact"/>
              <w:ind w:left="0" w:right="0"/>
              <w:jc w:val="both"/>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2.项目管理目标；</w:t>
            </w:r>
          </w:p>
          <w:p>
            <w:pPr>
              <w:pStyle w:val="13"/>
              <w:keepNext w:val="0"/>
              <w:keepLines w:val="0"/>
              <w:widowControl/>
              <w:suppressLineNumbers w:val="0"/>
              <w:topLinePunct w:val="0"/>
              <w:snapToGrid w:val="0"/>
              <w:spacing w:before="0" w:beforeAutospacing="0" w:after="0" w:afterAutospacing="0" w:line="560" w:lineRule="exact"/>
              <w:ind w:left="0" w:right="0"/>
              <w:jc w:val="both"/>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3.项目的安全保障；</w:t>
            </w:r>
          </w:p>
          <w:p>
            <w:pPr>
              <w:pStyle w:val="13"/>
              <w:keepNext w:val="0"/>
              <w:keepLines w:val="0"/>
              <w:widowControl/>
              <w:suppressLineNumbers w:val="0"/>
              <w:topLinePunct w:val="0"/>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highlight w:val="none"/>
              </w:rPr>
              <w:t>4.应急处置预案。</w:t>
            </w:r>
          </w:p>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满足以上任意一项要求得4分，最高得16分，在此基础上，</w:t>
            </w:r>
            <w:r>
              <w:rPr>
                <w:rFonts w:hint="eastAsia" w:ascii="仿宋_GB2312" w:hAnsi="仿宋_GB2312" w:eastAsia="仿宋_GB2312" w:cs="仿宋_GB2312"/>
                <w:color w:val="auto"/>
                <w:sz w:val="24"/>
                <w:szCs w:val="24"/>
                <w:highlight w:val="none"/>
              </w:rPr>
              <w:t>根据供应商的具体响应内容按照量化的评审因素指标进一步评审，设定优、良、中、差四个评分标准：</w:t>
            </w:r>
          </w:p>
          <w:p>
            <w:pPr>
              <w:keepNext w:val="0"/>
              <w:keepLines w:val="0"/>
              <w:pageBreakBefore w:val="0"/>
              <w:widowControl w:val="0"/>
              <w:suppressLineNumbers w:val="0"/>
              <w:snapToGrid/>
              <w:spacing w:before="0" w:beforeAutospacing="0" w:after="0" w:afterAutospacing="0" w:line="560" w:lineRule="exact"/>
              <w:ind w:left="0" w:right="0"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1.优：项目实施方案内容全面、具体、针对性强、科学合理、可操作性强得9分；</w:t>
            </w:r>
          </w:p>
          <w:p>
            <w:pPr>
              <w:keepNext w:val="0"/>
              <w:keepLines w:val="0"/>
              <w:pageBreakBefore w:val="0"/>
              <w:widowControl w:val="0"/>
              <w:suppressLineNumbers w:val="0"/>
              <w:snapToGrid/>
              <w:spacing w:before="0" w:beforeAutospacing="0" w:after="0" w:afterAutospacing="0" w:line="560" w:lineRule="exact"/>
              <w:ind w:left="0" w:right="0"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2.良：项目实施方案内容较丰富、较具体、针对性较强、较科学合理、可操作性较强得6分；</w:t>
            </w:r>
          </w:p>
          <w:p>
            <w:pPr>
              <w:keepNext w:val="0"/>
              <w:keepLines w:val="0"/>
              <w:pageBreakBefore w:val="0"/>
              <w:widowControl w:val="0"/>
              <w:suppressLineNumbers w:val="0"/>
              <w:snapToGrid/>
              <w:spacing w:before="0" w:beforeAutospacing="0" w:after="0" w:afterAutospacing="0" w:line="560" w:lineRule="exact"/>
              <w:ind w:left="0" w:right="0"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3.中：项目实施方案内容、针对性、可操作性一般得3分；</w:t>
            </w:r>
          </w:p>
          <w:p>
            <w:pPr>
              <w:keepNext w:val="0"/>
              <w:keepLines w:val="0"/>
              <w:pageBreakBefore w:val="0"/>
              <w:widowControl w:val="0"/>
              <w:suppressLineNumbers w:val="0"/>
              <w:snapToGrid/>
              <w:spacing w:before="0" w:beforeAutospacing="0" w:after="0" w:afterAutospacing="0" w:line="560" w:lineRule="exact"/>
              <w:ind w:left="0" w:right="0" w:firstLine="0" w:firstLineChars="0"/>
              <w:jc w:val="both"/>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val="en-US" w:eastAsia="zh-CN"/>
              </w:rPr>
              <w:t>4.差：其它情况不得分。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vMerge w:val="continue"/>
            <w:noWrap w:val="0"/>
            <w:vAlign w:val="center"/>
          </w:tcPr>
          <w:p>
            <w:pPr>
              <w:pStyle w:val="6"/>
              <w:keepNext w:val="0"/>
              <w:keepLines w:val="0"/>
              <w:suppressLineNumbers w:val="0"/>
              <w:spacing w:before="0" w:beforeAutospacing="0" w:afterAutospacing="0" w:line="560" w:lineRule="exact"/>
              <w:ind w:left="0" w:right="0"/>
              <w:jc w:val="center"/>
              <w:rPr>
                <w:rFonts w:hint="eastAsia" w:ascii="仿宋_GB2312" w:hAnsi="仿宋_GB2312" w:eastAsia="仿宋_GB2312" w:cs="仿宋_GB2312"/>
                <w:color w:val="auto"/>
                <w:sz w:val="24"/>
                <w:szCs w:val="24"/>
                <w:highlight w:val="none"/>
                <w:vertAlign w:val="baseline"/>
                <w:lang w:eastAsia="zh-CN"/>
              </w:rPr>
            </w:pPr>
          </w:p>
        </w:tc>
        <w:tc>
          <w:tcPr>
            <w:tcW w:w="1170" w:type="dxa"/>
            <w:noWrap w:val="0"/>
            <w:vAlign w:val="center"/>
          </w:tcPr>
          <w:p>
            <w:pPr>
              <w:keepNext w:val="0"/>
              <w:keepLines w:val="0"/>
              <w:suppressLineNumbers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质量保障措施</w:t>
            </w:r>
          </w:p>
          <w:p>
            <w:pPr>
              <w:pStyle w:val="6"/>
              <w:keepNext w:val="0"/>
              <w:keepLines w:val="0"/>
              <w:suppressLineNumbers w:val="0"/>
              <w:spacing w:before="0" w:beforeAutospacing="0" w:afterAutospacing="0" w:line="560" w:lineRule="exact"/>
              <w:ind w:left="0" w:right="0"/>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lang w:val="en-US" w:eastAsia="zh-CN"/>
              </w:rPr>
              <w:t>20</w:t>
            </w:r>
            <w:r>
              <w:rPr>
                <w:rFonts w:hint="eastAsia" w:ascii="仿宋_GB2312" w:hAnsi="仿宋_GB2312" w:eastAsia="仿宋_GB2312" w:cs="仿宋_GB2312"/>
                <w:color w:val="auto"/>
                <w:sz w:val="24"/>
                <w:szCs w:val="24"/>
                <w:highlight w:val="none"/>
                <w:vertAlign w:val="baseline"/>
                <w:lang w:val="en-US" w:eastAsia="zh-CN"/>
              </w:rPr>
              <w:t>分</w:t>
            </w:r>
            <w:r>
              <w:rPr>
                <w:rFonts w:hint="eastAsia" w:ascii="仿宋_GB2312" w:hAnsi="仿宋_GB2312" w:eastAsia="仿宋_GB2312" w:cs="仿宋_GB2312"/>
                <w:color w:val="auto"/>
                <w:sz w:val="24"/>
                <w:szCs w:val="24"/>
                <w:highlight w:val="none"/>
                <w:vertAlign w:val="baseline"/>
                <w:lang w:eastAsia="zh-CN"/>
              </w:rPr>
              <w:t>）</w:t>
            </w:r>
          </w:p>
        </w:tc>
        <w:tc>
          <w:tcPr>
            <w:tcW w:w="6143" w:type="dxa"/>
            <w:noWrap w:val="0"/>
            <w:vAlign w:val="top"/>
          </w:tcPr>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keepNext w:val="0"/>
              <w:keepLines w:val="0"/>
              <w:suppressLineNumbers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根据对项目的理解及自身管理经验，针对本项目提出质量保障措施。包括但不限于以下内容：</w:t>
            </w:r>
          </w:p>
          <w:p>
            <w:pPr>
              <w:keepNext w:val="0"/>
              <w:keepLines w:val="0"/>
              <w:suppressLineNumbers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1.具备详细的完成时间保障措施；</w:t>
            </w:r>
          </w:p>
          <w:p>
            <w:pPr>
              <w:keepNext w:val="0"/>
              <w:keepLines w:val="0"/>
              <w:suppressLineNumbers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2.详细阐述项目人员管理措施；</w:t>
            </w:r>
          </w:p>
          <w:p>
            <w:pPr>
              <w:keepNext w:val="0"/>
              <w:keepLines w:val="0"/>
              <w:suppressLineNumbers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3.详细阐述项目质量管理措施。</w:t>
            </w:r>
          </w:p>
          <w:p>
            <w:pPr>
              <w:keepNext w:val="0"/>
              <w:keepLines w:val="0"/>
              <w:suppressLineNumbers w:val="0"/>
              <w:topLinePunct/>
              <w:snapToGrid w:val="0"/>
              <w:spacing w:before="0" w:beforeAutospacing="0" w:after="0" w:afterAutospacing="0" w:line="560" w:lineRule="exact"/>
              <w:ind w:left="0" w:right="0"/>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val="en-US" w:eastAsia="zh-CN"/>
              </w:rPr>
              <w:t>（二）评分标准：</w:t>
            </w:r>
          </w:p>
          <w:p>
            <w:pPr>
              <w:keepNext w:val="0"/>
              <w:keepLines w:val="0"/>
              <w:suppressLineNumbers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满足以上任意一项要求得4分，最高得12分，在此基础上，</w:t>
            </w:r>
            <w:r>
              <w:rPr>
                <w:rFonts w:hint="eastAsia" w:ascii="仿宋_GB2312" w:hAnsi="仿宋_GB2312" w:eastAsia="仿宋_GB2312" w:cs="仿宋_GB2312"/>
                <w:color w:val="auto"/>
                <w:sz w:val="24"/>
                <w:szCs w:val="24"/>
                <w:highlight w:val="none"/>
                <w:lang w:eastAsia="zh-CN"/>
              </w:rPr>
              <w:t>根据供应商的具体响应内容按照量化的评审因素指标进一步评审，设定优、良、中、差四个评分标准</w:t>
            </w:r>
            <w:r>
              <w:rPr>
                <w:rFonts w:hint="eastAsia" w:ascii="仿宋_GB2312" w:hAnsi="仿宋_GB2312" w:eastAsia="仿宋_GB2312" w:cs="仿宋_GB2312"/>
                <w:color w:val="auto"/>
                <w:sz w:val="24"/>
                <w:szCs w:val="24"/>
                <w:highlight w:val="none"/>
                <w:lang w:val="en-US" w:eastAsia="zh-CN"/>
              </w:rPr>
              <w:t>：</w:t>
            </w:r>
          </w:p>
          <w:p>
            <w:pPr>
              <w:keepNext w:val="0"/>
              <w:keepLines w:val="0"/>
              <w:suppressLineNumbers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lang w:eastAsia="zh-CN"/>
              </w:rPr>
              <w:t>优：以上项目质量保障措施及方案三点内容全面具体、针对性强、可操作性强，加</w:t>
            </w:r>
            <w:r>
              <w:rPr>
                <w:rFonts w:hint="eastAsia" w:ascii="仿宋_GB2312" w:hAnsi="仿宋_GB2312" w:eastAsia="仿宋_GB2312" w:cs="仿宋_GB2312"/>
                <w:color w:val="auto"/>
                <w:sz w:val="24"/>
                <w:szCs w:val="24"/>
                <w:highlight w:val="none"/>
                <w:lang w:val="en-US" w:eastAsia="zh-CN"/>
              </w:rPr>
              <w:t>8</w:t>
            </w:r>
            <w:r>
              <w:rPr>
                <w:rFonts w:hint="eastAsia" w:ascii="仿宋_GB2312" w:hAnsi="仿宋_GB2312" w:eastAsia="仿宋_GB2312" w:cs="仿宋_GB2312"/>
                <w:color w:val="auto"/>
                <w:sz w:val="24"/>
                <w:szCs w:val="24"/>
                <w:highlight w:val="none"/>
                <w:lang w:eastAsia="zh-CN"/>
              </w:rPr>
              <w:t>分；</w:t>
            </w:r>
          </w:p>
          <w:p>
            <w:pPr>
              <w:keepNext w:val="0"/>
              <w:keepLines w:val="0"/>
              <w:suppressLineNumbers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良：以上项目质量保障措施及方案的三点内容较丰富、针对性较强、可操作性较强，加</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eastAsia="zh-CN"/>
              </w:rPr>
              <w:t>分；</w:t>
            </w:r>
          </w:p>
          <w:p>
            <w:pPr>
              <w:keepNext w:val="0"/>
              <w:keepLines w:val="0"/>
              <w:suppressLineNumbers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eastAsia="zh-CN"/>
              </w:rPr>
              <w:t>中：以上项目质量保障措施及方案三点内容完整性、针对性、可操作性均一般，加</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分；</w:t>
            </w:r>
          </w:p>
          <w:p>
            <w:pPr>
              <w:keepNext w:val="0"/>
              <w:keepLines w:val="0"/>
              <w:suppressLineNumbers w:val="0"/>
              <w:spacing w:before="0" w:beforeAutospacing="0" w:after="0" w:afterAutospacing="0" w:line="560" w:lineRule="exact"/>
              <w:ind w:left="0" w:right="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eastAsia="zh-CN"/>
              </w:rPr>
              <w:t>差：</w:t>
            </w:r>
            <w:r>
              <w:rPr>
                <w:rFonts w:hint="eastAsia" w:ascii="仿宋_GB2312" w:hAnsi="仿宋_GB2312" w:eastAsia="仿宋_GB2312" w:cs="仿宋_GB2312"/>
                <w:color w:val="auto"/>
                <w:sz w:val="24"/>
                <w:szCs w:val="24"/>
                <w:highlight w:val="none"/>
                <w:lang w:val="en-US" w:eastAsia="zh-CN"/>
              </w:rPr>
              <w:t>其它情况不得分。</w:t>
            </w:r>
          </w:p>
        </w:tc>
      </w:tr>
    </w:tbl>
    <w:p>
      <w:pPr>
        <w:pStyle w:val="19"/>
        <w:spacing w:line="560" w:lineRule="exact"/>
        <w:ind w:firstLine="640" w:firstLineChars="200"/>
        <w:jc w:val="both"/>
        <w:rPr>
          <w:rFonts w:hint="eastAsia" w:ascii="方正黑体_GBK" w:hAnsi="方正黑体_GBK" w:eastAsia="方正黑体_GBK" w:cs="方正黑体_GBK"/>
          <w:b w:val="0"/>
          <w:bCs/>
          <w:color w:val="auto"/>
          <w:sz w:val="32"/>
          <w:szCs w:val="32"/>
          <w:highlight w:val="none"/>
        </w:rPr>
      </w:pPr>
      <w:r>
        <w:rPr>
          <w:rFonts w:hint="eastAsia" w:ascii="方正黑体_GBK" w:hAnsi="方正黑体_GBK" w:eastAsia="方正黑体_GBK" w:cs="方正黑体_GBK"/>
          <w:b w:val="0"/>
          <w:bCs/>
          <w:color w:val="auto"/>
          <w:sz w:val="32"/>
          <w:szCs w:val="32"/>
          <w:highlight w:val="none"/>
          <w:lang w:eastAsia="zh-CN"/>
        </w:rPr>
        <w:t>八、</w:t>
      </w:r>
      <w:r>
        <w:rPr>
          <w:rFonts w:hint="eastAsia" w:ascii="方正黑体_GBK" w:hAnsi="方正黑体_GBK" w:eastAsia="方正黑体_GBK" w:cs="方正黑体_GBK"/>
          <w:b w:val="0"/>
          <w:bCs/>
          <w:color w:val="auto"/>
          <w:sz w:val="32"/>
          <w:szCs w:val="32"/>
          <w:highlight w:val="none"/>
        </w:rPr>
        <w:t>供应商提供资料清单</w:t>
      </w:r>
    </w:p>
    <w:p>
      <w:pPr>
        <w:spacing w:line="560" w:lineRule="exact"/>
        <w:ind w:firstLine="642" w:firstLineChars="20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b/>
          <w:bCs/>
          <w:color w:val="auto"/>
          <w:sz w:val="32"/>
          <w:highlight w:val="none"/>
          <w:lang w:val="en-US" w:eastAsia="zh-CN"/>
        </w:rPr>
        <w:t>注：以下全部资料每页均须加盖单位公章；第1至5项为投标资格必备资料，第1至5项任意一项资料缺失、未按要求完整提交的，作无效投标处理。</w:t>
      </w:r>
    </w:p>
    <w:p>
      <w:pPr>
        <w:spacing w:line="560" w:lineRule="exact"/>
        <w:ind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1.营业执照、事业法人证书、社会团体法人登记证书；</w:t>
      </w:r>
    </w:p>
    <w:p>
      <w:pPr>
        <w:spacing w:line="560" w:lineRule="exact"/>
        <w:ind w:firstLine="640" w:firstLineChars="200"/>
        <w:jc w:val="both"/>
        <w:rPr>
          <w:color w:val="auto"/>
          <w:sz w:val="32"/>
          <w:szCs w:val="32"/>
          <w:highlight w:val="none"/>
        </w:rPr>
      </w:pPr>
      <w:r>
        <w:rPr>
          <w:rFonts w:hint="eastAsia" w:ascii="仿宋_GB2312" w:hAnsi="仿宋" w:eastAsia="仿宋_GB2312" w:cs="Times New Roman"/>
          <w:color w:val="auto"/>
          <w:sz w:val="32"/>
          <w:szCs w:val="32"/>
          <w:highlight w:val="none"/>
        </w:rPr>
        <w:t>2.法定代表人身份证复印件</w:t>
      </w:r>
      <w:r>
        <w:rPr>
          <w:rFonts w:hint="eastAsia" w:ascii="仿宋_GB2312" w:hAnsi="仿宋" w:eastAsia="仿宋_GB2312" w:cs="Times New Roman"/>
          <w:b/>
          <w:bCs/>
          <w:color w:val="auto"/>
          <w:kern w:val="2"/>
          <w:sz w:val="32"/>
          <w:szCs w:val="24"/>
          <w:highlight w:val="none"/>
          <w:lang w:val="en-US" w:eastAsia="zh-CN" w:bidi="ar-SA"/>
        </w:rPr>
        <w:t>（需签字）</w:t>
      </w:r>
      <w:r>
        <w:rPr>
          <w:rFonts w:hint="eastAsia" w:ascii="仿宋_GB2312" w:hAnsi="仿宋" w:eastAsia="仿宋_GB2312" w:cs="Times New Roman"/>
          <w:color w:val="auto"/>
          <w:sz w:val="32"/>
          <w:szCs w:val="32"/>
          <w:highlight w:val="none"/>
        </w:rPr>
        <w:t>；</w:t>
      </w:r>
    </w:p>
    <w:p>
      <w:pPr>
        <w:pStyle w:val="8"/>
        <w:spacing w:after="0" w:line="560" w:lineRule="exact"/>
        <w:ind w:left="0" w:leftChars="0" w:right="0" w:rightChars="0" w:firstLine="64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3.项目报价</w:t>
      </w:r>
      <w:r>
        <w:rPr>
          <w:rFonts w:hint="eastAsia" w:ascii="仿宋_GB2312" w:hAnsi="仿宋" w:eastAsia="仿宋_GB2312" w:cs="Times New Roman"/>
          <w:color w:val="auto"/>
          <w:sz w:val="32"/>
          <w:highlight w:val="none"/>
          <w:lang w:eastAsia="zh-CN"/>
        </w:rPr>
        <w:t>表</w:t>
      </w:r>
      <w:r>
        <w:rPr>
          <w:rFonts w:hint="eastAsia" w:ascii="仿宋_GB2312" w:hAnsi="仿宋" w:eastAsia="仿宋_GB2312" w:cs="Times New Roman"/>
          <w:b/>
          <w:bCs/>
          <w:color w:val="auto"/>
          <w:sz w:val="32"/>
          <w:highlight w:val="none"/>
          <w:lang w:eastAsia="zh-CN"/>
        </w:rPr>
        <w:t>（需按格式提供）</w:t>
      </w:r>
      <w:r>
        <w:rPr>
          <w:rFonts w:hint="eastAsia" w:ascii="仿宋_GB2312" w:hAnsi="仿宋" w:eastAsia="仿宋_GB2312" w:cs="Times New Roman"/>
          <w:color w:val="auto"/>
          <w:sz w:val="32"/>
          <w:highlight w:val="none"/>
        </w:rPr>
        <w:t>；</w:t>
      </w:r>
    </w:p>
    <w:p>
      <w:pPr>
        <w:pStyle w:val="8"/>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4.诚信承诺书（详见附件1）；</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auto"/>
          <w:kern w:val="2"/>
          <w:sz w:val="32"/>
          <w:szCs w:val="24"/>
          <w:highlight w:val="none"/>
          <w:lang w:val="en-US" w:eastAsia="zh-CN" w:bidi="ar-SA"/>
        </w:rPr>
      </w:pPr>
      <w:r>
        <w:rPr>
          <w:rFonts w:hint="eastAsia" w:ascii="仿宋_GB2312" w:hAnsi="仿宋" w:eastAsia="仿宋_GB2312" w:cs="Times New Roman"/>
          <w:color w:val="auto"/>
          <w:kern w:val="2"/>
          <w:sz w:val="32"/>
          <w:szCs w:val="24"/>
          <w:highlight w:val="none"/>
          <w:lang w:val="en-US" w:eastAsia="zh-CN" w:bidi="ar-SA"/>
        </w:rPr>
        <w:t>5.填写《供应商基本情况表》（加盖单位公章，详见附件2），</w:t>
      </w:r>
      <w:r>
        <w:rPr>
          <w:rFonts w:hint="eastAsia" w:ascii="仿宋_GB2312" w:hAnsi="仿宋" w:eastAsia="仿宋_GB2312" w:cs="Times New Roman"/>
          <w:b/>
          <w:bCs/>
          <w:color w:val="auto"/>
          <w:kern w:val="2"/>
          <w:sz w:val="32"/>
          <w:szCs w:val="24"/>
          <w:highlight w:val="none"/>
          <w:lang w:val="en-US" w:eastAsia="zh-CN" w:bidi="ar-SA"/>
        </w:rPr>
        <w:t>并完整提交表格列明的供应商相关人员近三个月社保缴纳证明</w:t>
      </w:r>
      <w:r>
        <w:rPr>
          <w:rFonts w:hint="eastAsia" w:ascii="仿宋_GB2312" w:hAnsi="仿宋" w:eastAsia="仿宋_GB2312" w:cs="Times New Roman"/>
          <w:color w:val="auto"/>
          <w:kern w:val="2"/>
          <w:sz w:val="32"/>
          <w:szCs w:val="24"/>
          <w:highlight w:val="none"/>
          <w:lang w:val="en-US" w:eastAsia="zh-CN" w:bidi="ar-SA"/>
        </w:rPr>
        <w:t>；法定代表人社保缴纳单位与本单位不一致的，需一并提供对应社保凭证，法定代表人已退休的应出具加盖公章的情况说明；当月社保凭证暂无法出具的，社保材料可整体往前顺延一个月；成立未满3个月的新设企业，可提交加盖公章的情况说明或其他有效佐证材料。</w:t>
      </w:r>
      <w:r>
        <w:rPr>
          <w:rFonts w:hint="eastAsia" w:ascii="仿宋_GB2312" w:hAnsi="仿宋" w:eastAsia="仿宋_GB2312" w:cs="Times New Roman"/>
          <w:b/>
          <w:bCs/>
          <w:color w:val="auto"/>
          <w:kern w:val="2"/>
          <w:sz w:val="32"/>
          <w:szCs w:val="24"/>
          <w:highlight w:val="none"/>
          <w:lang w:val="en-US" w:eastAsia="zh-CN" w:bidi="ar-SA"/>
        </w:rPr>
        <w:t>投标人未完整按要求提供对应人员社保材料的，将作投标无效处理。</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auto"/>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6</w:t>
      </w:r>
      <w:r>
        <w:rPr>
          <w:rFonts w:hint="eastAsia" w:ascii="仿宋_GB2312" w:hAnsi="仿宋" w:eastAsia="仿宋_GB2312" w:cs="Times New Roman"/>
          <w:color w:val="auto"/>
          <w:sz w:val="32"/>
          <w:highlight w:val="none"/>
        </w:rPr>
        <w:t>.评分规则所需资料（同类业绩证明、方案等）；</w:t>
      </w:r>
    </w:p>
    <w:p>
      <w:pPr>
        <w:pStyle w:val="8"/>
        <w:spacing w:after="0" w:line="560" w:lineRule="exact"/>
        <w:ind w:left="0" w:leftChars="0" w:right="0" w:rightChars="0" w:firstLine="640"/>
        <w:jc w:val="both"/>
        <w:rPr>
          <w:rFonts w:hint="eastAsia" w:ascii="方正黑体_GBK" w:hAnsi="方正黑体_GBK" w:eastAsia="方正黑体_GBK" w:cs="方正黑体_GBK"/>
          <w:color w:val="auto"/>
          <w:sz w:val="32"/>
          <w:highlight w:val="none"/>
          <w:lang w:val="en-US" w:eastAsia="zh-CN"/>
        </w:rPr>
      </w:pPr>
      <w:r>
        <w:rPr>
          <w:rFonts w:hint="eastAsia" w:ascii="方正黑体_GBK" w:hAnsi="方正黑体_GBK" w:eastAsia="方正黑体_GBK" w:cs="方正黑体_GBK"/>
          <w:color w:val="auto"/>
          <w:sz w:val="32"/>
          <w:highlight w:val="none"/>
          <w:lang w:val="en-US" w:eastAsia="zh-CN"/>
        </w:rPr>
        <w:t>九、其他注意事项</w:t>
      </w:r>
    </w:p>
    <w:p>
      <w:pPr>
        <w:keepNext w:val="0"/>
        <w:keepLines w:val="0"/>
        <w:widowControl/>
        <w:suppressLineNumbers w:val="0"/>
        <w:spacing w:line="560" w:lineRule="exact"/>
        <w:ind w:firstLine="640" w:firstLineChars="200"/>
        <w:jc w:val="both"/>
        <w:rPr>
          <w:rFonts w:hint="eastAsia" w:ascii="仿宋_GB2312" w:hAnsi="仿宋" w:eastAsia="仿宋_GB2312" w:cs="Times New Roman"/>
          <w:color w:val="auto"/>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1.供应商须在</w:t>
      </w:r>
      <w:r>
        <w:rPr>
          <w:rFonts w:hint="default" w:ascii="仿宋_GB2312" w:hAnsi="仿宋" w:eastAsia="仿宋_GB2312" w:cs="Times New Roman"/>
          <w:color w:val="auto"/>
          <w:sz w:val="32"/>
          <w:highlight w:val="none"/>
          <w:lang w:val="en-US" w:eastAsia="zh-CN"/>
        </w:rPr>
        <w:t>深圳政府采购自行采购系统</w:t>
      </w:r>
      <w:r>
        <w:rPr>
          <w:rFonts w:hint="eastAsia" w:ascii="仿宋_GB2312" w:hAnsi="仿宋" w:eastAsia="仿宋_GB2312" w:cs="Times New Roman"/>
          <w:color w:val="auto"/>
          <w:kern w:val="2"/>
          <w:sz w:val="32"/>
          <w:szCs w:val="24"/>
          <w:highlight w:val="none"/>
          <w:lang w:val="en-US" w:eastAsia="zh-CN" w:bidi="ar-SA"/>
        </w:rPr>
        <w:t>完成注册（网址：https://zxcg.szggzy.com/home/index.html），请于本项目投标截止时间前完成注册，否则如中标/成交，可能影响采购结果的发布。</w:t>
      </w:r>
    </w:p>
    <w:p>
      <w:pPr>
        <w:pStyle w:val="8"/>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2.</w:t>
      </w:r>
      <w:r>
        <w:rPr>
          <w:rFonts w:hint="eastAsia" w:ascii="仿宋_GB2312" w:hAnsi="仿宋" w:eastAsia="仿宋_GB2312" w:cs="Times New Roman"/>
          <w:color w:val="auto"/>
          <w:sz w:val="32"/>
          <w:highlight w:val="none"/>
        </w:rPr>
        <w:t>供应商需</w:t>
      </w:r>
      <w:r>
        <w:rPr>
          <w:rFonts w:hint="eastAsia" w:ascii="仿宋_GB2312" w:hAnsi="仿宋" w:eastAsia="仿宋_GB2312" w:cs="Times New Roman"/>
          <w:color w:val="auto"/>
          <w:sz w:val="32"/>
          <w:highlight w:val="none"/>
          <w:lang w:val="en-US" w:eastAsia="zh-CN"/>
        </w:rPr>
        <w:t>以</w:t>
      </w:r>
      <w:r>
        <w:rPr>
          <w:rFonts w:hint="eastAsia" w:ascii="仿宋_GB2312" w:hAnsi="仿宋" w:eastAsia="仿宋_GB2312" w:cs="Times New Roman"/>
          <w:color w:val="auto"/>
          <w:sz w:val="32"/>
          <w:highlight w:val="none"/>
        </w:rPr>
        <w:t>邮寄</w:t>
      </w:r>
      <w:r>
        <w:rPr>
          <w:rFonts w:hint="eastAsia" w:ascii="仿宋_GB2312" w:hAnsi="仿宋" w:eastAsia="仿宋_GB2312" w:cs="Times New Roman"/>
          <w:color w:val="auto"/>
          <w:sz w:val="32"/>
          <w:highlight w:val="none"/>
          <w:lang w:val="en-US" w:eastAsia="zh-CN"/>
        </w:rPr>
        <w:t>方式提供5</w:t>
      </w:r>
      <w:r>
        <w:rPr>
          <w:rFonts w:hint="eastAsia" w:ascii="仿宋_GB2312" w:hAnsi="仿宋" w:eastAsia="仿宋_GB2312" w:cs="Times New Roman"/>
          <w:color w:val="auto"/>
          <w:sz w:val="32"/>
          <w:highlight w:val="none"/>
        </w:rPr>
        <w:t>份密封纸质版投标资料至本单位</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并在封面备注“</w:t>
      </w:r>
      <w:r>
        <w:rPr>
          <w:rFonts w:hint="eastAsia" w:ascii="仿宋_GB2312" w:hAnsi="仿宋" w:eastAsia="仿宋_GB2312" w:cs="Times New Roman"/>
          <w:color w:val="auto"/>
          <w:sz w:val="32"/>
          <w:highlight w:val="none"/>
          <w:lang w:val="en" w:eastAsia="zh-CN"/>
        </w:rPr>
        <w:t>2026-2027年龙华区文化旅游市场经营场所安全风险管控工作项目</w:t>
      </w:r>
      <w:r>
        <w:rPr>
          <w:rFonts w:hint="eastAsia" w:ascii="仿宋_GB2312" w:hAnsi="仿宋_GB2312" w:eastAsia="仿宋_GB2312" w:cs="仿宋_GB2312"/>
          <w:color w:val="auto"/>
          <w:kern w:val="0"/>
          <w:sz w:val="32"/>
          <w:szCs w:val="32"/>
          <w:highlight w:val="none"/>
          <w:lang w:val="en-US" w:eastAsia="zh-CN"/>
        </w:rPr>
        <w:t>+公司全称+日期+联系人+联系方式”。</w:t>
      </w:r>
    </w:p>
    <w:p>
      <w:pPr>
        <w:pStyle w:val="8"/>
        <w:spacing w:after="0" w:line="560" w:lineRule="exact"/>
        <w:ind w:left="0" w:leftChars="0" w:right="0" w:rightChars="0"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地址：</w:t>
      </w:r>
      <w:bookmarkStart w:id="1" w:name="OLE_LINK5"/>
      <w:r>
        <w:rPr>
          <w:rFonts w:hint="eastAsia" w:ascii="仿宋_GB2312" w:hAnsi="仿宋" w:eastAsia="仿宋_GB2312" w:cs="Times New Roman"/>
          <w:color w:val="auto"/>
          <w:sz w:val="32"/>
          <w:highlight w:val="none"/>
        </w:rPr>
        <w:t>深圳市龙华区</w:t>
      </w:r>
      <w:r>
        <w:rPr>
          <w:rFonts w:hint="eastAsia" w:ascii="仿宋_GB2312" w:hAnsi="仿宋" w:eastAsia="仿宋_GB2312" w:cs="Times New Roman"/>
          <w:color w:val="auto"/>
          <w:sz w:val="32"/>
          <w:highlight w:val="none"/>
          <w:lang w:val="en-US" w:eastAsia="zh-CN"/>
        </w:rPr>
        <w:t>龙华街道</w:t>
      </w:r>
      <w:r>
        <w:rPr>
          <w:rFonts w:hint="eastAsia" w:ascii="仿宋_GB2312" w:hAnsi="仿宋" w:eastAsia="仿宋_GB2312" w:cs="Times New Roman"/>
          <w:color w:val="auto"/>
          <w:sz w:val="32"/>
          <w:highlight w:val="none"/>
        </w:rPr>
        <w:t>富康行政</w:t>
      </w:r>
      <w:r>
        <w:rPr>
          <w:rFonts w:hint="eastAsia" w:ascii="仿宋_GB2312" w:hAnsi="仿宋" w:eastAsia="仿宋_GB2312" w:cs="Times New Roman"/>
          <w:color w:val="auto"/>
          <w:sz w:val="32"/>
          <w:highlight w:val="none"/>
          <w:lang w:val="en-US" w:eastAsia="zh-CN"/>
        </w:rPr>
        <w:t>服务</w:t>
      </w:r>
      <w:r>
        <w:rPr>
          <w:rFonts w:hint="eastAsia" w:ascii="仿宋_GB2312" w:hAnsi="仿宋" w:eastAsia="仿宋_GB2312" w:cs="Times New Roman"/>
          <w:color w:val="auto"/>
          <w:sz w:val="32"/>
          <w:highlight w:val="none"/>
        </w:rPr>
        <w:t>办公区</w:t>
      </w:r>
      <w:bookmarkEnd w:id="1"/>
    </w:p>
    <w:p>
      <w:pPr>
        <w:pStyle w:val="20"/>
        <w:spacing w:line="560" w:lineRule="exact"/>
        <w:jc w:val="both"/>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rPr>
        <w:t>收件人：吴先生</w:t>
      </w:r>
    </w:p>
    <w:p>
      <w:pPr>
        <w:spacing w:line="560" w:lineRule="exact"/>
        <w:ind w:firstLine="640" w:firstLineChars="200"/>
        <w:jc w:val="both"/>
        <w:rPr>
          <w:rFonts w:hint="default" w:ascii="仿宋_GB2312" w:hAnsi="仿宋" w:eastAsia="仿宋_GB2312" w:cs="Times New Roman"/>
          <w:color w:val="auto"/>
          <w:sz w:val="32"/>
          <w:szCs w:val="22"/>
          <w:highlight w:val="none"/>
          <w:lang w:val="en-US"/>
        </w:rPr>
      </w:pPr>
      <w:r>
        <w:rPr>
          <w:rFonts w:hint="eastAsia" w:ascii="仿宋_GB2312" w:hAnsi="仿宋" w:eastAsia="仿宋_GB2312" w:cs="Times New Roman"/>
          <w:color w:val="auto"/>
          <w:sz w:val="32"/>
          <w:highlight w:val="none"/>
        </w:rPr>
        <w:t>联系方式</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szCs w:val="22"/>
          <w:highlight w:val="none"/>
        </w:rPr>
        <w:t>0755-23338</w:t>
      </w:r>
      <w:r>
        <w:rPr>
          <w:rFonts w:hint="default" w:ascii="仿宋_GB2312" w:hAnsi="仿宋" w:eastAsia="仿宋_GB2312" w:cs="Times New Roman"/>
          <w:color w:val="auto"/>
          <w:sz w:val="32"/>
          <w:szCs w:val="22"/>
          <w:highlight w:val="none"/>
          <w:lang w:val="en-US"/>
        </w:rPr>
        <w:t>032</w:t>
      </w:r>
    </w:p>
    <w:p>
      <w:pPr>
        <w:pStyle w:val="20"/>
        <w:spacing w:line="560" w:lineRule="exact"/>
        <w:ind w:firstLine="0" w:firstLineChars="0"/>
        <w:rPr>
          <w:rFonts w:hint="default" w:ascii="黑体" w:hAnsi="黑体" w:eastAsia="黑体" w:cs="黑体"/>
          <w:color w:val="auto"/>
          <w:sz w:val="32"/>
          <w:szCs w:val="32"/>
          <w:highlight w:val="none"/>
          <w:lang w:val="en-US" w:eastAsia="zh-CN"/>
        </w:rPr>
      </w:pPr>
      <w:bookmarkStart w:id="2" w:name="_GoBack"/>
      <w:bookmarkEnd w:id="2"/>
      <w:r>
        <w:rPr>
          <w:rFonts w:ascii="仿宋_GB2312" w:hAnsi="仿宋" w:eastAsia="仿宋_GB2312" w:cs="Times New Roman"/>
          <w:color w:val="auto"/>
          <w:sz w:val="32"/>
          <w:highlight w:val="none"/>
        </w:rPr>
        <w:br w:type="page"/>
      </w: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pPr>
        <w:keepNext/>
        <w:keepLines/>
        <w:widowControl w:val="0"/>
        <w:numPr>
          <w:ilvl w:val="0"/>
          <w:numId w:val="0"/>
        </w:numPr>
        <w:spacing w:before="280" w:after="290" w:line="376" w:lineRule="auto"/>
        <w:jc w:val="center"/>
        <w:outlineLvl w:val="3"/>
        <w:rPr>
          <w:rFonts w:hint="eastAsia" w:ascii="黑体" w:hAnsi="Arial" w:eastAsia="黑体" w:cs="Times New Roman"/>
          <w:b w:val="0"/>
          <w:bCs/>
          <w:color w:val="auto"/>
          <w:kern w:val="0"/>
          <w:sz w:val="24"/>
          <w:szCs w:val="28"/>
          <w:highlight w:val="none"/>
          <w:lang w:val="en-US" w:eastAsia="zh-CN" w:bidi="ar-SA"/>
        </w:rPr>
      </w:pPr>
      <w:r>
        <w:rPr>
          <w:rFonts w:hint="eastAsia" w:ascii="黑体" w:hAnsi="Arial" w:eastAsia="黑体" w:cs="Times New Roman"/>
          <w:b w:val="0"/>
          <w:bCs/>
          <w:color w:val="auto"/>
          <w:kern w:val="0"/>
          <w:sz w:val="24"/>
          <w:szCs w:val="28"/>
          <w:highlight w:val="none"/>
          <w:lang w:val="en-US" w:eastAsia="zh-CN" w:bidi="ar-SA"/>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致：</w:t>
      </w:r>
      <w:r>
        <w:rPr>
          <w:rFonts w:hint="eastAsia" w:ascii="宋体" w:hAnsi="宋体" w:eastAsia="宋体" w:cs="Times New Roman"/>
          <w:color w:val="auto"/>
          <w:sz w:val="21"/>
          <w:szCs w:val="21"/>
          <w:highlight w:val="none"/>
          <w:u w:val="single"/>
        </w:rPr>
        <w:t>深圳市龙华区文化广电旅游体育局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2.我单位参与本项目</w:t>
      </w:r>
      <w:r>
        <w:rPr>
          <w:rFonts w:hint="eastAsia" w:eastAsia="宋体" w:cs="Times New Roman"/>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4.我单位</w:t>
      </w:r>
      <w:r>
        <w:rPr>
          <w:rFonts w:hint="eastAsia" w:eastAsia="宋体" w:cs="Times New Roman"/>
          <w:color w:val="auto"/>
          <w:sz w:val="21"/>
          <w:szCs w:val="21"/>
          <w:highlight w:val="none"/>
        </w:rPr>
        <w:t>未被列入失信被执行人、</w:t>
      </w:r>
      <w:r>
        <w:rPr>
          <w:rFonts w:hint="eastAsia" w:eastAsia="宋体" w:cs="Times New Roman"/>
          <w:color w:val="auto"/>
          <w:sz w:val="21"/>
          <w:szCs w:val="21"/>
          <w:highlight w:val="none"/>
          <w:lang w:eastAsia="zh-CN"/>
        </w:rPr>
        <w:t>重大税收违法案件当事人名单</w:t>
      </w:r>
      <w:r>
        <w:rPr>
          <w:rFonts w:hint="eastAsia" w:eastAsia="宋体" w:cs="Times New Roman"/>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lang w:val="en-US" w:eastAsia="zh-CN"/>
        </w:rPr>
        <w:t>7</w:t>
      </w:r>
      <w:r>
        <w:rPr>
          <w:rFonts w:hint="eastAsia" w:ascii="宋体" w:hAnsi="宋体" w:eastAsia="宋体" w:cs="Times New Roman"/>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1" w:firstLineChars="200"/>
        <w:textAlignment w:val="auto"/>
        <w:rPr>
          <w:rFonts w:ascii="宋体" w:hAnsi="宋体" w:eastAsia="宋体" w:cs="Times New Roman"/>
          <w:color w:val="auto"/>
          <w:sz w:val="21"/>
          <w:szCs w:val="21"/>
          <w:highlight w:val="none"/>
        </w:rPr>
      </w:pPr>
      <w:r>
        <w:rPr>
          <w:rFonts w:hint="eastAsia" w:ascii="宋体" w:hAnsi="宋体" w:eastAsia="宋体" w:cs="Times New Roman"/>
          <w:b/>
          <w:color w:val="auto"/>
          <w:sz w:val="21"/>
          <w:szCs w:val="21"/>
          <w:highlight w:val="none"/>
          <w:lang w:val="en-US" w:eastAsia="zh-CN"/>
        </w:rPr>
        <w:t>8</w:t>
      </w:r>
      <w:r>
        <w:rPr>
          <w:rFonts w:hint="eastAsia" w:ascii="宋体" w:hAnsi="宋体" w:eastAsia="宋体" w:cs="Times New Roman"/>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eastAsia="宋体" w:cs="Times New Roman"/>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eastAsia="宋体" w:cs="Times New Roman"/>
          <w:color w:val="auto"/>
          <w:sz w:val="21"/>
          <w:szCs w:val="21"/>
          <w:highlight w:val="none"/>
        </w:rPr>
      </w:pPr>
      <w:r>
        <w:rPr>
          <w:rFonts w:hint="eastAsia" w:eastAsia="宋体" w:cs="Times New Roman"/>
          <w:color w:val="auto"/>
          <w:sz w:val="21"/>
          <w:szCs w:val="21"/>
          <w:highlight w:val="none"/>
        </w:rPr>
        <w:t>投标人：</w:t>
      </w:r>
      <w:r>
        <w:rPr>
          <w:rFonts w:hint="eastAsia" w:eastAsia="宋体" w:cs="Times New Roman"/>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                                              日期：</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年</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月</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日</w:t>
      </w:r>
    </w:p>
    <w:p>
      <w:pPr>
        <w:rPr>
          <w:rFonts w:hint="default" w:eastAsia="宋体" w:cs="Times New Roman"/>
          <w:color w:val="auto"/>
          <w:highlight w:val="none"/>
          <w:lang w:val="en-US" w:eastAsia="zh-CN"/>
        </w:rPr>
      </w:pPr>
    </w:p>
    <w:p>
      <w:pPr>
        <w:widowControl w:val="0"/>
        <w:spacing w:after="120"/>
        <w:jc w:val="both"/>
        <w:rPr>
          <w:rFonts w:hint="default" w:ascii="Calibri" w:hAnsi="Calibri" w:eastAsia="宋体" w:cs="Times New Roman"/>
          <w:color w:val="auto"/>
          <w:kern w:val="2"/>
          <w:sz w:val="21"/>
          <w:szCs w:val="24"/>
          <w:highlight w:val="none"/>
          <w:lang w:val="en-US" w:eastAsia="zh-CN" w:bidi="ar-SA"/>
        </w:rPr>
      </w:pPr>
    </w:p>
    <w:p>
      <w:pPr>
        <w:rPr>
          <w:rFonts w:hint="default" w:eastAsia="宋体" w:cs="Times New Roman"/>
          <w:color w:val="auto"/>
          <w:highlight w:val="none"/>
          <w:lang w:val="en-US" w:eastAsia="zh-CN"/>
        </w:rPr>
      </w:pPr>
    </w:p>
    <w:p>
      <w:pPr>
        <w:rPr>
          <w:rFonts w:hint="default" w:eastAsia="宋体" w:cs="Times New Roman"/>
          <w:color w:val="auto"/>
          <w:highlight w:val="none"/>
          <w:lang w:val="en-US" w:eastAsia="zh-CN"/>
        </w:rPr>
      </w:pPr>
    </w:p>
    <w:p>
      <w:pPr>
        <w:rPr>
          <w:rFonts w:hint="default" w:eastAsia="宋体" w:cs="Times New Roman"/>
          <w:color w:val="auto"/>
          <w:highlight w:val="none"/>
          <w:lang w:val="en-US" w:eastAsia="zh-CN"/>
        </w:rPr>
      </w:pPr>
    </w:p>
    <w:p>
      <w:pPr>
        <w:rPr>
          <w:rFonts w:hint="default" w:eastAsia="宋体" w:cs="Times New Roman"/>
          <w:color w:val="auto"/>
          <w:highlight w:val="none"/>
          <w:lang w:val="en-US" w:eastAsia="zh-CN"/>
        </w:rPr>
      </w:pPr>
    </w:p>
    <w:p>
      <w:pPr>
        <w:widowControl w:val="0"/>
        <w:spacing w:line="560" w:lineRule="exact"/>
        <w:ind w:firstLine="0" w:firstLineChars="0"/>
        <w:jc w:val="left"/>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附件2</w:t>
      </w:r>
    </w:p>
    <w:p>
      <w:pPr>
        <w:widowControl w:val="0"/>
        <w:snapToGrid w:val="0"/>
        <w:spacing w:before="0" w:after="0" w:line="560" w:lineRule="exact"/>
        <w:jc w:val="center"/>
        <w:outlineLvl w:val="0"/>
        <w:rPr>
          <w:rFonts w:ascii="方正小标宋简体" w:hAnsi="方正小标宋简体" w:eastAsia="方正小标宋简体" w:cs="方正小标宋简体"/>
          <w:b w:val="0"/>
          <w:bCs w:val="0"/>
          <w:color w:val="auto"/>
          <w:kern w:val="2"/>
          <w:sz w:val="44"/>
          <w:szCs w:val="44"/>
          <w:highlight w:val="none"/>
          <w:lang w:val="en-US" w:eastAsia="zh-CN" w:bidi="ar-SA"/>
        </w:rPr>
      </w:pPr>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供应商基本情况表</w:t>
      </w:r>
    </w:p>
    <w:p>
      <w:pPr>
        <w:spacing w:line="560" w:lineRule="exact"/>
        <w:jc w:val="left"/>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填表单位：（加盖单位公章）</w:t>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 xml:space="preserve">   填表日期：    年   月   日</w:t>
      </w:r>
    </w:p>
    <w:tbl>
      <w:tblPr>
        <w:tblStyle w:val="15"/>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062"/>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采购人</w:t>
            </w:r>
          </w:p>
        </w:tc>
        <w:tc>
          <w:tcPr>
            <w:tcW w:w="2553" w:type="dxa"/>
            <w:gridSpan w:val="2"/>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991" w:type="dxa"/>
            <w:gridSpan w:val="2"/>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项目名称</w:t>
            </w:r>
          </w:p>
        </w:tc>
        <w:tc>
          <w:tcPr>
            <w:tcW w:w="3645" w:type="dxa"/>
            <w:gridSpan w:val="2"/>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keepNext w:val="0"/>
              <w:keepLines w:val="0"/>
              <w:suppressLineNumbers w:val="0"/>
              <w:snapToGrid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投标（响应）供应商</w:t>
            </w:r>
          </w:p>
        </w:tc>
        <w:tc>
          <w:tcPr>
            <w:tcW w:w="2553" w:type="dxa"/>
            <w:gridSpan w:val="2"/>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991" w:type="dxa"/>
            <w:gridSpan w:val="2"/>
            <w:noWrap w:val="0"/>
            <w:vAlign w:val="center"/>
          </w:tcPr>
          <w:p>
            <w:pPr>
              <w:keepNext w:val="0"/>
              <w:keepLines w:val="0"/>
              <w:suppressLineNumbers w:val="0"/>
              <w:snapToGrid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供应商统一社会信用代码</w:t>
            </w:r>
          </w:p>
        </w:tc>
        <w:tc>
          <w:tcPr>
            <w:tcW w:w="3645" w:type="dxa"/>
            <w:gridSpan w:val="2"/>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职务</w:t>
            </w:r>
          </w:p>
        </w:tc>
        <w:tc>
          <w:tcPr>
            <w:tcW w:w="1270" w:type="dxa"/>
            <w:tcBorders>
              <w:bottom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姓名</w:t>
            </w:r>
          </w:p>
        </w:tc>
        <w:tc>
          <w:tcPr>
            <w:tcW w:w="1991"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身份证号码</w:t>
            </w:r>
          </w:p>
        </w:tc>
        <w:tc>
          <w:tcPr>
            <w:tcW w:w="1500"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劳动合同</w:t>
            </w:r>
          </w:p>
          <w:p>
            <w:pPr>
              <w:keepNext w:val="0"/>
              <w:keepLines w:val="0"/>
              <w:suppressLineNumbers w:val="0"/>
              <w:snapToGrid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关系单位</w:t>
            </w:r>
          </w:p>
        </w:tc>
        <w:tc>
          <w:tcPr>
            <w:tcW w:w="2145"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缴纳社会</w:t>
            </w:r>
          </w:p>
          <w:p>
            <w:pPr>
              <w:keepNext w:val="0"/>
              <w:keepLines w:val="0"/>
              <w:suppressLineNumbers w:val="0"/>
              <w:snapToGrid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3</w:t>
            </w:r>
          </w:p>
        </w:tc>
        <w:tc>
          <w:tcPr>
            <w:tcW w:w="2345" w:type="dxa"/>
            <w:gridSpan w:val="2"/>
            <w:tcBorders>
              <w:top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项目负责人</w:t>
            </w:r>
          </w:p>
        </w:tc>
        <w:tc>
          <w:tcPr>
            <w:tcW w:w="1270" w:type="dxa"/>
            <w:tcBorders>
              <w:top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991" w:type="dxa"/>
            <w:gridSpan w:val="2"/>
            <w:tcBorders>
              <w:top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500" w:type="dxa"/>
            <w:tcBorders>
              <w:top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2145" w:type="dxa"/>
            <w:tcBorders>
              <w:top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4</w:t>
            </w:r>
          </w:p>
        </w:tc>
        <w:tc>
          <w:tcPr>
            <w:tcW w:w="2345" w:type="dxa"/>
            <w:gridSpan w:val="2"/>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主要技术人员</w:t>
            </w:r>
          </w:p>
        </w:tc>
        <w:tc>
          <w:tcPr>
            <w:tcW w:w="1270" w:type="dxa"/>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991" w:type="dxa"/>
            <w:gridSpan w:val="2"/>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500" w:type="dxa"/>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2145" w:type="dxa"/>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5</w:t>
            </w:r>
          </w:p>
        </w:tc>
        <w:tc>
          <w:tcPr>
            <w:tcW w:w="2345" w:type="dxa"/>
            <w:gridSpan w:val="2"/>
            <w:noWrap w:val="0"/>
            <w:vAlign w:val="center"/>
          </w:tcPr>
          <w:p>
            <w:pPr>
              <w:keepNext w:val="0"/>
              <w:keepLines w:val="0"/>
              <w:widowControl w:val="0"/>
              <w:suppressLineNumbers w:val="0"/>
              <w:snapToGrid w:val="0"/>
              <w:spacing w:before="0" w:beforeAutospacing="0" w:after="0" w:afterAutospacing="0" w:line="240" w:lineRule="auto"/>
              <w:ind w:left="0" w:right="0" w:firstLine="0" w:firstLineChars="0"/>
              <w:jc w:val="left"/>
              <w:rPr>
                <w:rFonts w:hint="default" w:ascii="方正仿宋_GBK" w:hAnsi="方正仿宋_GBK" w:eastAsia="方正仿宋_GBK" w:cs="方正仿宋_GBK"/>
                <w:color w:val="auto"/>
                <w:kern w:val="2"/>
                <w:sz w:val="24"/>
                <w:szCs w:val="20"/>
                <w:highlight w:val="none"/>
                <w:lang w:val="en-US" w:eastAsia="zh-CN" w:bidi="ar-SA"/>
              </w:rPr>
            </w:pPr>
            <w:r>
              <w:rPr>
                <w:rFonts w:hint="eastAsia" w:ascii="方正仿宋_GBK" w:hAnsi="方正仿宋_GBK" w:eastAsia="方正仿宋_GBK" w:cs="方正仿宋_GBK"/>
                <w:color w:val="auto"/>
                <w:kern w:val="2"/>
                <w:sz w:val="24"/>
                <w:szCs w:val="20"/>
                <w:highlight w:val="none"/>
                <w:lang w:val="en-US" w:eastAsia="zh-CN" w:bidi="ar-SA"/>
              </w:rPr>
              <w:t>投标文件编制人员</w:t>
            </w:r>
          </w:p>
        </w:tc>
        <w:tc>
          <w:tcPr>
            <w:tcW w:w="1270" w:type="dxa"/>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991" w:type="dxa"/>
            <w:gridSpan w:val="2"/>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1500" w:type="dxa"/>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2145" w:type="dxa"/>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545" w:type="dxa"/>
            <w:gridSpan w:val="8"/>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b/>
                <w:bCs/>
                <w:color w:val="auto"/>
                <w:sz w:val="24"/>
                <w:highlight w:val="none"/>
              </w:rPr>
            </w:pPr>
            <w:r>
              <w:rPr>
                <w:rFonts w:hint="eastAsia" w:ascii="方正仿宋_GBK" w:hAnsi="方正仿宋_GBK" w:eastAsia="方正仿宋_GBK" w:cs="方正仿宋_GBK"/>
                <w:b/>
                <w:bCs/>
                <w:color w:val="auto"/>
                <w:sz w:val="24"/>
                <w:highlight w:val="none"/>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bottom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关联关系类型</w:t>
            </w:r>
          </w:p>
        </w:tc>
        <w:tc>
          <w:tcPr>
            <w:tcW w:w="2061"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关联主体名称</w:t>
            </w:r>
          </w:p>
        </w:tc>
        <w:tc>
          <w:tcPr>
            <w:tcW w:w="4845" w:type="dxa"/>
            <w:gridSpan w:val="3"/>
            <w:tcBorders>
              <w:bottom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18"/>
                <w:szCs w:val="18"/>
                <w:highlight w:val="no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default"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说明：同一关联关系类型有多个主体的，应分行填写。</w:t>
            </w:r>
          </w:p>
        </w:tc>
      </w:tr>
    </w:tbl>
    <w:p>
      <w:pPr>
        <w:rPr>
          <w:rFonts w:eastAsia="宋体" w:cs="Times New Roman"/>
          <w:color w:val="auto"/>
          <w:highlight w:val="none"/>
        </w:rPr>
      </w:pPr>
    </w:p>
    <w:p>
      <w:pPr>
        <w:rPr>
          <w:rFonts w:hint="default"/>
          <w:color w:val="auto"/>
          <w:highlight w:val="none"/>
          <w:lang w:val="en-US" w:eastAsia="zh-CN"/>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等线">
    <w:altName w:val="华文中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DE7441"/>
    <w:multiLevelType w:val="singleLevel"/>
    <w:tmpl w:val="FEDE744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revisionView w:markup="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376E1AF"/>
    <w:rsid w:val="05DB3E17"/>
    <w:rsid w:val="0C871352"/>
    <w:rsid w:val="16EB8C75"/>
    <w:rsid w:val="17DFF335"/>
    <w:rsid w:val="1BFABADF"/>
    <w:rsid w:val="27FD0971"/>
    <w:rsid w:val="2AF64FFC"/>
    <w:rsid w:val="2D3C5B99"/>
    <w:rsid w:val="377D44CC"/>
    <w:rsid w:val="3BDFFA67"/>
    <w:rsid w:val="3D5FDCFC"/>
    <w:rsid w:val="3E787B9C"/>
    <w:rsid w:val="3F1F3B18"/>
    <w:rsid w:val="3F7D16C5"/>
    <w:rsid w:val="3FFEEABB"/>
    <w:rsid w:val="45333D12"/>
    <w:rsid w:val="47FC39B3"/>
    <w:rsid w:val="4B002686"/>
    <w:rsid w:val="4F6B0D07"/>
    <w:rsid w:val="4F7E2847"/>
    <w:rsid w:val="50342092"/>
    <w:rsid w:val="57F689EF"/>
    <w:rsid w:val="5BFF762B"/>
    <w:rsid w:val="5DD84F45"/>
    <w:rsid w:val="5E5DF425"/>
    <w:rsid w:val="5E9D4119"/>
    <w:rsid w:val="5F2BE56A"/>
    <w:rsid w:val="65D33326"/>
    <w:rsid w:val="65FF0964"/>
    <w:rsid w:val="676328A4"/>
    <w:rsid w:val="6AE7670D"/>
    <w:rsid w:val="6CFDD94D"/>
    <w:rsid w:val="6CFFD566"/>
    <w:rsid w:val="6E5A74D6"/>
    <w:rsid w:val="6FC72380"/>
    <w:rsid w:val="6FE7971F"/>
    <w:rsid w:val="73FB884D"/>
    <w:rsid w:val="74DC8F1C"/>
    <w:rsid w:val="75ADC840"/>
    <w:rsid w:val="75BFFE31"/>
    <w:rsid w:val="773E6F28"/>
    <w:rsid w:val="774B5E45"/>
    <w:rsid w:val="77FABDDE"/>
    <w:rsid w:val="77FB584A"/>
    <w:rsid w:val="79FDE20A"/>
    <w:rsid w:val="7A936912"/>
    <w:rsid w:val="7AFE9A10"/>
    <w:rsid w:val="7BC14C16"/>
    <w:rsid w:val="7BD3E33C"/>
    <w:rsid w:val="7BE272C9"/>
    <w:rsid w:val="7BF7E217"/>
    <w:rsid w:val="7BFF20EB"/>
    <w:rsid w:val="7D710B7F"/>
    <w:rsid w:val="7D9F3A20"/>
    <w:rsid w:val="7DCAB5DF"/>
    <w:rsid w:val="7DD39989"/>
    <w:rsid w:val="7DDF4D06"/>
    <w:rsid w:val="7DFFBBBA"/>
    <w:rsid w:val="7E9F479A"/>
    <w:rsid w:val="7F8E586A"/>
    <w:rsid w:val="7F9A2B43"/>
    <w:rsid w:val="7FBBE55B"/>
    <w:rsid w:val="7FBE2631"/>
    <w:rsid w:val="7FBF6278"/>
    <w:rsid w:val="7FED79C5"/>
    <w:rsid w:val="7FFF805B"/>
    <w:rsid w:val="99EFA7D0"/>
    <w:rsid w:val="9EFFBBA7"/>
    <w:rsid w:val="9FF753B3"/>
    <w:rsid w:val="9FF76098"/>
    <w:rsid w:val="ABEF2FC5"/>
    <w:rsid w:val="ADEB284D"/>
    <w:rsid w:val="AFEE73A2"/>
    <w:rsid w:val="B4DF31B2"/>
    <w:rsid w:val="B93FBD74"/>
    <w:rsid w:val="BA9D20BA"/>
    <w:rsid w:val="BBFF548B"/>
    <w:rsid w:val="BCB78641"/>
    <w:rsid w:val="BFCBFE7C"/>
    <w:rsid w:val="BFF25C14"/>
    <w:rsid w:val="CB3749E5"/>
    <w:rsid w:val="CEAEA899"/>
    <w:rsid w:val="CF5F878D"/>
    <w:rsid w:val="DDEF8107"/>
    <w:rsid w:val="DEB7FE68"/>
    <w:rsid w:val="DEF7E0E6"/>
    <w:rsid w:val="DFF118A8"/>
    <w:rsid w:val="DFFF69F1"/>
    <w:rsid w:val="E376E1AF"/>
    <w:rsid w:val="E77E6E49"/>
    <w:rsid w:val="E7FE2F9D"/>
    <w:rsid w:val="E9E76901"/>
    <w:rsid w:val="ED69D067"/>
    <w:rsid w:val="EFA5A6C1"/>
    <w:rsid w:val="EFEEAA5D"/>
    <w:rsid w:val="EFF64497"/>
    <w:rsid w:val="EFFBB246"/>
    <w:rsid w:val="F2675EBC"/>
    <w:rsid w:val="F3BF7F82"/>
    <w:rsid w:val="F6DE4B24"/>
    <w:rsid w:val="F75FD868"/>
    <w:rsid w:val="F76F6C01"/>
    <w:rsid w:val="F77FD4DE"/>
    <w:rsid w:val="F7DFF8EF"/>
    <w:rsid w:val="F89E7AC1"/>
    <w:rsid w:val="FAAF3F9C"/>
    <w:rsid w:val="FB332442"/>
    <w:rsid w:val="FB4F59BA"/>
    <w:rsid w:val="FDA97D69"/>
    <w:rsid w:val="FDE20CEB"/>
    <w:rsid w:val="FDFF76BE"/>
    <w:rsid w:val="FDFFDEC4"/>
    <w:rsid w:val="FE153CA5"/>
    <w:rsid w:val="FEF75291"/>
    <w:rsid w:val="FEFBBFD8"/>
    <w:rsid w:val="FF574219"/>
    <w:rsid w:val="FF5D0031"/>
    <w:rsid w:val="FF5E188E"/>
    <w:rsid w:val="FF5F33CA"/>
    <w:rsid w:val="FFBFB86A"/>
    <w:rsid w:val="FFEA36A1"/>
    <w:rsid w:val="FFEF2FC6"/>
    <w:rsid w:val="FFFB3524"/>
    <w:rsid w:val="FFFEF2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3"/>
    <w:next w:val="1"/>
    <w:qFormat/>
    <w:uiPriority w:val="9"/>
    <w:pPr>
      <w:spacing w:before="260" w:after="260" w:line="240" w:lineRule="auto"/>
      <w:outlineLvl w:val="2"/>
    </w:pPr>
    <w:rPr>
      <w:rFonts w:ascii="宋体" w:hAnsi="宋体" w:eastAsia="宋体"/>
      <w:szCs w:val="32"/>
    </w:rPr>
  </w:style>
  <w:style w:type="paragraph" w:styleId="3">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6">
    <w:name w:val="Default Paragraph Font"/>
    <w:semiHidden/>
    <w:qFormat/>
    <w:uiPriority w:val="0"/>
  </w:style>
  <w:style w:type="table" w:default="1" w:styleId="1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qFormat/>
    <w:uiPriority w:val="0"/>
    <w:pPr>
      <w:autoSpaceDE w:val="0"/>
      <w:autoSpaceDN w:val="0"/>
      <w:adjustRightInd w:val="0"/>
      <w:jc w:val="left"/>
      <w:textAlignment w:val="baseline"/>
    </w:pPr>
    <w:rPr>
      <w:rFonts w:ascii="宋体"/>
      <w:kern w:val="0"/>
      <w:sz w:val="34"/>
      <w:szCs w:val="20"/>
    </w:rPr>
  </w:style>
  <w:style w:type="paragraph" w:styleId="6">
    <w:name w:val="Body Text"/>
    <w:basedOn w:val="1"/>
    <w:next w:val="7"/>
    <w:qFormat/>
    <w:uiPriority w:val="0"/>
    <w:pPr>
      <w:spacing w:after="120"/>
    </w:pPr>
  </w:style>
  <w:style w:type="paragraph" w:styleId="7">
    <w:name w:val="Title"/>
    <w:basedOn w:val="1"/>
    <w:next w:val="1"/>
    <w:qFormat/>
    <w:uiPriority w:val="10"/>
    <w:pPr>
      <w:spacing w:before="240" w:after="60"/>
      <w:jc w:val="center"/>
      <w:outlineLvl w:val="0"/>
    </w:pPr>
    <w:rPr>
      <w:rFonts w:ascii="等线 Light" w:hAnsi="等线 Light" w:eastAsia="宋体" w:cs="Times New Roman"/>
      <w:b/>
      <w:bCs/>
      <w:sz w:val="32"/>
      <w:szCs w:val="32"/>
    </w:rPr>
  </w:style>
  <w:style w:type="paragraph" w:styleId="8">
    <w:name w:val="Block Text"/>
    <w:basedOn w:val="1"/>
    <w:qFormat/>
    <w:uiPriority w:val="0"/>
    <w:pPr>
      <w:tabs>
        <w:tab w:val="left" w:pos="426"/>
      </w:tabs>
      <w:spacing w:after="120"/>
      <w:ind w:left="1440" w:leftChars="700" w:right="1440" w:rightChars="700"/>
    </w:pPr>
  </w:style>
  <w:style w:type="paragraph" w:styleId="9">
    <w:name w:val="Plain Text"/>
    <w:basedOn w:val="1"/>
    <w:unhideWhenUsed/>
    <w:qFormat/>
    <w:uiPriority w:val="99"/>
    <w:rPr>
      <w:rFonts w:ascii="宋体" w:hAnsi="Calibri" w:cs="Courier New"/>
      <w:szCs w:val="21"/>
    </w:rPr>
  </w:style>
  <w:style w:type="paragraph" w:styleId="10">
    <w:name w:val="footer"/>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Body Text 2"/>
    <w:basedOn w:val="1"/>
    <w:qFormat/>
    <w:uiPriority w:val="0"/>
    <w:pPr>
      <w:spacing w:line="360" w:lineRule="auto"/>
    </w:pPr>
    <w:rPr>
      <w:sz w:val="24"/>
    </w:rPr>
  </w:style>
  <w:style w:type="paragraph" w:styleId="13">
    <w:name w:val="Normal (Web)"/>
    <w:basedOn w:val="1"/>
    <w:qFormat/>
    <w:uiPriority w:val="99"/>
    <w:rPr>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List Paragraph"/>
    <w:basedOn w:val="18"/>
    <w:qFormat/>
    <w:uiPriority w:val="34"/>
    <w:pPr>
      <w:ind w:firstLine="420" w:firstLineChars="200"/>
    </w:pPr>
  </w:style>
  <w:style w:type="paragraph" w:customStyle="1" w:styleId="18">
    <w:name w:val="星耀正文"/>
    <w:basedOn w:val="1"/>
    <w:qFormat/>
    <w:uiPriority w:val="3"/>
    <w:pPr>
      <w:ind w:firstLine="422" w:firstLineChars="200"/>
    </w:pPr>
    <w:rPr>
      <w:rFonts w:ascii="宋体" w:hAnsi="宋体" w:eastAsia="仿宋_GB2312"/>
      <w:bCs/>
    </w:rPr>
  </w:style>
  <w:style w:type="paragraph" w:customStyle="1" w:styleId="19">
    <w:name w:val="USE 1"/>
    <w:basedOn w:val="1"/>
    <w:qFormat/>
    <w:uiPriority w:val="0"/>
    <w:pPr>
      <w:spacing w:line="200" w:lineRule="atLeast"/>
      <w:jc w:val="left"/>
    </w:pPr>
    <w:rPr>
      <w:rFonts w:ascii="宋体" w:hAnsi="宋体"/>
      <w:b/>
      <w:sz w:val="24"/>
      <w:szCs w:val="28"/>
    </w:rPr>
  </w:style>
  <w:style w:type="paragraph" w:customStyle="1" w:styleId="20">
    <w:name w:val="l正文"/>
    <w:basedOn w:val="1"/>
    <w:qFormat/>
    <w:uiPriority w:val="0"/>
    <w:pPr>
      <w:spacing w:line="300" w:lineRule="auto"/>
      <w:ind w:firstLine="200" w:firstLineChars="200"/>
      <w:jc w:val="left"/>
    </w:pPr>
    <w:rPr>
      <w:rFonts w:ascii="楷体_GB2312" w:hAnsi="Times" w:eastAsia="楷体_GB2312" w:cs="等线"/>
      <w:sz w:val="24"/>
    </w:rPr>
  </w:style>
  <w:style w:type="paragraph" w:customStyle="1" w:styleId="21">
    <w:name w:val="_Style 3"/>
    <w:basedOn w:val="1"/>
    <w:next w:val="1"/>
    <w:qFormat/>
    <w:uiPriority w:val="99"/>
    <w:pPr>
      <w:spacing w:line="360" w:lineRule="auto"/>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5043</Words>
  <Characters>5253</Characters>
  <Lines>1</Lines>
  <Paragraphs>1</Paragraphs>
  <TotalTime>85</TotalTime>
  <ScaleCrop>false</ScaleCrop>
  <LinksUpToDate>false</LinksUpToDate>
  <CharactersWithSpaces>5375</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2025-05-02T09:16:00Z</dcterms:created>
  <dc:creator>yang</dc:creator>
  <cp:lastModifiedBy>lxy</cp:lastModifiedBy>
  <cp:lastPrinted>2026-09-23T23:30:00Z</cp:lastPrinted>
  <dcterms:modified xsi:type="dcterms:W3CDTF">2026-10-09T17:08:35Z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D8BCB32AB136A44BBD8FC86A15795B54</vt:lpwstr>
  </property>
  <property fmtid="{D5CDD505-2E9C-101B-9397-08002B2CF9AE}" pid="4" name="KSOTemplateDocerSaveRecord">
    <vt:lpwstr>eyJoZGlkIjoiZTdjMTk5ZDAwOTQ0NGQ1OGUzNjJmMjdkOWU0NGYyNjAiLCJ1c2VySWQiOiI1Mjk4Nzc2NTkifQ==</vt:lpwstr>
  </property>
</Properties>
</file>