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龙华区第八届诗词大会</w:t>
      </w:r>
    </w:p>
    <w:p>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项目需求书</w:t>
      </w:r>
    </w:p>
    <w:p>
      <w:pPr>
        <w:pStyle w:val="8"/>
        <w:spacing w:line="560" w:lineRule="exact"/>
        <w:jc w:val="both"/>
        <w:rPr>
          <w:rFonts w:ascii="方正小标宋简体" w:hAnsi="方正小标宋简体" w:eastAsia="方正小标宋简体" w:cs="方正小标宋简体"/>
          <w:color w:val="auto"/>
          <w:spacing w:val="17"/>
          <w:sz w:val="44"/>
          <w:szCs w:val="44"/>
          <w:highlight w:val="none"/>
        </w:rPr>
      </w:pPr>
    </w:p>
    <w:p>
      <w:pPr>
        <w:numPr>
          <w:ilvl w:val="0"/>
          <w:numId w:val="1"/>
        </w:num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项目目标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为持续擦亮“书香龙华、诗意新城”城市文化名片，迭代升级本土文化IP影响力，深化全民阅读建设成效，</w:t>
      </w:r>
      <w:r>
        <w:rPr>
          <w:rFonts w:hint="eastAsia" w:ascii="仿宋_GB2312" w:hAnsi="仿宋_GB2312" w:eastAsia="仿宋_GB2312" w:cs="仿宋_GB2312"/>
          <w:sz w:val="32"/>
          <w:szCs w:val="32"/>
          <w:lang w:val="en-US" w:eastAsia="zh-CN"/>
        </w:rPr>
        <w:t>拟于11月开展</w:t>
      </w:r>
      <w:r>
        <w:rPr>
          <w:rFonts w:hint="eastAsia" w:ascii="仿宋_GB2312" w:hAnsi="仿宋_GB2312" w:eastAsia="仿宋_GB2312" w:cs="仿宋_GB2312"/>
          <w:sz w:val="32"/>
          <w:szCs w:val="32"/>
        </w:rPr>
        <w:t>龙华区第八届诗词大会。</w:t>
      </w:r>
      <w:r>
        <w:rPr>
          <w:rFonts w:hint="eastAsia" w:ascii="仿宋_GB2312" w:hAnsi="仿宋_GB2312" w:eastAsia="仿宋_GB2312" w:cs="仿宋_GB2312"/>
          <w:sz w:val="32"/>
          <w:szCs w:val="32"/>
          <w:lang w:val="en-US" w:eastAsia="zh-CN"/>
        </w:rPr>
        <w:t>本届诗词大会</w:t>
      </w:r>
      <w:r>
        <w:rPr>
          <w:rFonts w:hint="eastAsia" w:ascii="仿宋_GB2312" w:hAnsi="仿宋_GB2312" w:eastAsia="仿宋_GB2312" w:cs="仿宋_GB2312"/>
          <w:sz w:val="32"/>
          <w:szCs w:val="32"/>
        </w:rPr>
        <w:t>以中华经典诗词为核心载体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依托龙华图书馆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核心文化地标，创新打造故事化、场景化、年轻化的沉浸式诗词盛会，持续推动中华优秀传统文化创造性转化、创新性发展，厚植龙华城市书香文脉与文化底蕴。</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服务时间</w:t>
      </w:r>
    </w:p>
    <w:p>
      <w:pPr>
        <w:pStyle w:val="7"/>
        <w:spacing w:after="0" w:line="560" w:lineRule="exact"/>
        <w:ind w:left="0" w:leftChars="0" w:right="0" w:rightChars="0" w:firstLine="640" w:firstLineChars="200"/>
        <w:jc w:val="left"/>
        <w:rPr>
          <w:rFonts w:hint="eastAsia" w:ascii="仿宋_GB2312" w:hAnsi="仿宋_GB2312" w:eastAsia="仿宋_GB2312" w:cs="仿宋_GB2312"/>
          <w:color w:val="auto"/>
          <w:sz w:val="32"/>
          <w:szCs w:val="36"/>
          <w:highlight w:val="none"/>
          <w:lang w:eastAsia="zh-CN"/>
        </w:rPr>
      </w:pPr>
      <w:r>
        <w:rPr>
          <w:rFonts w:hint="eastAsia" w:ascii="仿宋_GB2312" w:hAnsi="仿宋" w:eastAsia="仿宋_GB2312" w:cs="仿宋"/>
          <w:kern w:val="0"/>
          <w:sz w:val="32"/>
          <w:szCs w:val="32"/>
          <w:highlight w:val="none"/>
          <w:shd w:val="clear" w:color="auto" w:fill="FFFFFF"/>
          <w:lang w:val="en-US" w:eastAsia="zh-CN"/>
        </w:rPr>
        <w:t>2026年11</w:t>
      </w:r>
      <w:r>
        <w:rPr>
          <w:rFonts w:hint="eastAsia" w:ascii="仿宋_GB2312" w:hAnsi="仿宋" w:eastAsia="仿宋_GB2312" w:cs="仿宋"/>
          <w:kern w:val="0"/>
          <w:sz w:val="32"/>
          <w:szCs w:val="32"/>
          <w:highlight w:val="none"/>
          <w:shd w:val="clear" w:color="auto" w:fill="FFFFFF"/>
        </w:rPr>
        <w:t>月</w:t>
      </w:r>
      <w:r>
        <w:rPr>
          <w:rFonts w:hint="eastAsia" w:ascii="仿宋_GB2312" w:hAnsi="仿宋" w:eastAsia="仿宋_GB2312" w:cs="仿宋"/>
          <w:kern w:val="0"/>
          <w:sz w:val="32"/>
          <w:szCs w:val="32"/>
          <w:highlight w:val="none"/>
          <w:shd w:val="clear" w:color="auto" w:fill="FFFFFF"/>
          <w:lang w:eastAsia="zh-CN"/>
        </w:rPr>
        <w:t>（</w:t>
      </w:r>
      <w:r>
        <w:rPr>
          <w:rFonts w:hint="eastAsia" w:ascii="仿宋_GB2312" w:hAnsi="仿宋" w:eastAsia="仿宋_GB2312" w:cs="仿宋"/>
          <w:kern w:val="0"/>
          <w:sz w:val="32"/>
          <w:szCs w:val="32"/>
          <w:highlight w:val="none"/>
          <w:shd w:val="clear" w:color="auto" w:fill="FFFFFF"/>
          <w:lang w:val="en-US" w:eastAsia="zh-CN"/>
        </w:rPr>
        <w:t>按实际执行情况为准</w:t>
      </w:r>
      <w:r>
        <w:rPr>
          <w:rFonts w:hint="eastAsia" w:ascii="仿宋_GB2312" w:hAnsi="仿宋" w:eastAsia="仿宋_GB2312" w:cs="仿宋"/>
          <w:kern w:val="0"/>
          <w:sz w:val="32"/>
          <w:szCs w:val="32"/>
          <w:highlight w:val="none"/>
          <w:shd w:val="clear" w:color="auto" w:fill="FFFFFF"/>
          <w:lang w:eastAsia="zh-CN"/>
        </w:rPr>
        <w:t>）</w:t>
      </w:r>
    </w:p>
    <w:p>
      <w:pPr>
        <w:tabs>
          <w:tab w:val="left" w:pos="1820"/>
        </w:tabs>
        <w:snapToGrid w:val="0"/>
        <w:spacing w:line="560" w:lineRule="exact"/>
        <w:ind w:firstLine="640" w:firstLineChars="200"/>
        <w:jc w:val="both"/>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w:t>
      </w:r>
      <w:bookmarkStart w:id="0" w:name="OLE_LINK2"/>
      <w:r>
        <w:rPr>
          <w:rFonts w:hint="eastAsia" w:ascii="黑体" w:hAnsi="黑体" w:eastAsia="黑体" w:cs="黑体"/>
          <w:bCs/>
          <w:color w:val="auto"/>
          <w:sz w:val="32"/>
          <w:szCs w:val="32"/>
          <w:highlight w:val="none"/>
        </w:rPr>
        <w:t>项目内容及要求</w:t>
      </w:r>
      <w:bookmarkEnd w:id="0"/>
    </w:p>
    <w:p>
      <w:p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 w:eastAsia="仿宋_GB2312" w:cs="仿宋"/>
          <w:color w:val="auto"/>
          <w:sz w:val="32"/>
          <w:szCs w:val="32"/>
          <w:highlight w:val="none"/>
        </w:rPr>
        <w:t>（一）</w:t>
      </w:r>
      <w:r>
        <w:rPr>
          <w:rFonts w:hint="eastAsia" w:ascii="楷体_GB2312" w:hAnsi="楷体_GB2312" w:eastAsia="楷体_GB2312" w:cs="楷体_GB2312"/>
          <w:color w:val="auto"/>
          <w:sz w:val="32"/>
          <w:szCs w:val="32"/>
          <w:highlight w:val="none"/>
        </w:rPr>
        <w:t>项目内容</w:t>
      </w:r>
    </w:p>
    <w:p>
      <w:pPr>
        <w:spacing w:line="560" w:lineRule="exact"/>
        <w:ind w:firstLine="640" w:firstLineChars="200"/>
        <w:jc w:val="left"/>
        <w:rPr>
          <w:rFonts w:hint="eastAsia" w:ascii="楷体_GB2312" w:hAnsi="楷体_GB2312" w:eastAsia="楷体_GB2312" w:cs="楷体_GB2312"/>
          <w:color w:val="auto"/>
          <w:sz w:val="32"/>
          <w:szCs w:val="32"/>
          <w:highlight w:val="none"/>
        </w:rPr>
      </w:pPr>
      <w:r>
        <w:rPr>
          <w:rFonts w:hint="eastAsia" w:ascii="仿宋_GB2312" w:hAnsi="仿宋_GB2312" w:eastAsia="仿宋_GB2312" w:cs="仿宋_GB2312"/>
          <w:sz w:val="32"/>
          <w:szCs w:val="32"/>
          <w:highlight w:val="none"/>
          <w:lang w:val="en-US" w:eastAsia="zh-CN"/>
        </w:rPr>
        <w:t>龙华区第八届诗词大会计划设置线上互动</w:t>
      </w:r>
      <w:r>
        <w:rPr>
          <w:rFonts w:hint="default" w:ascii="仿宋_GB2312" w:hAnsi="仿宋_GB2312" w:eastAsia="仿宋_GB2312" w:cs="仿宋_GB2312"/>
          <w:sz w:val="32"/>
          <w:szCs w:val="32"/>
          <w:highlight w:val="none"/>
          <w:lang w:val="en"/>
        </w:rPr>
        <w:t>报名、初赛、</w:t>
      </w:r>
      <w:r>
        <w:rPr>
          <w:rFonts w:hint="eastAsia" w:ascii="仿宋_GB2312" w:hAnsi="仿宋_GB2312" w:eastAsia="仿宋_GB2312" w:cs="仿宋_GB2312"/>
          <w:sz w:val="32"/>
          <w:szCs w:val="32"/>
          <w:highlight w:val="none"/>
          <w:lang w:val="en-US" w:eastAsia="zh-CN"/>
        </w:rPr>
        <w:t>复赛、</w:t>
      </w:r>
      <w:r>
        <w:rPr>
          <w:rFonts w:hint="default" w:ascii="仿宋_GB2312" w:hAnsi="仿宋_GB2312" w:eastAsia="仿宋_GB2312" w:cs="仿宋_GB2312"/>
          <w:sz w:val="32"/>
          <w:szCs w:val="32"/>
          <w:highlight w:val="none"/>
          <w:lang w:val="en"/>
        </w:rPr>
        <w:t>总决赛</w:t>
      </w:r>
      <w:r>
        <w:rPr>
          <w:rFonts w:hint="eastAsia" w:ascii="仿宋_GB2312" w:hAnsi="仿宋_GB2312" w:eastAsia="仿宋_GB2312" w:cs="仿宋_GB2312"/>
          <w:sz w:val="32"/>
          <w:szCs w:val="32"/>
          <w:highlight w:val="none"/>
          <w:lang w:val="en-US" w:eastAsia="zh-CN"/>
        </w:rPr>
        <w:t>及游园会五</w:t>
      </w:r>
      <w:r>
        <w:rPr>
          <w:rFonts w:hint="default" w:ascii="仿宋_GB2312" w:hAnsi="仿宋_GB2312" w:eastAsia="仿宋_GB2312" w:cs="仿宋_GB2312"/>
          <w:sz w:val="32"/>
          <w:szCs w:val="32"/>
          <w:highlight w:val="none"/>
          <w:lang w:val="en"/>
        </w:rPr>
        <w:t>个部分</w:t>
      </w:r>
      <w:r>
        <w:rPr>
          <w:rFonts w:hint="eastAsia" w:ascii="仿宋_GB2312" w:hAnsi="仿宋_GB2312" w:eastAsia="仿宋_GB2312" w:cs="仿宋_GB2312"/>
          <w:sz w:val="32"/>
          <w:szCs w:val="32"/>
          <w:highlight w:val="none"/>
          <w:lang w:val="en" w:eastAsia="zh-CN"/>
        </w:rPr>
        <w:t>。</w:t>
      </w:r>
      <w:r>
        <w:rPr>
          <w:rFonts w:hint="eastAsia" w:ascii="仿宋_GB2312" w:hAnsi="仿宋_GB2312" w:eastAsia="仿宋_GB2312" w:cs="仿宋_GB2312"/>
          <w:color w:val="000000"/>
          <w:sz w:val="32"/>
          <w:szCs w:val="32"/>
          <w:highlight w:val="none"/>
          <w:lang w:val="en-US" w:eastAsia="zh-CN"/>
        </w:rPr>
        <w:t>具体服务内容包括题库开发、活动物料设计制作、</w:t>
      </w:r>
      <w:r>
        <w:rPr>
          <w:rFonts w:hint="eastAsia" w:ascii="仿宋_GB2312" w:hAnsi="仿宋_GB2312" w:eastAsia="仿宋_GB2312" w:cs="仿宋_GB2312"/>
          <w:color w:val="000000"/>
          <w:kern w:val="0"/>
          <w:sz w:val="32"/>
          <w:szCs w:val="32"/>
          <w:highlight w:val="none"/>
          <w:lang w:val="en-US" w:eastAsia="zh-CN"/>
        </w:rPr>
        <w:t>设备租赁、人员安排、赛事及游园会的策划与组织</w:t>
      </w:r>
      <w:r>
        <w:rPr>
          <w:rFonts w:hint="eastAsia" w:ascii="仿宋_GB2312" w:hAnsi="仿宋_GB2312" w:eastAsia="仿宋_GB2312" w:cs="仿宋_GB2312"/>
          <w:color w:val="000000"/>
          <w:sz w:val="32"/>
          <w:szCs w:val="32"/>
          <w:highlight w:val="none"/>
          <w:lang w:val="en-US" w:eastAsia="zh-CN"/>
        </w:rPr>
        <w:t>等。</w:t>
      </w:r>
    </w:p>
    <w:p>
      <w:pPr>
        <w:numPr>
          <w:ilvl w:val="0"/>
          <w:numId w:val="2"/>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具体要求</w:t>
      </w:r>
    </w:p>
    <w:p>
      <w:pPr>
        <w:numPr>
          <w:ilvl w:val="-1"/>
          <w:numId w:val="0"/>
        </w:numPr>
        <w:spacing w:line="560" w:lineRule="exact"/>
        <w:ind w:left="0"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负责题库开发，赛制所需的诗词理论梳理、试题命制、题型与内容设计、考点归类及解析撰写；剔除旧主题、旧题型，拓展题库深度与广度，提升题目创新性与区分度。决赛创新题型研发，包括音乐题等创意类考题的设计与制作；</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2.负责照片直播及视频剪辑，全赛段摄影摄像跟进拍摄，含各赛程的照片直播、特色系列宣传片（4条）的拍摄剪辑、宣传片内容策划、脚本撰写、剧情设计等；</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3.负责演员妆造费用，贴合本次宣传主线，定制服装、妆造；</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4.负责视频直播，决赛不少于双机位直播、控台等；</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5.负责全赛程现场物料制作，包含主kv、装饰物料、指引标识、展架、座位贴、手卡、参赛证书等；</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6.负责整个项目的活动策划；</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7.负责整个项目的平面设计，包含活动海报及物料设计；</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8.负责整个项目的设备运输；</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9.负责比赛规则视频制作，根据本届赛制用动画特效制作合适的比赛规则视频；</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10.负责整个项目的安全保障，包含安保人员配置及活动保险；</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11.负责整个项目的后勤保障工作，含餐饮补给；</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12.负责线上互动H5制作及维护；</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13.负责初赛、复赛环节所需设备的租赁（音响及麦）；</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14.负责初赛、复赛环节人员安排，含评委邀请及主持人；</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15.负责决赛环节所需设备租赁，含音响、控台、手持麦、耳麦、计时系统、抢答系统等；</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16.负责决赛舞美布置及清理；</w:t>
      </w:r>
    </w:p>
    <w:p>
      <w:pPr>
        <w:spacing w:line="560" w:lineRule="exact"/>
        <w:ind w:firstLine="640" w:firstLineChars="200"/>
        <w:jc w:val="left"/>
        <w:rPr>
          <w:rFonts w:hint="eastAsia"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17.负责决赛人员安排，含主持人及化妆师；</w:t>
      </w:r>
    </w:p>
    <w:p>
      <w:pPr>
        <w:spacing w:line="560" w:lineRule="exact"/>
        <w:ind w:firstLine="640" w:firstLineChars="200"/>
        <w:jc w:val="left"/>
        <w:rPr>
          <w:rFonts w:hint="default" w:ascii="仿宋_GB2312" w:hAnsi="仿宋" w:eastAsia="仿宋_GB2312" w:cs="仿宋"/>
          <w:kern w:val="0"/>
          <w:sz w:val="32"/>
          <w:szCs w:val="32"/>
          <w:highlight w:val="none"/>
          <w:shd w:val="clear" w:color="auto" w:fill="FFFFFF"/>
          <w:lang w:val="en-US" w:eastAsia="zh-CN"/>
        </w:rPr>
      </w:pPr>
      <w:r>
        <w:rPr>
          <w:rFonts w:hint="eastAsia" w:ascii="仿宋_GB2312" w:hAnsi="仿宋" w:eastAsia="仿宋_GB2312" w:cs="仿宋"/>
          <w:kern w:val="0"/>
          <w:sz w:val="32"/>
          <w:szCs w:val="32"/>
          <w:highlight w:val="none"/>
          <w:shd w:val="clear" w:color="auto" w:fill="FFFFFF"/>
          <w:lang w:val="en-US" w:eastAsia="zh-CN"/>
        </w:rPr>
        <w:t>18.负责诗词游园会市集的搭建，包含市集摊位设计、搭建、撤场、氛围布置、游园互动体验区布置；</w:t>
      </w:r>
    </w:p>
    <w:p>
      <w:pPr>
        <w:spacing w:after="0" w:line="560" w:lineRule="exact"/>
        <w:ind w:left="0" w:leftChars="0" w:right="0" w:rightChars="0" w:firstLine="640" w:firstLineChars="200"/>
        <w:jc w:val="left"/>
        <w:rPr>
          <w:rFonts w:hint="eastAsia" w:ascii="仿宋_GB2312" w:hAnsi="仿宋" w:eastAsia="仿宋_GB2312" w:cs="仿宋"/>
          <w:kern w:val="0"/>
          <w:sz w:val="32"/>
          <w:szCs w:val="32"/>
          <w:highlight w:val="none"/>
          <w:shd w:val="clear" w:color="auto" w:fill="FFFFFF"/>
        </w:rPr>
      </w:pPr>
      <w:r>
        <w:rPr>
          <w:rFonts w:hint="eastAsia" w:ascii="仿宋_GB2312" w:hAnsi="仿宋" w:eastAsia="仿宋_GB2312" w:cs="仿宋"/>
          <w:kern w:val="0"/>
          <w:sz w:val="32"/>
          <w:szCs w:val="32"/>
          <w:highlight w:val="none"/>
          <w:shd w:val="clear" w:color="auto" w:fill="FFFFFF"/>
        </w:rPr>
        <w:t>1</w:t>
      </w:r>
      <w:r>
        <w:rPr>
          <w:rFonts w:hint="eastAsia" w:ascii="仿宋_GB2312" w:hAnsi="仿宋" w:eastAsia="仿宋_GB2312" w:cs="仿宋"/>
          <w:kern w:val="0"/>
          <w:sz w:val="32"/>
          <w:szCs w:val="32"/>
          <w:highlight w:val="none"/>
          <w:shd w:val="clear" w:color="auto" w:fill="FFFFFF"/>
          <w:lang w:val="en-US" w:eastAsia="zh-CN"/>
        </w:rPr>
        <w:t>9</w:t>
      </w:r>
      <w:r>
        <w:rPr>
          <w:rFonts w:hint="eastAsia" w:ascii="仿宋_GB2312" w:hAnsi="仿宋" w:eastAsia="仿宋_GB2312" w:cs="仿宋"/>
          <w:kern w:val="0"/>
          <w:sz w:val="32"/>
          <w:szCs w:val="32"/>
          <w:highlight w:val="none"/>
          <w:shd w:val="clear" w:color="auto" w:fill="FFFFFF"/>
        </w:rPr>
        <w:t>.完成主办方要求的其他相关工作</w:t>
      </w:r>
      <w:r>
        <w:rPr>
          <w:rFonts w:hint="eastAsia" w:ascii="仿宋_GB2312" w:hAnsi="仿宋" w:eastAsia="仿宋_GB2312" w:cs="仿宋"/>
          <w:kern w:val="0"/>
          <w:sz w:val="32"/>
          <w:szCs w:val="32"/>
          <w:highlight w:val="none"/>
          <w:shd w:val="clear" w:color="auto" w:fill="FFFFFF"/>
          <w:lang w:eastAsia="zh-CN"/>
        </w:rPr>
        <w:t>。</w:t>
      </w:r>
    </w:p>
    <w:p>
      <w:pPr>
        <w:numPr>
          <w:ilvl w:val="0"/>
          <w:numId w:val="2"/>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其他内容：</w:t>
      </w:r>
    </w:p>
    <w:p>
      <w:pPr>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jc w:val="left"/>
        <w:textAlignment w:val="auto"/>
        <w:rPr>
          <w:rFonts w:hint="eastAsia" w:ascii="仿宋_GB2312" w:hAnsi="仿宋" w:eastAsia="仿宋_GB2312" w:cs="仿宋"/>
          <w:kern w:val="0"/>
          <w:sz w:val="32"/>
          <w:szCs w:val="32"/>
          <w:highlight w:val="none"/>
          <w:shd w:val="clear" w:color="auto" w:fill="FFFFFF"/>
        </w:rPr>
      </w:pPr>
      <w:r>
        <w:rPr>
          <w:rFonts w:hint="eastAsia" w:ascii="仿宋_GB2312" w:hAnsi="仿宋" w:eastAsia="仿宋_GB2312" w:cs="仿宋"/>
          <w:kern w:val="0"/>
          <w:sz w:val="32"/>
          <w:szCs w:val="32"/>
          <w:highlight w:val="none"/>
          <w:shd w:val="clear" w:color="auto" w:fill="FFFFFF"/>
          <w:lang w:val="en-US" w:eastAsia="zh-CN"/>
        </w:rPr>
        <w:t>1.</w:t>
      </w:r>
      <w:r>
        <w:rPr>
          <w:rFonts w:hint="eastAsia" w:ascii="仿宋_GB2312" w:hAnsi="仿宋" w:eastAsia="仿宋_GB2312" w:cs="仿宋"/>
          <w:kern w:val="0"/>
          <w:sz w:val="32"/>
          <w:szCs w:val="32"/>
          <w:highlight w:val="none"/>
          <w:shd w:val="clear" w:color="auto" w:fill="FFFFFF"/>
        </w:rPr>
        <w:t>由于供应商原因造成活动物料</w:t>
      </w:r>
      <w:r>
        <w:rPr>
          <w:rFonts w:hint="eastAsia" w:ascii="仿宋_GB2312" w:hAnsi="仿宋" w:eastAsia="仿宋_GB2312" w:cs="仿宋"/>
          <w:kern w:val="0"/>
          <w:sz w:val="32"/>
          <w:szCs w:val="32"/>
          <w:highlight w:val="none"/>
          <w:shd w:val="clear" w:color="auto" w:fill="FFFFFF"/>
          <w:lang w:val="en-US" w:eastAsia="zh-CN"/>
        </w:rPr>
        <w:t>质量</w:t>
      </w:r>
      <w:r>
        <w:rPr>
          <w:rFonts w:hint="eastAsia" w:ascii="仿宋_GB2312" w:hAnsi="仿宋" w:eastAsia="仿宋_GB2312" w:cs="仿宋"/>
          <w:kern w:val="0"/>
          <w:sz w:val="32"/>
          <w:szCs w:val="32"/>
          <w:highlight w:val="none"/>
          <w:shd w:val="clear" w:color="auto" w:fill="FFFFFF"/>
        </w:rPr>
        <w:t>低劣，不能满足甲方要求时，供应商应积极配合完善，其费用由供应商承担；</w:t>
      </w:r>
    </w:p>
    <w:p>
      <w:pPr>
        <w:spacing w:line="560" w:lineRule="exact"/>
        <w:ind w:firstLine="640" w:firstLineChars="200"/>
        <w:jc w:val="left"/>
        <w:rPr>
          <w:rFonts w:hint="eastAsia" w:ascii="楷体_GB2312" w:hAnsi="楷体_GB2312" w:eastAsia="楷体_GB2312" w:cs="楷体_GB2312"/>
          <w:color w:val="auto"/>
          <w:sz w:val="32"/>
          <w:szCs w:val="32"/>
          <w:highlight w:val="none"/>
        </w:rPr>
      </w:pPr>
      <w:r>
        <w:rPr>
          <w:rFonts w:hint="eastAsia" w:ascii="仿宋_GB2312" w:hAnsi="仿宋" w:eastAsia="仿宋_GB2312" w:cs="仿宋"/>
          <w:kern w:val="0"/>
          <w:sz w:val="32"/>
          <w:szCs w:val="32"/>
          <w:highlight w:val="none"/>
          <w:shd w:val="clear" w:color="auto" w:fill="FFFFFF"/>
          <w:lang w:val="en-US" w:eastAsia="zh-CN"/>
        </w:rPr>
        <w:t>2</w:t>
      </w:r>
      <w:r>
        <w:rPr>
          <w:rFonts w:hint="eastAsia" w:ascii="仿宋_GB2312" w:hAnsi="仿宋" w:eastAsia="仿宋_GB2312" w:cs="仿宋"/>
          <w:kern w:val="0"/>
          <w:sz w:val="32"/>
          <w:szCs w:val="32"/>
          <w:highlight w:val="none"/>
          <w:shd w:val="clear" w:color="auto" w:fill="FFFFFF"/>
        </w:rPr>
        <w:t>.由于不可抗力因素导致活动延期等，供应商应积极配合。</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四、报价限额</w:t>
      </w:r>
    </w:p>
    <w:p>
      <w:pPr>
        <w:spacing w:line="560" w:lineRule="exact"/>
        <w:ind w:firstLine="960" w:firstLineChars="3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6"/>
          <w:highlight w:val="none"/>
          <w:lang w:val="en-US" w:eastAsia="zh-CN"/>
        </w:rPr>
        <w:t>23</w:t>
      </w:r>
      <w:r>
        <w:rPr>
          <w:rFonts w:hint="eastAsia" w:ascii="仿宋_GB2312" w:hAnsi="仿宋_GB2312" w:eastAsia="仿宋_GB2312" w:cs="仿宋_GB2312"/>
          <w:color w:val="auto"/>
          <w:sz w:val="32"/>
          <w:szCs w:val="36"/>
          <w:highlight w:val="none"/>
          <w:lang w:eastAsia="zh-CN"/>
        </w:rPr>
        <w:t>万元，</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w:t>
      </w:r>
      <w:r>
        <w:rPr>
          <w:rFonts w:hint="eastAsia" w:ascii="仿宋_GB2312" w:hAnsi="仿宋_GB2312" w:eastAsia="仿宋_GB2312" w:cs="仿宋_GB2312"/>
          <w:color w:val="auto"/>
          <w:sz w:val="32"/>
          <w:szCs w:val="32"/>
          <w:highlight w:val="none"/>
        </w:rPr>
        <w:t>保持一致</w:t>
      </w:r>
      <w:r>
        <w:rPr>
          <w:rFonts w:hint="eastAsia" w:ascii="仿宋_GB2312" w:hAnsi="仿宋_GB2312" w:eastAsia="仿宋_GB2312" w:cs="仿宋_GB2312"/>
          <w:color w:val="auto"/>
          <w:sz w:val="32"/>
          <w:szCs w:val="32"/>
          <w:highlight w:val="none"/>
          <w:lang w:eastAsia="zh-CN"/>
        </w:rPr>
        <w:t>：</w:t>
      </w:r>
    </w:p>
    <w:tbl>
      <w:tblPr>
        <w:tblStyle w:val="12"/>
        <w:tblW w:w="88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0"/>
        <w:gridCol w:w="1090"/>
        <w:gridCol w:w="1673"/>
        <w:gridCol w:w="975"/>
        <w:gridCol w:w="855"/>
        <w:gridCol w:w="3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22"/>
                <w:szCs w:val="22"/>
                <w:u w:val="none"/>
                <w:lang w:val="en-US"/>
              </w:rPr>
            </w:pPr>
            <w:r>
              <w:rPr>
                <w:rFonts w:hint="eastAsia" w:ascii="仿宋_GB2312" w:hAnsi="仿宋_GB2312" w:eastAsia="仿宋_GB2312" w:cs="仿宋_GB2312"/>
                <w:b w:val="0"/>
                <w:bCs w:val="0"/>
                <w:kern w:val="2"/>
                <w:sz w:val="32"/>
                <w:szCs w:val="32"/>
                <w:lang w:val="en-US" w:eastAsia="zh-CN" w:bidi="ar-SA"/>
              </w:rPr>
              <w:t>龙华区第八届诗词大会预算表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序号</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项目</w:t>
            </w:r>
          </w:p>
        </w:tc>
        <w:tc>
          <w:tcPr>
            <w:tcW w:w="1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类别</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数量</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单位</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kern w:val="2"/>
                <w:sz w:val="22"/>
                <w:szCs w:val="22"/>
                <w:u w:val="none"/>
                <w:lang w:val="en-US" w:eastAsia="zh-CN" w:bidi="ar-SA"/>
              </w:rPr>
            </w:pPr>
            <w:r>
              <w:rPr>
                <w:rFonts w:hint="eastAsia" w:ascii="黑体" w:hAnsi="宋体" w:eastAsia="黑体" w:cs="黑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总项</w:t>
            </w: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题库开发费</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负责赛制所需的诗词理论梳理、试题命制、题型与内容设计、考点归类及解析撰写；剔除旧主题、旧题型，拓展题库深度与广度，提升题目创新性与区分度；负责决赛创新题型研发，包括音乐题等创意类考题的设计与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照片直播及视频剪辑</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全赛段摄影摄像跟进拍摄：含各赛程的照片直播、特色系列宣传片（4条）的拍摄剪辑、宣传片内容策划、脚本撰写、剧情设计等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演员妆造费用</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贴合本次宣传主线，定制服装、妆造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视频直播</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决赛不少于双机位直播、外接视频直播平台、控台等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全赛程现场物料</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活动物料制作，如主kv、装饰物料、指引标识、展架、座位贴、手卡、参赛证书等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活动策划</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本届诗词大会全方位策划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平面设计</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包含活动海报及物料设计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活动设备运输</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赛事期间（海选、复赛以及决赛）设备、物料等的来回运输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比赛规则视频制作</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根据本届赛制用动画特效制作合适的比赛规则视频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安全保障</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负责活动的安全保障，安保人员配置及活动保险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后勤保障</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整个活动期间工作人员误餐、用水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线上互动</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线上互动H5</w:t>
            </w:r>
          </w:p>
        </w:tc>
        <w:tc>
          <w:tcPr>
            <w:tcW w:w="97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线上互动环节H5程序的开发与实现，具体包括云端题库系统搭建、前端页面设计与实现、互动模块集成，以及每日后台维护、数据更新、汇总和上报等工作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初赛</w:t>
            </w: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初赛音响设备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（租赁）</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含移动音响、手持麦等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初赛评委导师</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导师人数不少于6人，每场活动不少于6课时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初赛主持人劳务</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活动主持人（6课时）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复赛</w:t>
            </w: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复赛音响设备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（租赁）</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含移动音响、手持麦等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复赛评委导师</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导师人数不少于6人，每场活动不少于4课时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复赛主持人劳务</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活动主持人（4课时）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09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19</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w:t>
            </w:r>
          </w:p>
        </w:tc>
        <w:tc>
          <w:tcPr>
            <w:tcW w:w="167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（租赁）</w:t>
            </w:r>
          </w:p>
        </w:tc>
        <w:tc>
          <w:tcPr>
            <w:tcW w:w="97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含音响及控制台、手持麦、耳麦、计时系统、抢答系统等活动所需设备租赁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20</w:t>
            </w:r>
          </w:p>
        </w:tc>
        <w:tc>
          <w:tcPr>
            <w:tcW w:w="1090"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决赛舞美布置及清理</w:t>
            </w:r>
          </w:p>
        </w:tc>
        <w:tc>
          <w:tcPr>
            <w:tcW w:w="975"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3210" w:type="dxa"/>
            <w:tcBorders>
              <w:top w:val="nil"/>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舞台舞美布置及复原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90"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w:t>
            </w:r>
          </w:p>
        </w:tc>
        <w:tc>
          <w:tcPr>
            <w:tcW w:w="1090"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决赛主持人劳务</w:t>
            </w:r>
          </w:p>
        </w:tc>
        <w:tc>
          <w:tcPr>
            <w:tcW w:w="97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3210"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彩排+正式演出共计6课时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90" w:type="dxa"/>
            <w:tcBorders>
              <w:top w:val="single" w:color="auto" w:sz="4" w:space="0"/>
              <w:left w:val="single" w:color="auto"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22</w:t>
            </w:r>
          </w:p>
        </w:tc>
        <w:tc>
          <w:tcPr>
            <w:tcW w:w="1090" w:type="dxa"/>
            <w:vMerge w:val="continue"/>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微软雅黑" w:hAnsi="微软雅黑" w:eastAsia="微软雅黑" w:cs="微软雅黑"/>
                <w:i w:val="0"/>
                <w:iCs w:val="0"/>
                <w:color w:val="000000"/>
                <w:sz w:val="18"/>
                <w:szCs w:val="18"/>
                <w:u w:val="none"/>
              </w:rPr>
            </w:pPr>
          </w:p>
        </w:tc>
        <w:tc>
          <w:tcPr>
            <w:tcW w:w="167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决赛化妆劳务</w:t>
            </w:r>
          </w:p>
        </w:tc>
        <w:tc>
          <w:tcPr>
            <w:tcW w:w="97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3210"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化妆师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1090"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23</w:t>
            </w:r>
          </w:p>
        </w:tc>
        <w:tc>
          <w:tcPr>
            <w:tcW w:w="1090"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游园会</w:t>
            </w:r>
          </w:p>
        </w:tc>
        <w:tc>
          <w:tcPr>
            <w:tcW w:w="1673"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游园会（互动体验市集）</w:t>
            </w:r>
          </w:p>
        </w:tc>
        <w:tc>
          <w:tcPr>
            <w:tcW w:w="97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855"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3210"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诗词游园会市集：含市集摊位设计、搭建、撤场、氛围布置、游园互动体验区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93"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sz w:val="32"/>
                <w:szCs w:val="32"/>
                <w:vertAlign w:val="baseline"/>
                <w:lang w:eastAsia="zh-CN"/>
              </w:rPr>
              <w:t>投标价格（万元）：</w:t>
            </w:r>
            <w:r>
              <w:rPr>
                <w:rFonts w:hint="eastAsia" w:ascii="仿宋_GB2312" w:hAnsi="仿宋_GB2312" w:eastAsia="仿宋_GB2312" w:cs="仿宋_GB2312"/>
                <w:sz w:val="32"/>
                <w:szCs w:val="32"/>
                <w:vertAlign w:val="baseline"/>
                <w:lang w:val="en-US" w:eastAsia="zh-CN"/>
              </w:rPr>
              <w:t>_____（以万元为单位，最多保留两位小数）</w:t>
            </w:r>
          </w:p>
        </w:tc>
      </w:tr>
    </w:tbl>
    <w:p>
      <w:pPr>
        <w:spacing w:line="56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黑体"/>
          <w:bCs/>
          <w:color w:val="auto"/>
          <w:sz w:val="32"/>
          <w:szCs w:val="32"/>
          <w:highlight w:val="none"/>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yellow"/>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5"/>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5"/>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spacing w:line="560" w:lineRule="exact"/>
        <w:ind w:firstLine="640" w:firstLineChars="200"/>
        <w:jc w:val="both"/>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六、选定供应商方法</w:t>
      </w:r>
    </w:p>
    <w:p>
      <w:pPr>
        <w:spacing w:line="560" w:lineRule="exact"/>
        <w:ind w:firstLine="640" w:firstLineChars="200"/>
        <w:jc w:val="both"/>
        <w:rPr>
          <w:rFonts w:hint="eastAsia" w:ascii="仿宋_GB2312" w:hAnsi="仿宋" w:eastAsia="仿宋_GB2312"/>
          <w:color w:val="auto"/>
          <w:sz w:val="32"/>
          <w:highlight w:val="none"/>
          <w:lang w:val="en-US" w:eastAsia="zh-CN"/>
        </w:rPr>
      </w:pPr>
      <w:r>
        <w:rPr>
          <w:rFonts w:hint="eastAsia" w:ascii="仿宋_GB2312" w:hAnsi="仿宋" w:eastAsia="仿宋_GB2312"/>
          <w:color w:val="auto"/>
          <w:sz w:val="32"/>
          <w:highlight w:val="none"/>
        </w:rPr>
        <w:t>综合评分法</w:t>
      </w:r>
    </w:p>
    <w:p>
      <w:pPr>
        <w:spacing w:line="560" w:lineRule="exact"/>
        <w:ind w:firstLine="640" w:firstLineChars="200"/>
        <w:jc w:val="both"/>
        <w:rPr>
          <w:rFonts w:hint="eastAsia" w:ascii="仿宋_GB2312" w:hAnsi="仿宋_GB2312" w:eastAsia="仿宋_GB2312" w:cs="仿宋_GB2312"/>
          <w:b/>
          <w:bCs/>
          <w:color w:val="auto"/>
          <w:sz w:val="30"/>
          <w:szCs w:val="30"/>
          <w:highlight w:val="yellow"/>
          <w:lang w:eastAsia="zh-CN"/>
        </w:rPr>
      </w:pPr>
      <w:r>
        <w:rPr>
          <w:rFonts w:hint="eastAsia" w:ascii="黑体" w:hAnsi="黑体" w:eastAsia="黑体" w:cs="黑体"/>
          <w:color w:val="auto"/>
          <w:sz w:val="32"/>
          <w:szCs w:val="32"/>
          <w:highlight w:val="none"/>
        </w:rPr>
        <w:t>七、评分要求</w:t>
      </w:r>
      <w:r>
        <w:rPr>
          <w:rFonts w:hint="eastAsia" w:ascii="黑体" w:hAnsi="黑体" w:eastAsia="黑体" w:cs="黑体"/>
          <w:color w:val="auto"/>
          <w:sz w:val="32"/>
          <w:szCs w:val="32"/>
          <w:highlight w:val="none"/>
          <w:lang w:eastAsia="zh-CN"/>
        </w:rPr>
        <w:t>（采取综合评分法适用）</w:t>
      </w:r>
    </w:p>
    <w:p>
      <w:pPr>
        <w:pStyle w:val="17"/>
        <w:spacing w:line="560" w:lineRule="exact"/>
        <w:ind w:firstLine="640" w:firstLineChars="200"/>
        <w:jc w:val="both"/>
        <w:rPr>
          <w:rFonts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（一）评分规则</w:t>
      </w:r>
    </w:p>
    <w:p>
      <w:pPr>
        <w:spacing w:line="560" w:lineRule="exact"/>
        <w:ind w:firstLine="640" w:firstLineChars="200"/>
        <w:jc w:val="both"/>
        <w:rPr>
          <w:rFonts w:ascii="楷体_GB2312" w:hAnsi="楷体_GB2312" w:eastAsia="楷体_GB2312" w:cs="楷体_GB2312"/>
          <w:bCs/>
          <w:color w:val="auto"/>
          <w:sz w:val="32"/>
          <w:szCs w:val="32"/>
          <w:highlight w:val="none"/>
        </w:rPr>
      </w:pPr>
      <w:r>
        <w:rPr>
          <w:rFonts w:hint="eastAsia" w:ascii="仿宋_GB2312" w:eastAsia="仿宋_GB2312"/>
          <w:color w:val="auto"/>
          <w:sz w:val="32"/>
          <w:szCs w:val="32"/>
          <w:highlight w:val="none"/>
        </w:rPr>
        <w:t>采取综合评分标准，平均分最高的投标人为本项目中标人。</w:t>
      </w:r>
    </w:p>
    <w:p>
      <w:pPr>
        <w:pStyle w:val="17"/>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2"/>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b w:val="0"/>
                <w:bCs/>
                <w:color w:val="auto"/>
                <w:szCs w:val="24"/>
                <w:highlight w:val="none"/>
              </w:rPr>
              <w:t>分</w:t>
            </w:r>
          </w:p>
        </w:tc>
      </w:tr>
    </w:tbl>
    <w:p>
      <w:pPr>
        <w:pStyle w:val="17"/>
        <w:numPr>
          <w:ilvl w:val="0"/>
          <w:numId w:val="2"/>
        </w:numPr>
        <w:spacing w:line="560" w:lineRule="exact"/>
        <w:ind w:firstLine="640" w:firstLineChars="200"/>
        <w:jc w:val="both"/>
        <w:rPr>
          <w:rFonts w:hint="eastAsia"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评分标准</w:t>
      </w:r>
    </w:p>
    <w:tbl>
      <w:tblPr>
        <w:tblStyle w:val="13"/>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报价</w:t>
            </w:r>
          </w:p>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sz w:val="24"/>
                <w:szCs w:val="24"/>
                <w:vertAlign w:val="baseline"/>
                <w:lang w:val="en-US" w:eastAsia="zh-CN"/>
              </w:rPr>
              <w:t>30分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价格</w:t>
            </w:r>
          </w:p>
        </w:tc>
        <w:tc>
          <w:tcPr>
            <w:tcW w:w="6143" w:type="dxa"/>
            <w:noWrap w:val="0"/>
            <w:vAlign w:val="center"/>
          </w:tcPr>
          <w:p>
            <w:pPr>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以本次报价或投标人所报的有效报价中的最低价作为基准报价。投标人报价得分=（基准价/投标人报价）*30分。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商务</w:t>
            </w:r>
          </w:p>
          <w:p>
            <w:pPr>
              <w:pStyle w:val="6"/>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部分</w:t>
            </w:r>
          </w:p>
          <w:p>
            <w:pPr>
              <w:pStyle w:val="6"/>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vertAlign w:val="baseline"/>
                <w:lang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sz w:val="24"/>
                <w:szCs w:val="24"/>
                <w:vertAlign w:val="baseline"/>
                <w:lang w:val="en-US" w:eastAsia="zh-CN"/>
              </w:rPr>
              <w:t>分</w:t>
            </w:r>
            <w:r>
              <w:rPr>
                <w:rFonts w:hint="eastAsia" w:ascii="仿宋_GB2312" w:hAnsi="仿宋_GB2312" w:eastAsia="仿宋_GB2312" w:cs="仿宋_GB2312"/>
                <w:sz w:val="24"/>
                <w:szCs w:val="24"/>
                <w:vertAlign w:val="baseline"/>
                <w:lang w:eastAsia="zh-CN"/>
              </w:rPr>
              <w:t>）</w:t>
            </w:r>
          </w:p>
        </w:tc>
        <w:tc>
          <w:tcPr>
            <w:tcW w:w="1170" w:type="dxa"/>
            <w:noWrap w:val="0"/>
            <w:vAlign w:val="top"/>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评分</w:t>
            </w:r>
          </w:p>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因素</w:t>
            </w:r>
          </w:p>
        </w:tc>
        <w:tc>
          <w:tcPr>
            <w:tcW w:w="6143"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eastAsia="zh-CN"/>
              </w:rPr>
              <w:t>同类项目经验（</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lang w:val="en-US" w:eastAsia="zh-CN"/>
              </w:rPr>
              <w:t>分</w:t>
            </w:r>
            <w:r>
              <w:rPr>
                <w:rFonts w:hint="eastAsia" w:ascii="仿宋_GB2312" w:hAnsi="仿宋_GB2312" w:eastAsia="仿宋_GB2312" w:cs="仿宋_GB2312"/>
                <w:sz w:val="24"/>
                <w:szCs w:val="24"/>
                <w:lang w:eastAsia="zh-CN"/>
              </w:rPr>
              <w:t>）</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topLinePunct/>
              <w:snapToGrid w:val="0"/>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投标人自202</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年1月1日至本项目投标截止日（以合同签订日期为准），</w:t>
            </w:r>
            <w:r>
              <w:rPr>
                <w:rFonts w:hint="eastAsia" w:ascii="仿宋_GB2312" w:hAnsi="仿宋_GB2312" w:eastAsia="仿宋_GB2312" w:cs="仿宋_GB2312"/>
                <w:sz w:val="24"/>
                <w:szCs w:val="24"/>
                <w:lang w:val="en-US" w:eastAsia="zh-CN"/>
              </w:rPr>
              <w:t>每提供一项文化活动</w:t>
            </w:r>
            <w:r>
              <w:rPr>
                <w:rFonts w:hint="eastAsia" w:ascii="仿宋_GB2312" w:hAnsi="仿宋_GB2312" w:eastAsia="仿宋_GB2312" w:cs="仿宋_GB2312"/>
                <w:sz w:val="24"/>
                <w:szCs w:val="24"/>
                <w:lang w:eastAsia="zh-CN"/>
              </w:rPr>
              <w:t>类</w:t>
            </w:r>
            <w:r>
              <w:rPr>
                <w:rFonts w:hint="eastAsia" w:ascii="仿宋_GB2312" w:hAnsi="仿宋_GB2312" w:eastAsia="仿宋_GB2312" w:cs="仿宋_GB2312"/>
                <w:sz w:val="24"/>
                <w:szCs w:val="24"/>
                <w:lang w:val="en-US" w:eastAsia="zh-CN"/>
              </w:rPr>
              <w:t>项目</w:t>
            </w:r>
            <w:r>
              <w:rPr>
                <w:rFonts w:hint="eastAsia" w:ascii="仿宋_GB2312" w:hAnsi="仿宋_GB2312" w:eastAsia="仿宋_GB2312" w:cs="仿宋_GB2312"/>
                <w:sz w:val="24"/>
                <w:szCs w:val="24"/>
                <w:lang w:eastAsia="zh-CN"/>
              </w:rPr>
              <w:t>业绩得</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r>
              <w:rPr>
                <w:rFonts w:hint="eastAsia" w:ascii="仿宋_GB2312" w:hAnsi="仿宋_GB2312" w:eastAsia="仿宋_GB2312" w:cs="仿宋_GB2312"/>
                <w:sz w:val="24"/>
                <w:szCs w:val="24"/>
                <w:lang w:val="en-US" w:eastAsia="zh-CN"/>
              </w:rPr>
              <w:t>。</w:t>
            </w:r>
          </w:p>
          <w:p>
            <w:pPr>
              <w:topLinePunct/>
              <w:snapToGrid w:val="0"/>
              <w:spacing w:line="5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topLinePunct/>
              <w:snapToGrid w:val="0"/>
              <w:spacing w:line="560" w:lineRule="exact"/>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拟安排项目团队成员</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sz w:val="24"/>
                <w:szCs w:val="24"/>
                <w:lang w:val="en-US" w:eastAsia="zh-CN"/>
              </w:rPr>
              <w:t>分）</w:t>
            </w:r>
          </w:p>
        </w:tc>
        <w:tc>
          <w:tcPr>
            <w:tcW w:w="6143" w:type="dxa"/>
            <w:noWrap w:val="0"/>
            <w:vAlign w:val="center"/>
          </w:tcPr>
          <w:p>
            <w:pPr>
              <w:pStyle w:val="10"/>
              <w:widowControl/>
              <w:topLinePunct w:val="0"/>
              <w:snapToGrid w:val="0"/>
              <w:spacing w:line="3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（一）评审内容</w:t>
            </w:r>
          </w:p>
          <w:p>
            <w:pPr>
              <w:pStyle w:val="10"/>
              <w:widowControl/>
              <w:topLinePunct w:val="0"/>
              <w:snapToGrid w:val="0"/>
              <w:spacing w:line="3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拟安排的项目团队成员情况：</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具有本科（或以上）学历，每提供</w:t>
            </w:r>
            <w:r>
              <w:rPr>
                <w:rFonts w:hint="eastAsia" w:ascii="仿宋_GB2312" w:hAnsi="仿宋_GB2312" w:eastAsia="仿宋_GB2312" w:cs="仿宋_GB2312"/>
                <w:sz w:val="24"/>
                <w:szCs w:val="24"/>
                <w:lang w:val="en-US" w:eastAsia="zh-CN"/>
              </w:rPr>
              <w:t>一份</w:t>
            </w:r>
            <w:r>
              <w:rPr>
                <w:rFonts w:hint="eastAsia" w:ascii="仿宋_GB2312" w:hAnsi="仿宋_GB2312" w:eastAsia="仿宋_GB2312" w:cs="仿宋_GB2312"/>
                <w:sz w:val="24"/>
                <w:szCs w:val="24"/>
                <w:lang w:eastAsia="zh-CN"/>
              </w:rPr>
              <w:t>学历</w:t>
            </w:r>
            <w:r>
              <w:rPr>
                <w:rFonts w:hint="eastAsia" w:ascii="仿宋_GB2312" w:hAnsi="仿宋_GB2312" w:eastAsia="仿宋_GB2312" w:cs="仿宋_GB2312"/>
                <w:sz w:val="24"/>
                <w:szCs w:val="24"/>
                <w:lang w:val="en-US" w:eastAsia="zh-CN"/>
              </w:rPr>
              <w:t>证明</w:t>
            </w:r>
            <w:r>
              <w:rPr>
                <w:rFonts w:hint="eastAsia" w:ascii="仿宋_GB2312" w:hAnsi="仿宋_GB2312" w:eastAsia="仿宋_GB2312" w:cs="仿宋_GB2312"/>
                <w:sz w:val="24"/>
                <w:szCs w:val="24"/>
                <w:lang w:eastAsia="zh-CN"/>
              </w:rPr>
              <w:t>的得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lang w:eastAsia="zh-CN"/>
              </w:rPr>
              <w:t>分（注：同一人不同学历不累计分值）；</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eastAsia="zh-CN"/>
              </w:rPr>
              <w:t>具有</w:t>
            </w:r>
            <w:r>
              <w:rPr>
                <w:rFonts w:hint="eastAsia" w:ascii="仿宋_GB2312" w:hAnsi="仿宋_GB2312" w:eastAsia="仿宋_GB2312" w:cs="仿宋_GB2312"/>
                <w:sz w:val="24"/>
                <w:szCs w:val="24"/>
                <w:lang w:val="en-US" w:eastAsia="zh-CN"/>
              </w:rPr>
              <w:t>文化活动策划/执行</w:t>
            </w:r>
            <w:r>
              <w:rPr>
                <w:rFonts w:hint="eastAsia" w:ascii="仿宋_GB2312" w:hAnsi="仿宋_GB2312" w:eastAsia="仿宋_GB2312" w:cs="仿宋_GB2312"/>
                <w:sz w:val="24"/>
                <w:szCs w:val="24"/>
                <w:lang w:eastAsia="zh-CN"/>
              </w:rPr>
              <w:t>有关工作经验，每提供一人得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lang w:eastAsia="zh-CN"/>
              </w:rPr>
              <w:t>分，最高得</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分；</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同一人具备1至</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项情况的可</w:t>
            </w:r>
            <w:r>
              <w:rPr>
                <w:rFonts w:hint="eastAsia" w:ascii="仿宋_GB2312" w:hAnsi="仿宋_GB2312" w:eastAsia="仿宋_GB2312" w:cs="仿宋_GB2312"/>
                <w:sz w:val="24"/>
                <w:szCs w:val="24"/>
                <w:lang w:val="en-US" w:eastAsia="zh-CN"/>
              </w:rPr>
              <w:t>重复得</w:t>
            </w:r>
            <w:r>
              <w:rPr>
                <w:rFonts w:hint="eastAsia" w:ascii="仿宋_GB2312" w:hAnsi="仿宋_GB2312" w:eastAsia="仿宋_GB2312" w:cs="仿宋_GB2312"/>
                <w:sz w:val="24"/>
                <w:szCs w:val="24"/>
                <w:lang w:eastAsia="zh-CN"/>
              </w:rPr>
              <w:t>分，本项最高得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p>
          <w:p>
            <w:pPr>
              <w:pStyle w:val="10"/>
              <w:widowControl/>
              <w:topLinePunct w:val="0"/>
              <w:snapToGrid w:val="0"/>
              <w:spacing w:line="360" w:lineRule="exact"/>
              <w:jc w:val="left"/>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lang w:eastAsia="zh-CN"/>
              </w:rPr>
              <w:t>）评审依据：</w:t>
            </w:r>
          </w:p>
          <w:p>
            <w:pPr>
              <w:pStyle w:val="10"/>
              <w:widowControl/>
              <w:topLinePunct w:val="0"/>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pStyle w:val="10"/>
              <w:widowControl/>
              <w:topLinePunct w:val="0"/>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工作经验</w:t>
            </w:r>
            <w:r>
              <w:rPr>
                <w:rFonts w:hint="eastAsia" w:ascii="仿宋_GB2312" w:hAnsi="仿宋_GB2312" w:eastAsia="仿宋_GB2312" w:cs="仿宋_GB2312"/>
                <w:color w:val="auto"/>
                <w:sz w:val="24"/>
                <w:szCs w:val="24"/>
                <w:highlight w:val="none"/>
              </w:rPr>
              <w:t>需提供合同关键页或其他可以证明的材料</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合同关键（关键信息包括但不仅限于合同的项目名称、</w:t>
            </w:r>
            <w:r>
              <w:rPr>
                <w:rFonts w:hint="eastAsia" w:ascii="仿宋_GB2312" w:hAnsi="仿宋_GB2312" w:eastAsia="仿宋_GB2312" w:cs="仿宋_GB2312"/>
                <w:color w:val="auto"/>
                <w:sz w:val="24"/>
                <w:szCs w:val="24"/>
                <w:highlight w:val="none"/>
                <w:lang w:val="en-US" w:eastAsia="zh-CN"/>
              </w:rPr>
              <w:t>项目负责人/团队成员名字、</w:t>
            </w:r>
            <w:r>
              <w:rPr>
                <w:rFonts w:hint="eastAsia" w:ascii="仿宋_GB2312" w:hAnsi="仿宋_GB2312" w:eastAsia="仿宋_GB2312" w:cs="仿宋_GB2312"/>
                <w:color w:val="auto"/>
                <w:sz w:val="24"/>
                <w:szCs w:val="24"/>
                <w:highlight w:val="none"/>
              </w:rPr>
              <w:t>服务内容、</w:t>
            </w:r>
            <w:r>
              <w:rPr>
                <w:rFonts w:hint="eastAsia" w:ascii="仿宋_GB2312" w:hAnsi="仿宋_GB2312" w:eastAsia="仿宋_GB2312" w:cs="仿宋_GB2312"/>
                <w:color w:val="auto"/>
                <w:sz w:val="24"/>
                <w:szCs w:val="24"/>
                <w:highlight w:val="none"/>
                <w:lang w:val="en-US" w:eastAsia="zh-CN"/>
              </w:rPr>
              <w:t>合同双方盖章页</w:t>
            </w:r>
            <w:r>
              <w:rPr>
                <w:rFonts w:hint="eastAsia" w:ascii="仿宋_GB2312" w:hAnsi="仿宋_GB2312" w:eastAsia="仿宋_GB2312" w:cs="仿宋_GB2312"/>
                <w:color w:val="auto"/>
                <w:sz w:val="24"/>
                <w:szCs w:val="24"/>
                <w:highlight w:val="none"/>
              </w:rPr>
              <w:t>），以及满足评分要求的服务内容。</w:t>
            </w:r>
          </w:p>
          <w:p>
            <w:pPr>
              <w:pStyle w:val="10"/>
              <w:widowControl/>
              <w:topLinePunct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3.以上人员近三个月社保缴纳记录。</w:t>
            </w:r>
          </w:p>
          <w:p>
            <w:pPr>
              <w:topLinePunct/>
              <w:snapToGrid w:val="0"/>
              <w:spacing w:line="560" w:lineRule="exact"/>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项目完成（服务期满）</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后的服务承诺（</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sz w:val="24"/>
                <w:szCs w:val="24"/>
                <w:lang w:val="en-US" w:eastAsia="zh-CN"/>
              </w:rPr>
              <w:t>分）</w:t>
            </w:r>
          </w:p>
        </w:tc>
        <w:tc>
          <w:tcPr>
            <w:tcW w:w="6143" w:type="dxa"/>
            <w:noWrap w:val="0"/>
            <w:vAlign w:val="center"/>
          </w:tcPr>
          <w:p>
            <w:pPr>
              <w:topLinePunct/>
              <w:snapToGrid w:val="0"/>
              <w:spacing w:line="560" w:lineRule="exact"/>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（一）</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内容：</w:t>
            </w:r>
          </w:p>
          <w:p>
            <w:pPr>
              <w:adjustRightInd w:val="0"/>
              <w:snapToGrid w:val="0"/>
              <w:spacing w:line="560" w:lineRule="exact"/>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1.在服务期满后主动交接项目相关资料；</w:t>
            </w:r>
          </w:p>
          <w:p>
            <w:pPr>
              <w:numPr>
                <w:ilvl w:val="-1"/>
                <w:numId w:val="0"/>
              </w:numPr>
              <w:adjustRightInd w:val="0"/>
              <w:snapToGrid w:val="0"/>
              <w:spacing w:line="560" w:lineRule="exact"/>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2.配合项目检查审计等事项。</w:t>
            </w:r>
          </w:p>
          <w:p>
            <w:pPr>
              <w:topLinePunct/>
              <w:snapToGrid w:val="0"/>
              <w:spacing w:line="560" w:lineRule="exact"/>
              <w:jc w:val="left"/>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（二）</w:t>
            </w:r>
            <w:r>
              <w:rPr>
                <w:rFonts w:hint="eastAsia" w:ascii="仿宋_GB2312" w:hAnsi="仿宋_GB2312" w:eastAsia="仿宋_GB2312" w:cs="仿宋_GB2312"/>
                <w:b/>
                <w:bCs/>
                <w:sz w:val="24"/>
                <w:szCs w:val="24"/>
                <w:highlight w:val="none"/>
                <w:lang w:eastAsia="zh-CN"/>
              </w:rPr>
              <w:t>评审</w:t>
            </w:r>
            <w:r>
              <w:rPr>
                <w:rFonts w:hint="eastAsia" w:ascii="仿宋_GB2312" w:hAnsi="仿宋_GB2312" w:eastAsia="仿宋_GB2312" w:cs="仿宋_GB2312"/>
                <w:b/>
                <w:bCs/>
                <w:sz w:val="24"/>
                <w:szCs w:val="24"/>
                <w:highlight w:val="none"/>
              </w:rPr>
              <w:t>依据：</w:t>
            </w:r>
          </w:p>
          <w:p>
            <w:pPr>
              <w:topLinePunct/>
              <w:snapToGrid w:val="0"/>
              <w:spacing w:line="560" w:lineRule="exact"/>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highlight w:val="none"/>
              </w:rPr>
              <w:t>提供</w:t>
            </w:r>
            <w:r>
              <w:rPr>
                <w:rFonts w:hint="eastAsia" w:ascii="仿宋_GB2312" w:hAnsi="仿宋_GB2312" w:eastAsia="仿宋_GB2312" w:cs="仿宋_GB2312"/>
                <w:sz w:val="24"/>
                <w:szCs w:val="24"/>
                <w:highlight w:val="none"/>
                <w:lang w:eastAsia="zh-CN"/>
              </w:rPr>
              <w:t>服务</w:t>
            </w:r>
            <w:r>
              <w:rPr>
                <w:rFonts w:hint="eastAsia" w:ascii="仿宋_GB2312" w:hAnsi="仿宋_GB2312" w:eastAsia="仿宋_GB2312" w:cs="仿宋_GB2312"/>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sz w:val="24"/>
                <w:szCs w:val="24"/>
                <w:vertAlign w:val="baseline"/>
                <w:lang w:val="en-US" w:eastAsia="zh-CN"/>
              </w:rPr>
              <w:t>分）</w:t>
            </w:r>
          </w:p>
        </w:tc>
        <w:tc>
          <w:tcPr>
            <w:tcW w:w="1170" w:type="dxa"/>
            <w:noWrap w:val="0"/>
            <w:vAlign w:val="center"/>
          </w:tcPr>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实</w:t>
            </w:r>
            <w:r>
              <w:rPr>
                <w:rFonts w:hint="eastAsia" w:ascii="仿宋_GB2312" w:hAnsi="仿宋_GB2312" w:eastAsia="仿宋_GB2312" w:cs="仿宋_GB2312"/>
                <w:sz w:val="24"/>
                <w:szCs w:val="24"/>
                <w:lang w:val="en-US" w:eastAsia="zh-CN"/>
              </w:rPr>
              <w:t>施</w:t>
            </w:r>
          </w:p>
          <w:p>
            <w:pPr>
              <w:spacing w:line="560" w:lineRule="exact"/>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方案</w:t>
            </w:r>
          </w:p>
          <w:p>
            <w:pPr>
              <w:spacing w:line="560" w:lineRule="exact"/>
              <w:jc w:val="left"/>
              <w:rPr>
                <w:rFonts w:hint="eastAsia"/>
                <w:lang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sz w:val="24"/>
                <w:szCs w:val="24"/>
                <w:lang w:val="en-US" w:eastAsia="zh-CN"/>
              </w:rPr>
              <w:t>分）</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1.对项目需求的认识和理解；</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2.项目亮点特色；</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3.项目成果；</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4.宣传规划思路。</w:t>
            </w:r>
          </w:p>
          <w:p>
            <w:pPr>
              <w:topLinePunct/>
              <w:snapToGrid w:val="0"/>
              <w:spacing w:line="560" w:lineRule="exact"/>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满足以上任意一项要求得4分，最高得16分，在此基础上，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1.优：项目实施方案内容全面、具体、针对性强、科学合理、可操作性强得9分；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2.良：项目实施方案内容较丰富、较具体、针对性较强、较科学合理、可操作性较强得7分；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3.中：项目实施方案内容、针对性、可操作性一般得4分；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color w:val="auto"/>
                <w:sz w:val="24"/>
                <w:szCs w:val="24"/>
                <w:highlight w:val="none"/>
                <w:lang w:val="en-US" w:eastAsia="zh-CN"/>
              </w:rPr>
              <w:t>4.差：其他情况不得分。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0" w:hRule="atLeast"/>
        </w:trPr>
        <w:tc>
          <w:tcPr>
            <w:tcW w:w="1118" w:type="dxa"/>
            <w:vMerge w:val="continue"/>
            <w:noWrap w:val="0"/>
            <w:vAlign w:val="top"/>
          </w:tcPr>
          <w:p>
            <w:pPr>
              <w:spacing w:line="560" w:lineRule="exact"/>
              <w:jc w:val="left"/>
              <w:rPr>
                <w:rFonts w:hint="eastAsia" w:ascii="仿宋_GB2312" w:hAnsi="仿宋_GB2312" w:eastAsia="仿宋_GB2312" w:cs="仿宋_GB2312"/>
                <w:sz w:val="24"/>
                <w:szCs w:val="24"/>
                <w:vertAlign w:val="baseline"/>
                <w:lang w:val="en-US" w:eastAsia="zh-CN"/>
              </w:rPr>
            </w:pPr>
          </w:p>
        </w:tc>
        <w:tc>
          <w:tcPr>
            <w:tcW w:w="1170" w:type="dxa"/>
            <w:noWrap w:val="0"/>
            <w:vAlign w:val="center"/>
          </w:tcPr>
          <w:p>
            <w:pPr>
              <w:spacing w:line="560" w:lineRule="exact"/>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项目重点难点分析、应对措施及相关的合理化建议</w:t>
            </w:r>
          </w:p>
          <w:p>
            <w:pPr>
              <w:spacing w:line="560" w:lineRule="exact"/>
              <w:jc w:val="left"/>
              <w:rPr>
                <w:rFonts w:hint="eastAsia"/>
                <w:lang w:eastAsia="zh-CN"/>
              </w:rPr>
            </w:pPr>
            <w:r>
              <w:rPr>
                <w:rFonts w:hint="eastAsia" w:ascii="仿宋_GB2312" w:hAnsi="仿宋_GB2312" w:eastAsia="仿宋_GB2312" w:cs="仿宋_GB2312"/>
                <w:sz w:val="24"/>
                <w:szCs w:val="24"/>
                <w:vertAlign w:val="baseline"/>
                <w:lang w:val="en-US"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sz w:val="24"/>
                <w:szCs w:val="24"/>
                <w:vertAlign w:val="baseline"/>
                <w:lang w:val="en-US" w:eastAsia="zh-CN"/>
              </w:rPr>
              <w:t>分）</w:t>
            </w:r>
          </w:p>
        </w:tc>
        <w:tc>
          <w:tcPr>
            <w:tcW w:w="6143" w:type="dxa"/>
            <w:noWrap w:val="0"/>
            <w:vAlign w:val="top"/>
          </w:tcPr>
          <w:p>
            <w:pPr>
              <w:topLinePunct/>
              <w:snapToGrid w:val="0"/>
              <w:spacing w:line="560" w:lineRule="exact"/>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考察对项目工作量、可完成度等重点难点问题的识别和分析能力，并就识别出的重点难点提出可行的应对措施及合理化建议。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包括但不限于以下内容：</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1.详细阐述本项目存在的重难点问题；</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2.根据项目重难点，详细阐述对应的应对措施；</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3.向招标方提出项目实施具体建议。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w:t>
            </w:r>
            <w:r>
              <w:rPr>
                <w:rFonts w:hint="eastAsia" w:ascii="仿宋_GB2312" w:hAnsi="仿宋_GB2312" w:eastAsia="仿宋_GB2312" w:cs="仿宋_GB2312"/>
                <w:b/>
                <w:bCs/>
                <w:sz w:val="24"/>
                <w:szCs w:val="24"/>
                <w:lang w:eastAsia="zh-CN"/>
              </w:rPr>
              <w:t>评审</w:t>
            </w:r>
            <w:r>
              <w:rPr>
                <w:rFonts w:hint="eastAsia" w:ascii="仿宋_GB2312" w:hAnsi="仿宋_GB2312" w:eastAsia="仿宋_GB2312" w:cs="仿宋_GB2312"/>
                <w:b/>
                <w:bCs/>
                <w:sz w:val="24"/>
                <w:szCs w:val="24"/>
              </w:rPr>
              <w:t>依据：</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w:t>
            </w:r>
            <w:r>
              <w:rPr>
                <w:rFonts w:hint="eastAsia" w:ascii="仿宋_GB2312" w:hAnsi="仿宋_GB2312" w:eastAsia="仿宋_GB2312" w:cs="仿宋_GB2312"/>
                <w:sz w:val="24"/>
                <w:szCs w:val="24"/>
              </w:rPr>
              <w:t>根据供应商的具体响应内容按照量化的评审因素指标进一步评审，设定优、良、中、差四个评分标准：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优：以上项目重点难点分析、应对措施及相关的合理化建议的三点内容全面具体、针对性强、可操作性强，加</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sz w:val="24"/>
                <w:szCs w:val="24"/>
              </w:rPr>
              <w:t>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良：以上项目重点难点分析、应对措施及相关的合理化建议的三点内容较</w:t>
            </w:r>
            <w:r>
              <w:rPr>
                <w:rFonts w:hint="eastAsia" w:ascii="仿宋_GB2312" w:hAnsi="仿宋_GB2312" w:eastAsia="仿宋_GB2312" w:cs="仿宋_GB2312"/>
                <w:sz w:val="24"/>
                <w:szCs w:val="24"/>
                <w:lang w:eastAsia="zh-CN"/>
              </w:rPr>
              <w:t>丰富</w:t>
            </w:r>
            <w:r>
              <w:rPr>
                <w:rFonts w:hint="eastAsia" w:ascii="仿宋_GB2312" w:hAnsi="仿宋_GB2312" w:eastAsia="仿宋_GB2312" w:cs="仿宋_GB2312"/>
                <w:sz w:val="24"/>
                <w:szCs w:val="24"/>
              </w:rPr>
              <w:t>、针对性较强、可操作性较强，加</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sz w:val="24"/>
                <w:szCs w:val="24"/>
              </w:rPr>
              <w:t>分；</w:t>
            </w:r>
          </w:p>
          <w:p>
            <w:pPr>
              <w:spacing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中：以上项目重点难点分析、应对措施及相关的合理化建议的三点内容完整性、针对性、可操作性均一般，加</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sz w:val="24"/>
                <w:szCs w:val="24"/>
              </w:rPr>
              <w:t>分；</w:t>
            </w:r>
          </w:p>
          <w:p>
            <w:pPr>
              <w:keepNext w:val="0"/>
              <w:keepLines w:val="0"/>
              <w:pageBreakBefore w:val="0"/>
              <w:widowControl w:val="0"/>
              <w:snapToGrid/>
              <w:spacing w:line="560" w:lineRule="exact"/>
              <w:ind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差：</w:t>
            </w:r>
            <w:r>
              <w:rPr>
                <w:rFonts w:hint="eastAsia" w:ascii="仿宋_GB2312" w:hAnsi="仿宋_GB2312" w:eastAsia="仿宋_GB2312" w:cs="仿宋_GB2312"/>
                <w:sz w:val="24"/>
                <w:szCs w:val="24"/>
                <w:lang w:eastAsia="zh-CN"/>
              </w:rPr>
              <w:t>其他情况</w:t>
            </w:r>
            <w:r>
              <w:rPr>
                <w:rFonts w:hint="eastAsia" w:ascii="仿宋_GB2312" w:hAnsi="仿宋_GB2312" w:eastAsia="仿宋_GB2312" w:cs="仿宋_GB2312"/>
                <w:color w:val="auto"/>
                <w:sz w:val="24"/>
                <w:szCs w:val="24"/>
                <w:highlight w:val="none"/>
                <w:lang w:val="en-US" w:eastAsia="zh-CN"/>
              </w:rPr>
              <w:t>不得分。</w:t>
            </w:r>
          </w:p>
        </w:tc>
      </w:tr>
    </w:tbl>
    <w:p>
      <w:pPr>
        <w:pStyle w:val="17"/>
        <w:spacing w:line="560" w:lineRule="exact"/>
        <w:ind w:firstLine="640" w:firstLineChars="200"/>
        <w:jc w:val="both"/>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p>
    <w:p>
      <w:pPr>
        <w:spacing w:line="560" w:lineRule="exact"/>
        <w:ind w:firstLine="642" w:firstLineChars="20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b/>
          <w:bCs/>
          <w:color w:val="FF0000"/>
          <w:sz w:val="32"/>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r>
        <w:rPr>
          <w:rFonts w:hint="eastAsia" w:ascii="仿宋_GB2312" w:hAnsi="仿宋" w:eastAsia="仿宋_GB2312" w:cs="Times New Roman"/>
          <w:color w:val="auto"/>
          <w:sz w:val="32"/>
          <w:highlight w:val="none"/>
          <w:lang w:eastAsia="zh-CN"/>
        </w:rPr>
        <w:t>、相关许可证书</w:t>
      </w:r>
      <w:r>
        <w:rPr>
          <w:rFonts w:hint="eastAsia" w:ascii="仿宋_GB2312" w:hAnsi="仿宋" w:eastAsia="仿宋_GB2312" w:cs="Times New Roman"/>
          <w:color w:val="auto"/>
          <w:sz w:val="32"/>
          <w:highlight w:val="none"/>
        </w:rPr>
        <w:t>；</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7"/>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7"/>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pStyle w:val="7"/>
        <w:spacing w:after="0" w:line="560" w:lineRule="exact"/>
        <w:ind w:left="0" w:leftChars="0" w:right="0" w:rightChars="0" w:firstLine="640"/>
        <w:jc w:val="both"/>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1.供应商须在</w:t>
      </w:r>
      <w:r>
        <w:rPr>
          <w:rFonts w:hint="default" w:ascii="仿宋_GB2312" w:hAnsi="仿宋" w:eastAsia="仿宋_GB2312" w:cs="Times New Roman"/>
          <w:color w:val="auto"/>
          <w:sz w:val="32"/>
          <w:highlight w:val="none"/>
          <w:lang w:val="en-US" w:eastAsia="zh-CN"/>
        </w:rPr>
        <w:t>深圳政府采购自行采购系统</w:t>
      </w:r>
      <w:r>
        <w:rPr>
          <w:rFonts w:hint="eastAsia" w:ascii="仿宋_GB2312" w:hAnsi="仿宋" w:eastAsia="仿宋_GB2312" w:cs="Times New Roman"/>
          <w:color w:val="auto"/>
          <w:kern w:val="2"/>
          <w:sz w:val="32"/>
          <w:szCs w:val="24"/>
          <w:highlight w:val="none"/>
          <w:lang w:val="en-US" w:eastAsia="zh-CN" w:bidi="ar-SA"/>
        </w:rPr>
        <w:t>完成注册（网址：https://zxcg.szggzy.com/home/index.html），请于本项目投标截止时间前完成注册，否则如中标/成交，可能影响采购结果的发布。</w:t>
      </w:r>
    </w:p>
    <w:p>
      <w:pPr>
        <w:pStyle w:val="7"/>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2.</w:t>
      </w:r>
      <w:r>
        <w:rPr>
          <w:rFonts w:hint="eastAsia" w:ascii="仿宋_GB2312" w:hAnsi="仿宋" w:eastAsia="仿宋_GB2312" w:cs="Times New Roman"/>
          <w:color w:val="auto"/>
          <w:sz w:val="32"/>
          <w:highlight w:val="none"/>
        </w:rPr>
        <w:t>供应商需</w:t>
      </w:r>
      <w:r>
        <w:rPr>
          <w:rFonts w:hint="eastAsia" w:ascii="仿宋_GB2312" w:hAnsi="仿宋" w:eastAsia="仿宋_GB2312" w:cs="Times New Roman"/>
          <w:color w:val="auto"/>
          <w:sz w:val="32"/>
          <w:highlight w:val="none"/>
          <w:lang w:val="en-US" w:eastAsia="zh-CN"/>
        </w:rPr>
        <w:t>以</w:t>
      </w:r>
      <w:r>
        <w:rPr>
          <w:rFonts w:hint="eastAsia" w:ascii="仿宋_GB2312" w:hAnsi="仿宋" w:eastAsia="仿宋_GB2312" w:cs="Times New Roman"/>
          <w:color w:val="auto"/>
          <w:sz w:val="32"/>
          <w:highlight w:val="none"/>
        </w:rPr>
        <w:t>邮寄</w:t>
      </w:r>
      <w:r>
        <w:rPr>
          <w:rFonts w:hint="eastAsia" w:ascii="仿宋_GB2312" w:hAnsi="仿宋" w:eastAsia="仿宋_GB2312" w:cs="Times New Roman"/>
          <w:color w:val="auto"/>
          <w:sz w:val="32"/>
          <w:highlight w:val="none"/>
          <w:lang w:val="en-US" w:eastAsia="zh-CN"/>
        </w:rPr>
        <w:t>方式提供</w:t>
      </w:r>
      <w:r>
        <w:rPr>
          <w:rFonts w:hint="eastAsia" w:ascii="仿宋_GB2312" w:hAnsi="仿宋" w:eastAsia="仿宋_GB2312" w:cs="Times New Roman"/>
          <w:color w:val="auto"/>
          <w:sz w:val="32"/>
          <w:highlight w:val="none"/>
        </w:rPr>
        <w:t>7份密封纸质版投标资料至本单位</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并在封面备注“龙华区第八届诗词大会</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项目+公司全称+日期+联系人+联系方式”。</w:t>
      </w:r>
    </w:p>
    <w:p>
      <w:pPr>
        <w:pStyle w:val="7"/>
        <w:spacing w:after="0" w:line="560" w:lineRule="exact"/>
        <w:ind w:left="0" w:leftChars="0" w:right="0" w:rightChars="0"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地址：</w:t>
      </w:r>
      <w:bookmarkStart w:id="1" w:name="OLE_LINK5"/>
      <w:r>
        <w:rPr>
          <w:rFonts w:hint="eastAsia" w:ascii="仿宋_GB2312" w:hAnsi="仿宋" w:eastAsia="仿宋_GB2312" w:cs="Times New Roman"/>
          <w:color w:val="auto"/>
          <w:sz w:val="32"/>
          <w:highlight w:val="none"/>
        </w:rPr>
        <w:t>深圳市龙华区</w:t>
      </w:r>
      <w:r>
        <w:rPr>
          <w:rFonts w:hint="eastAsia" w:ascii="仿宋_GB2312" w:hAnsi="仿宋" w:eastAsia="仿宋_GB2312" w:cs="Times New Roman"/>
          <w:color w:val="auto"/>
          <w:sz w:val="32"/>
          <w:highlight w:val="none"/>
          <w:lang w:val="en-US" w:eastAsia="zh-CN"/>
        </w:rPr>
        <w:t>龙华街道</w:t>
      </w:r>
      <w:r>
        <w:rPr>
          <w:rFonts w:hint="eastAsia" w:ascii="仿宋_GB2312" w:hAnsi="仿宋" w:eastAsia="仿宋_GB2312" w:cs="Times New Roman"/>
          <w:color w:val="auto"/>
          <w:sz w:val="32"/>
          <w:highlight w:val="none"/>
        </w:rPr>
        <w:t>富康行政</w:t>
      </w:r>
      <w:r>
        <w:rPr>
          <w:rFonts w:hint="eastAsia" w:ascii="仿宋_GB2312" w:hAnsi="仿宋" w:eastAsia="仿宋_GB2312" w:cs="Times New Roman"/>
          <w:color w:val="auto"/>
          <w:sz w:val="32"/>
          <w:highlight w:val="none"/>
          <w:lang w:val="en-US" w:eastAsia="zh-CN"/>
        </w:rPr>
        <w:t>服务</w:t>
      </w:r>
      <w:r>
        <w:rPr>
          <w:rFonts w:hint="eastAsia" w:ascii="仿宋_GB2312" w:hAnsi="仿宋" w:eastAsia="仿宋_GB2312" w:cs="Times New Roman"/>
          <w:color w:val="auto"/>
          <w:sz w:val="32"/>
          <w:highlight w:val="none"/>
        </w:rPr>
        <w:t>办公区</w:t>
      </w:r>
      <w:bookmarkEnd w:id="1"/>
    </w:p>
    <w:p>
      <w:pPr>
        <w:pStyle w:val="18"/>
        <w:spacing w:line="560" w:lineRule="exact"/>
        <w:jc w:val="both"/>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rPr>
        <w:t>收件人：吴先生</w:t>
      </w:r>
      <w:bookmarkStart w:id="2" w:name="_GoBack"/>
      <w:bookmarkEnd w:id="2"/>
    </w:p>
    <w:p>
      <w:pPr>
        <w:ind w:firstLine="640" w:firstLineChars="200"/>
        <w:rPr>
          <w:rFonts w:hint="default" w:ascii="黑体" w:hAnsi="黑体" w:eastAsia="黑体" w:cs="黑体"/>
          <w:color w:val="auto"/>
          <w:sz w:val="32"/>
          <w:szCs w:val="32"/>
          <w:highlight w:val="none"/>
          <w:lang w:val="en-US" w:eastAsia="zh-CN"/>
        </w:rPr>
      </w:pPr>
      <w:r>
        <w:rPr>
          <w:rFonts w:hint="eastAsia" w:ascii="仿宋_GB2312" w:hAnsi="仿宋" w:eastAsia="仿宋_GB2312" w:cs="Times New Roman"/>
          <w:color w:val="auto"/>
          <w:sz w:val="32"/>
          <w:highlight w:val="none"/>
        </w:rPr>
        <w:t>联系方式</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r>
        <w:rPr>
          <w:rFonts w:ascii="仿宋_GB2312" w:hAnsi="仿宋" w:eastAsia="仿宋_GB2312" w:cs="Times New Roman"/>
          <w:color w:val="auto"/>
          <w:sz w:val="32"/>
          <w:highlight w:val="none"/>
        </w:rPr>
        <w:br w:type="page"/>
      </w: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3"/>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color w:val="auto"/>
          <w:highlight w:val="none"/>
          <w:lang w:val="en-US" w:eastAsia="zh-CN"/>
        </w:rPr>
      </w:pPr>
    </w:p>
    <w:p>
      <w:pPr>
        <w:pStyle w:val="6"/>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pStyle w:val="18"/>
        <w:spacing w:line="560" w:lineRule="exact"/>
        <w:ind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pPr>
        <w:pStyle w:val="11"/>
        <w:snapToGrid w:val="0"/>
        <w:spacing w:before="0" w:after="0" w:line="560" w:lineRule="exact"/>
        <w:jc w:val="center"/>
        <w:rPr>
          <w:rFonts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供应商基本情况表</w:t>
      </w:r>
    </w:p>
    <w:p>
      <w:pPr>
        <w:spacing w:line="560" w:lineRule="exact"/>
        <w:jc w:val="both"/>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3"/>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pStyle w:val="4"/>
              <w:snapToGrid w:val="0"/>
              <w:spacing w:line="240" w:lineRule="auto"/>
              <w:ind w:firstLine="0" w:firstLineChars="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投标文件编制人员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both"/>
              <w:rPr>
                <w:rFonts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rPr>
          <w:rFonts w:hint="default"/>
          <w:color w:val="auto"/>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7A"/>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9BDBF"/>
    <w:multiLevelType w:val="singleLevel"/>
    <w:tmpl w:val="8299BDBF"/>
    <w:lvl w:ilvl="0" w:tentative="0">
      <w:start w:val="2"/>
      <w:numFmt w:val="chineseCounting"/>
      <w:suff w:val="nothing"/>
      <w:lvlText w:val="（%1）"/>
      <w:lvlJc w:val="left"/>
      <w:rPr>
        <w:rFonts w:hint="eastAsia"/>
      </w:rPr>
    </w:lvl>
  </w:abstractNum>
  <w:abstractNum w:abstractNumId="1">
    <w:nsid w:val="BE530447"/>
    <w:multiLevelType w:val="singleLevel"/>
    <w:tmpl w:val="BE53044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76E1AF"/>
    <w:rsid w:val="0C871352"/>
    <w:rsid w:val="0E82187D"/>
    <w:rsid w:val="12AB3989"/>
    <w:rsid w:val="144F29BF"/>
    <w:rsid w:val="16EB8C75"/>
    <w:rsid w:val="1BFABADF"/>
    <w:rsid w:val="1EC93137"/>
    <w:rsid w:val="21556F04"/>
    <w:rsid w:val="21AB3F2A"/>
    <w:rsid w:val="2F5F76BE"/>
    <w:rsid w:val="3B844E56"/>
    <w:rsid w:val="3BDFFA67"/>
    <w:rsid w:val="3CE93C7A"/>
    <w:rsid w:val="3D5FDCFC"/>
    <w:rsid w:val="3E4D3E58"/>
    <w:rsid w:val="3EE651E8"/>
    <w:rsid w:val="3F1F3B18"/>
    <w:rsid w:val="3F7D16C5"/>
    <w:rsid w:val="4B002686"/>
    <w:rsid w:val="4F692A74"/>
    <w:rsid w:val="55FA4F05"/>
    <w:rsid w:val="56DF64D4"/>
    <w:rsid w:val="57F689EF"/>
    <w:rsid w:val="5DD84F45"/>
    <w:rsid w:val="5F2BE56A"/>
    <w:rsid w:val="6CFFD566"/>
    <w:rsid w:val="6FC72380"/>
    <w:rsid w:val="711717F4"/>
    <w:rsid w:val="73FB884D"/>
    <w:rsid w:val="746962BB"/>
    <w:rsid w:val="75ADC840"/>
    <w:rsid w:val="773E6F28"/>
    <w:rsid w:val="77FABDDE"/>
    <w:rsid w:val="79E954EB"/>
    <w:rsid w:val="7BD3E33C"/>
    <w:rsid w:val="7BF7E217"/>
    <w:rsid w:val="7D9F3A20"/>
    <w:rsid w:val="7DCAB5DF"/>
    <w:rsid w:val="7DD39989"/>
    <w:rsid w:val="7DF6FDC2"/>
    <w:rsid w:val="7E9F479A"/>
    <w:rsid w:val="7FBBE55B"/>
    <w:rsid w:val="7FED79C5"/>
    <w:rsid w:val="9EFFBBA7"/>
    <w:rsid w:val="9FF753B3"/>
    <w:rsid w:val="9FF76098"/>
    <w:rsid w:val="BBFF548B"/>
    <w:rsid w:val="CB3749E5"/>
    <w:rsid w:val="CEAEA899"/>
    <w:rsid w:val="CF5F878D"/>
    <w:rsid w:val="DEB7FE68"/>
    <w:rsid w:val="DFFF69F1"/>
    <w:rsid w:val="E376E1AF"/>
    <w:rsid w:val="E77E6E49"/>
    <w:rsid w:val="EFEEAA5D"/>
    <w:rsid w:val="EFF64497"/>
    <w:rsid w:val="EFFBB246"/>
    <w:rsid w:val="FDFFDEC4"/>
    <w:rsid w:val="FF5D0031"/>
    <w:rsid w:val="FFBFB86A"/>
    <w:rsid w:val="FFEF2FC6"/>
    <w:rsid w:val="FFFB35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3"/>
    <w:next w:val="1"/>
    <w:qFormat/>
    <w:uiPriority w:val="9"/>
    <w:pPr>
      <w:spacing w:before="260" w:after="260" w:line="240" w:lineRule="auto"/>
      <w:outlineLvl w:val="2"/>
    </w:pPr>
    <w:rPr>
      <w:rFonts w:ascii="宋体" w:hAnsi="宋体" w:eastAsia="宋体"/>
      <w:szCs w:val="32"/>
    </w:rPr>
  </w:style>
  <w:style w:type="paragraph" w:styleId="3">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6">
    <w:name w:val="Body Text"/>
    <w:basedOn w:val="1"/>
    <w:next w:val="1"/>
    <w:qFormat/>
    <w:uiPriority w:val="0"/>
    <w:pPr>
      <w:spacing w:after="120"/>
    </w:pPr>
  </w:style>
  <w:style w:type="paragraph" w:styleId="7">
    <w:name w:val="Block Text"/>
    <w:basedOn w:val="1"/>
    <w:qFormat/>
    <w:uiPriority w:val="0"/>
    <w:pPr>
      <w:tabs>
        <w:tab w:val="left" w:pos="426"/>
      </w:tabs>
      <w:spacing w:after="120"/>
      <w:ind w:left="1440" w:leftChars="700" w:right="1440" w:rightChars="700"/>
    </w:pPr>
  </w:style>
  <w:style w:type="paragraph" w:styleId="8">
    <w:name w:val="Plain Text"/>
    <w:basedOn w:val="1"/>
    <w:unhideWhenUsed/>
    <w:qFormat/>
    <w:uiPriority w:val="99"/>
    <w:rPr>
      <w:rFonts w:ascii="宋体" w:hAnsi="Calibri" w:cs="Courier New"/>
      <w:szCs w:val="21"/>
    </w:rPr>
  </w:style>
  <w:style w:type="paragraph" w:styleId="9">
    <w:name w:val="Body Text 2"/>
    <w:basedOn w:val="1"/>
    <w:qFormat/>
    <w:uiPriority w:val="0"/>
    <w:pPr>
      <w:spacing w:line="360" w:lineRule="auto"/>
    </w:pPr>
    <w:rPr>
      <w:sz w:val="24"/>
    </w:rPr>
  </w:style>
  <w:style w:type="paragraph" w:styleId="10">
    <w:name w:val="Normal (Web)"/>
    <w:basedOn w:val="1"/>
    <w:qFormat/>
    <w:uiPriority w:val="99"/>
    <w:rPr>
      <w:sz w:val="24"/>
    </w:rPr>
  </w:style>
  <w:style w:type="paragraph" w:styleId="11">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6"/>
    <w:qFormat/>
    <w:uiPriority w:val="34"/>
    <w:pPr>
      <w:ind w:firstLine="420" w:firstLineChars="200"/>
    </w:pPr>
  </w:style>
  <w:style w:type="paragraph" w:customStyle="1" w:styleId="16">
    <w:name w:val="星耀正文"/>
    <w:basedOn w:val="1"/>
    <w:qFormat/>
    <w:uiPriority w:val="3"/>
    <w:pPr>
      <w:ind w:firstLine="422" w:firstLineChars="200"/>
    </w:pPr>
    <w:rPr>
      <w:rFonts w:ascii="宋体" w:hAnsi="宋体" w:eastAsia="仿宋_GB2312"/>
      <w:bCs/>
    </w:rPr>
  </w:style>
  <w:style w:type="paragraph" w:customStyle="1" w:styleId="17">
    <w:name w:val="USE 1"/>
    <w:basedOn w:val="1"/>
    <w:qFormat/>
    <w:uiPriority w:val="0"/>
    <w:pPr>
      <w:spacing w:line="200" w:lineRule="atLeast"/>
      <w:jc w:val="left"/>
    </w:pPr>
    <w:rPr>
      <w:rFonts w:ascii="宋体" w:hAnsi="宋体"/>
      <w:b/>
      <w:sz w:val="24"/>
      <w:szCs w:val="28"/>
    </w:rPr>
  </w:style>
  <w:style w:type="paragraph" w:customStyle="1" w:styleId="18">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19">
    <w:name w:val="_Style 3"/>
    <w:basedOn w:val="1"/>
    <w:next w:val="1"/>
    <w:qFormat/>
    <w:uiPriority w:val="99"/>
    <w:pPr>
      <w:spacing w:line="360" w:lineRule="auto"/>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889</Words>
  <Characters>924</Characters>
  <Lines>0</Lines>
  <Paragraphs>0</Paragraphs>
  <TotalTime>2</TotalTime>
  <ScaleCrop>false</ScaleCrop>
  <LinksUpToDate>false</LinksUpToDate>
  <CharactersWithSpaces>924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2025-04-23T17:16:00Z</dcterms:created>
  <dc:creator>yang</dc:creator>
  <cp:lastModifiedBy>lxy</cp:lastModifiedBy>
  <dcterms:modified xsi:type="dcterms:W3CDTF">2026-10-14T17:11:58Z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6AF94337BA2E4B12948DFA9A6B65CF76_13</vt:lpwstr>
  </property>
  <property fmtid="{D5CDD505-2E9C-101B-9397-08002B2CF9AE}" pid="4" name="KSOTemplateDocerSaveRecord">
    <vt:lpwstr>eyJoZGlkIjoiOGU5YTE0MGQ1Nzc0NDg0MDkwYzRmZmI1M2MxMDZjNDUiLCJ1c2VySWQiOiI3NjI1MDM3NTIifQ==</vt:lpwstr>
  </property>
</Properties>
</file>