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7</w:t>
      </w:r>
      <w:r>
        <w:rPr>
          <w:rFonts w:hint="eastAsia" w:ascii="方正小标宋简体" w:hAnsi="方正小标宋简体" w:eastAsia="方正小标宋简体" w:cs="方正小标宋简体"/>
          <w:sz w:val="44"/>
          <w:szCs w:val="44"/>
        </w:rPr>
        <w:t>年龙华区公益性体育设施公众责任险</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项目需求书</w:t>
      </w:r>
    </w:p>
    <w:p>
      <w:pPr>
        <w:pStyle w:val="7"/>
        <w:spacing w:line="560" w:lineRule="exact"/>
        <w:jc w:val="left"/>
        <w:rPr>
          <w:rFonts w:ascii="方正小标宋简体" w:hAnsi="方正小标宋简体" w:eastAsia="方正小标宋简体" w:cs="方正小标宋简体"/>
          <w:spacing w:val="17"/>
          <w:sz w:val="44"/>
          <w:szCs w:val="44"/>
        </w:rPr>
      </w:pPr>
    </w:p>
    <w:p>
      <w:pPr>
        <w:tabs>
          <w:tab w:val="left" w:pos="1820"/>
        </w:tabs>
        <w:snapToGrid w:val="0"/>
        <w:spacing w:line="560" w:lineRule="exact"/>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一、项目目标</w:t>
      </w:r>
    </w:p>
    <w:p>
      <w:pPr>
        <w:tabs>
          <w:tab w:val="left" w:pos="1820"/>
        </w:tabs>
        <w:snapToGrid w:val="0"/>
        <w:spacing w:line="560" w:lineRule="exact"/>
        <w:ind w:firstLine="640" w:firstLineChars="200"/>
        <w:jc w:val="left"/>
        <w:rPr>
          <w:rFonts w:ascii="宋体" w:hAnsi="宋体" w:eastAsia="宋体" w:cs="宋体"/>
          <w:sz w:val="24"/>
          <w:szCs w:val="24"/>
        </w:rPr>
      </w:pPr>
      <w:r>
        <w:rPr>
          <w:rFonts w:hint="eastAsia" w:ascii="仿宋_GB2312" w:hAnsi="仿宋_GB2312" w:eastAsia="仿宋_GB2312" w:cs="仿宋_GB2312"/>
          <w:color w:val="auto"/>
          <w:sz w:val="32"/>
          <w:szCs w:val="36"/>
          <w:lang w:eastAsia="zh-CN"/>
        </w:rPr>
        <w:t>为</w:t>
      </w:r>
      <w:r>
        <w:rPr>
          <w:rFonts w:hint="eastAsia" w:ascii="仿宋_GB2312" w:hAnsi="仿宋_GB2312" w:eastAsia="仿宋_GB2312" w:cs="仿宋_GB2312"/>
          <w:color w:val="auto"/>
          <w:sz w:val="32"/>
          <w:szCs w:val="36"/>
        </w:rPr>
        <w:t>进一步健全公共体育设施安全保障机制</w:t>
      </w:r>
      <w:r>
        <w:rPr>
          <w:rFonts w:hint="eastAsia" w:ascii="仿宋_GB2312" w:hAnsi="仿宋_GB2312" w:eastAsia="仿宋_GB2312" w:cs="仿宋_GB2312"/>
          <w:color w:val="auto"/>
          <w:sz w:val="32"/>
          <w:szCs w:val="36"/>
          <w:lang w:eastAsia="zh-CN"/>
        </w:rPr>
        <w:t>，</w:t>
      </w:r>
      <w:r>
        <w:rPr>
          <w:rFonts w:hint="eastAsia" w:ascii="仿宋_GB2312" w:hAnsi="仿宋_GB2312" w:eastAsia="仿宋_GB2312" w:cs="仿宋_GB2312"/>
          <w:color w:val="auto"/>
          <w:sz w:val="32"/>
          <w:szCs w:val="36"/>
        </w:rPr>
        <w:t>我局</w:t>
      </w:r>
      <w:r>
        <w:rPr>
          <w:rFonts w:hint="eastAsia" w:ascii="仿宋_GB2312" w:hAnsi="仿宋_GB2312" w:eastAsia="仿宋_GB2312" w:cs="仿宋_GB2312"/>
          <w:color w:val="auto"/>
          <w:sz w:val="32"/>
          <w:szCs w:val="36"/>
          <w:lang w:eastAsia="zh-CN"/>
        </w:rPr>
        <w:t>拟为辖区内所</w:t>
      </w:r>
      <w:r>
        <w:rPr>
          <w:rFonts w:hint="eastAsia" w:ascii="仿宋_GB2312" w:hAnsi="仿宋_GB2312" w:eastAsia="仿宋_GB2312" w:cs="仿宋_GB2312"/>
          <w:color w:val="auto"/>
          <w:sz w:val="32"/>
          <w:szCs w:val="36"/>
        </w:rPr>
        <w:t>投建的</w:t>
      </w:r>
      <w:r>
        <w:rPr>
          <w:rFonts w:hint="eastAsia" w:ascii="仿宋_GB2312" w:hAnsi="仿宋_GB2312" w:eastAsia="仿宋_GB2312" w:cs="仿宋_GB2312"/>
          <w:color w:val="auto"/>
          <w:sz w:val="32"/>
          <w:szCs w:val="36"/>
          <w:lang w:val="en-US" w:eastAsia="zh-CN"/>
        </w:rPr>
        <w:t>660</w:t>
      </w:r>
      <w:r>
        <w:rPr>
          <w:rFonts w:hint="eastAsia" w:ascii="仿宋_GB2312" w:hAnsi="仿宋_GB2312" w:eastAsia="仿宋_GB2312" w:cs="仿宋_GB2312"/>
          <w:color w:val="auto"/>
          <w:sz w:val="32"/>
          <w:szCs w:val="36"/>
        </w:rPr>
        <w:t>处公益性体育设施购买公众责任保险，有效防范和化解公共体育设施使用过程中可能出现的安全风险，保障群众人身安全，维护政府公共服务形象，促进全民健身事业安全、有序、持续发展。</w:t>
      </w:r>
    </w:p>
    <w:p>
      <w:pPr>
        <w:tabs>
          <w:tab w:val="left" w:pos="1820"/>
        </w:tabs>
        <w:snapToGrid w:val="0"/>
        <w:spacing w:line="560" w:lineRule="exact"/>
        <w:ind w:firstLine="640" w:firstLineChars="200"/>
        <w:jc w:val="left"/>
        <w:rPr>
          <w:rFonts w:hint="eastAsia" w:ascii="黑体" w:hAnsi="黑体" w:eastAsia="黑体" w:cs="黑体"/>
          <w:bCs/>
          <w:sz w:val="32"/>
          <w:szCs w:val="32"/>
          <w:lang w:eastAsia="zh-CN"/>
        </w:rPr>
      </w:pPr>
      <w:r>
        <w:rPr>
          <w:rFonts w:hint="eastAsia" w:ascii="黑体" w:hAnsi="黑体" w:eastAsia="黑体" w:cs="黑体"/>
          <w:bCs/>
          <w:sz w:val="32"/>
          <w:szCs w:val="32"/>
        </w:rPr>
        <w:t>二、服务时</w:t>
      </w:r>
      <w:r>
        <w:rPr>
          <w:rFonts w:hint="eastAsia" w:ascii="黑体" w:hAnsi="黑体" w:eastAsia="黑体" w:cs="黑体"/>
          <w:bCs/>
          <w:sz w:val="32"/>
          <w:szCs w:val="32"/>
          <w:lang w:eastAsia="zh-CN"/>
        </w:rPr>
        <w:t>长</w:t>
      </w:r>
    </w:p>
    <w:p>
      <w:pPr>
        <w:pStyle w:val="6"/>
        <w:keepNext w:val="0"/>
        <w:keepLines w:val="0"/>
        <w:pageBreakBefore w:val="0"/>
        <w:kinsoku/>
        <w:wordWrap/>
        <w:overflowPunct/>
        <w:topLinePunct w:val="0"/>
        <w:autoSpaceDE/>
        <w:autoSpaceDN/>
        <w:bidi w:val="0"/>
        <w:spacing w:after="0" w:line="560" w:lineRule="exact"/>
        <w:ind w:left="0" w:leftChars="0" w:right="0" w:righ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1日</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31日</w:t>
      </w:r>
    </w:p>
    <w:p>
      <w:pPr>
        <w:tabs>
          <w:tab w:val="left" w:pos="1820"/>
        </w:tabs>
        <w:snapToGrid w:val="0"/>
        <w:spacing w:line="56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三、</w:t>
      </w:r>
      <w:bookmarkStart w:id="0" w:name="OLE_LINK2"/>
      <w:r>
        <w:rPr>
          <w:rFonts w:hint="eastAsia" w:ascii="黑体" w:hAnsi="黑体" w:eastAsia="黑体" w:cs="黑体"/>
          <w:bCs/>
          <w:sz w:val="32"/>
          <w:szCs w:val="32"/>
        </w:rPr>
        <w:t>项目内容及要求</w:t>
      </w:r>
      <w:bookmarkEnd w:id="0"/>
    </w:p>
    <w:p>
      <w:pPr>
        <w:spacing w:line="560" w:lineRule="exac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（一）项目内容</w:t>
      </w:r>
    </w:p>
    <w:p>
      <w:pPr>
        <w:pStyle w:val="4"/>
        <w:spacing w:after="0"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年龙华区</w:t>
      </w: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60</w:t>
      </w:r>
      <w:r>
        <w:rPr>
          <w:rFonts w:hint="eastAsia" w:ascii="仿宋_GB2312" w:hAnsi="仿宋_GB2312" w:eastAsia="仿宋_GB2312" w:cs="仿宋_GB2312"/>
          <w:sz w:val="32"/>
          <w:szCs w:val="32"/>
          <w:highlight w:val="none"/>
        </w:rPr>
        <w:t>处</w:t>
      </w:r>
      <w:r>
        <w:rPr>
          <w:rFonts w:hint="eastAsia" w:ascii="仿宋_GB2312" w:hAnsi="仿宋_GB2312" w:eastAsia="仿宋_GB2312" w:cs="仿宋_GB2312"/>
          <w:sz w:val="32"/>
          <w:szCs w:val="32"/>
        </w:rPr>
        <w:t>公益性体育设施建设点购买公益性体育设施公众责任险</w:t>
      </w:r>
      <w:r>
        <w:rPr>
          <w:rFonts w:hint="eastAsia" w:ascii="仿宋_GB2312" w:hAnsi="仿宋_GB2312" w:eastAsia="仿宋_GB2312" w:cs="仿宋_GB2312"/>
          <w:sz w:val="32"/>
          <w:szCs w:val="32"/>
          <w:lang w:eastAsia="zh-CN"/>
        </w:rPr>
        <w:t>。</w:t>
      </w:r>
    </w:p>
    <w:p>
      <w:pPr>
        <w:spacing w:line="560" w:lineRule="exac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sz w:val="32"/>
          <w:szCs w:val="32"/>
          <w:lang w:val="en-US" w:eastAsia="zh-CN"/>
        </w:rPr>
        <w:t>公众</w:t>
      </w:r>
      <w:r>
        <w:rPr>
          <w:rFonts w:hint="eastAsia" w:ascii="仿宋_GB2312" w:hAnsi="仿宋_GB2312" w:eastAsia="仿宋_GB2312" w:cs="仿宋_GB2312"/>
          <w:sz w:val="32"/>
          <w:szCs w:val="32"/>
          <w:vertAlign w:val="baseline"/>
          <w:lang w:val="en-US" w:eastAsia="zh-CN"/>
        </w:rPr>
        <w:t>每次事故赔偿限额1000万元；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kern w:val="2"/>
          <w:sz w:val="32"/>
          <w:szCs w:val="32"/>
          <w:vertAlign w:val="baseline"/>
          <w:lang w:val="en-US" w:eastAsia="zh-CN" w:bidi="ar-SA"/>
        </w:rPr>
        <w:t>2.</w:t>
      </w:r>
      <w:r>
        <w:rPr>
          <w:rFonts w:hint="eastAsia" w:ascii="仿宋_GB2312" w:hAnsi="仿宋_GB2312" w:eastAsia="仿宋_GB2312" w:cs="仿宋_GB2312"/>
          <w:sz w:val="32"/>
          <w:szCs w:val="32"/>
          <w:vertAlign w:val="baseline"/>
          <w:lang w:val="en-US" w:eastAsia="zh-CN"/>
        </w:rPr>
        <w:t>每次事故每人人身伤亡赔偿限额100万元；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vertAlign w:val="baseline"/>
          <w:lang w:val="en-US" w:eastAsia="zh-CN"/>
        </w:rPr>
        <w:t>累计赔偿限额1000万元。</w:t>
      </w:r>
    </w:p>
    <w:p>
      <w:pPr>
        <w:tabs>
          <w:tab w:val="left" w:pos="1820"/>
        </w:tabs>
        <w:snapToGrid w:val="0"/>
        <w:spacing w:line="560" w:lineRule="exact"/>
        <w:ind w:firstLine="640" w:firstLineChars="200"/>
        <w:jc w:val="left"/>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四、报价限额</w:t>
      </w:r>
    </w:p>
    <w:p>
      <w:pPr>
        <w:tabs>
          <w:tab w:val="left" w:pos="1820"/>
        </w:tabs>
        <w:snapToGrid w:val="0"/>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sz w:val="32"/>
          <w:szCs w:val="32"/>
          <w:highlight w:val="none"/>
          <w:lang w:eastAsia="zh-CN"/>
        </w:rPr>
        <w:t>项目报价表</w:t>
      </w:r>
      <w:r>
        <w:rPr>
          <w:rFonts w:hint="eastAsia" w:ascii="仿宋_GB2312" w:hAnsi="仿宋_GB2312" w:eastAsia="仿宋_GB2312" w:cs="仿宋_GB2312"/>
          <w:sz w:val="32"/>
          <w:szCs w:val="32"/>
          <w:highlight w:val="none"/>
        </w:rPr>
        <w:t>需</w:t>
      </w:r>
      <w:r>
        <w:rPr>
          <w:rFonts w:hint="eastAsia" w:ascii="仿宋_GB2312" w:hAnsi="仿宋_GB2312" w:eastAsia="仿宋_GB2312" w:cs="仿宋_GB2312"/>
          <w:sz w:val="32"/>
          <w:szCs w:val="32"/>
          <w:highlight w:val="none"/>
          <w:lang w:eastAsia="zh-CN"/>
        </w:rPr>
        <w:t>与下表</w:t>
      </w:r>
      <w:r>
        <w:rPr>
          <w:rFonts w:hint="eastAsia" w:ascii="仿宋_GB2312" w:hAnsi="仿宋_GB2312" w:eastAsia="仿宋_GB2312" w:cs="仿宋_GB2312"/>
          <w:sz w:val="32"/>
          <w:szCs w:val="32"/>
          <w:highlight w:val="none"/>
        </w:rPr>
        <w:t>保持一致</w:t>
      </w:r>
    </w:p>
    <w:tbl>
      <w:tblPr>
        <w:tblStyle w:val="11"/>
        <w:tblpPr w:leftFromText="180" w:rightFromText="180" w:vertAnchor="page" w:horzAnchor="page" w:tblpX="1625" w:tblpY="2273"/>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9"/>
        <w:gridCol w:w="6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236" w:type="pct"/>
            <w:noWrap w:val="0"/>
            <w:vAlign w:val="center"/>
          </w:tcPr>
          <w:p>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险种:</w:t>
            </w:r>
          </w:p>
        </w:tc>
        <w:tc>
          <w:tcPr>
            <w:tcW w:w="3763" w:type="pct"/>
            <w:noWrap w:val="0"/>
            <w:vAlign w:val="center"/>
          </w:tcPr>
          <w:p>
            <w:pPr>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公众责任险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36" w:type="pct"/>
            <w:noWrap w:val="0"/>
            <w:vAlign w:val="center"/>
          </w:tcPr>
          <w:p>
            <w:pPr>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被保险人：</w:t>
            </w:r>
          </w:p>
        </w:tc>
        <w:tc>
          <w:tcPr>
            <w:tcW w:w="3763" w:type="pct"/>
            <w:noWrap w:val="0"/>
            <w:vAlign w:val="center"/>
          </w:tcPr>
          <w:p>
            <w:pPr>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深圳市龙华区文化广电旅游体育局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3" w:hRule="atLeast"/>
          <w:jc w:val="center"/>
        </w:trPr>
        <w:tc>
          <w:tcPr>
            <w:tcW w:w="1236" w:type="pct"/>
            <w:noWrap w:val="0"/>
            <w:vAlign w:val="center"/>
          </w:tcPr>
          <w:p>
            <w:pPr>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保险责任：</w:t>
            </w:r>
          </w:p>
        </w:tc>
        <w:tc>
          <w:tcPr>
            <w:tcW w:w="3763" w:type="pct"/>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rPr>
              <w:t>在本保险有效期限内，被保险人在本保险单明细表中列明的地点范围内依法从</w:t>
            </w:r>
            <w:r>
              <w:rPr>
                <w:rFonts w:hint="eastAsia" w:ascii="仿宋_GB2312" w:hAnsi="仿宋_GB2312" w:eastAsia="仿宋_GB2312" w:cs="仿宋_GB2312"/>
                <w:sz w:val="28"/>
                <w:szCs w:val="28"/>
                <w:vertAlign w:val="baseline"/>
                <w:lang w:eastAsia="zh-CN"/>
              </w:rPr>
              <w:t>事生产、经营等活动以及由于意外事故造成下列损失或费用，依法应由被保险人承担的民事赔偿责任，保险人负责赔偿：</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第三者人身伤亡或财产损失；</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事先经保险人书面同意的诉讼费用；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eastAsia="zh-CN"/>
              </w:rPr>
              <w:t>发生保险责任事故后，被保险人为缩小或减少对第三者人身伤亡或财产损失的赔偿责任所支付的必要的、合理的费用。</w:t>
            </w:r>
            <w:r>
              <w:rPr>
                <w:rFonts w:hint="eastAsia" w:ascii="仿宋_GB2312" w:hAnsi="仿宋_GB2312" w:eastAsia="仿宋_GB2312" w:cs="仿宋_GB2312"/>
                <w:sz w:val="28"/>
                <w:szCs w:val="28"/>
                <w:vertAlign w:val="baseline"/>
                <w:lang w:eastAsia="zh-CN"/>
              </w:rPr>
              <w:br w:type="textWrapping"/>
            </w:r>
            <w:r>
              <w:rPr>
                <w:rFonts w:hint="eastAsia" w:ascii="仿宋_GB2312" w:hAnsi="仿宋_GB2312" w:eastAsia="仿宋_GB2312" w:cs="仿宋_GB2312"/>
                <w:sz w:val="28"/>
                <w:szCs w:val="28"/>
                <w:vertAlign w:val="baseline"/>
                <w:lang w:val="en-US" w:eastAsia="zh-CN"/>
              </w:rPr>
              <w:t xml:space="preserve">    （四）每次事故赔偿限额1000万元；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每次事故每人人身伤亡赔偿限额100万元；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val="en-US" w:eastAsia="zh-CN"/>
              </w:rPr>
              <w:t>累计赔偿限额1000万元。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3" w:hRule="atLeast"/>
          <w:jc w:val="center"/>
        </w:trPr>
        <w:tc>
          <w:tcPr>
            <w:tcW w:w="1236" w:type="pct"/>
            <w:noWrap w:val="0"/>
            <w:vAlign w:val="center"/>
          </w:tcPr>
          <w:p>
            <w:pPr>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保险期限：</w:t>
            </w:r>
          </w:p>
        </w:tc>
        <w:tc>
          <w:tcPr>
            <w:tcW w:w="3763" w:type="pct"/>
            <w:noWrap w:val="0"/>
            <w:vAlign w:val="center"/>
          </w:tcPr>
          <w:p>
            <w:pPr>
              <w:jc w:val="both"/>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1236" w:type="pct"/>
            <w:noWrap w:val="0"/>
            <w:vAlign w:val="center"/>
          </w:tcPr>
          <w:p>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年保险费：</w:t>
            </w:r>
          </w:p>
        </w:tc>
        <w:tc>
          <w:tcPr>
            <w:tcW w:w="3763" w:type="pct"/>
            <w:noWrap w:val="0"/>
            <w:vAlign w:val="center"/>
          </w:tcPr>
          <w:p>
            <w:pPr>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660个地址，每个地址约</w:t>
            </w:r>
            <w:r>
              <w:rPr>
                <w:rFonts w:hint="eastAsia" w:ascii="仿宋_GB2312" w:hAnsi="仿宋_GB2312" w:eastAsia="仿宋_GB2312" w:cs="仿宋_GB2312"/>
                <w:sz w:val="28"/>
                <w:szCs w:val="28"/>
                <w:highlight w:val="none"/>
                <w:vertAlign w:val="baseline"/>
                <w:lang w:val="en-US" w:eastAsia="zh-CN"/>
              </w:rPr>
              <w:t>439.4</w:t>
            </w:r>
            <w:r>
              <w:rPr>
                <w:rFonts w:hint="eastAsia" w:ascii="仿宋_GB2312" w:hAnsi="仿宋_GB2312" w:eastAsia="仿宋_GB2312" w:cs="仿宋_GB2312"/>
                <w:sz w:val="28"/>
                <w:szCs w:val="28"/>
                <w:vertAlign w:val="baseline"/>
                <w:lang w:val="en-US" w:eastAsia="zh-CN"/>
              </w:rPr>
              <w:t>元，总保费29万元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5000" w:type="pct"/>
            <w:gridSpan w:val="2"/>
            <w:noWrap w:val="0"/>
            <w:vAlign w:val="center"/>
          </w:tcPr>
          <w:p>
            <w:pPr>
              <w:jc w:val="both"/>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auto"/>
                <w:sz w:val="32"/>
                <w:szCs w:val="32"/>
                <w:highlight w:val="none"/>
                <w:vertAlign w:val="baseline"/>
                <w:lang w:eastAsia="zh-CN"/>
              </w:rPr>
              <w:t>投标价格（万元）：</w:t>
            </w:r>
            <w:r>
              <w:rPr>
                <w:rFonts w:hint="eastAsia" w:ascii="仿宋_GB2312" w:hAnsi="仿宋_GB2312" w:eastAsia="仿宋_GB2312" w:cs="仿宋_GB2312"/>
                <w:color w:val="auto"/>
                <w:sz w:val="32"/>
                <w:szCs w:val="32"/>
                <w:highlight w:val="none"/>
                <w:vertAlign w:val="baseline"/>
                <w:lang w:val="en-US" w:eastAsia="zh-CN"/>
              </w:rPr>
              <w:t>__（</w:t>
            </w:r>
            <w:r>
              <w:rPr>
                <w:rFonts w:hint="eastAsia" w:ascii="仿宋_GB2312" w:hAnsi="仿宋_GB2312" w:eastAsia="仿宋_GB2312" w:cs="仿宋_GB2312"/>
                <w:b/>
                <w:bCs/>
                <w:color w:val="FF0000"/>
                <w:sz w:val="32"/>
                <w:szCs w:val="32"/>
                <w:highlight w:val="none"/>
                <w:vertAlign w:val="baseline"/>
                <w:lang w:val="en-US" w:eastAsia="zh-CN"/>
              </w:rPr>
              <w:t>以万元为单位，最多保留两位小数</w:t>
            </w:r>
            <w:r>
              <w:rPr>
                <w:rFonts w:hint="eastAsia" w:ascii="仿宋_GB2312" w:hAnsi="仿宋_GB2312" w:eastAsia="仿宋_GB2312" w:cs="仿宋_GB2312"/>
                <w:color w:val="auto"/>
                <w:sz w:val="32"/>
                <w:szCs w:val="32"/>
                <w:highlight w:val="none"/>
                <w:vertAlign w:val="baseline"/>
                <w:lang w:val="en-US" w:eastAsia="zh-CN"/>
              </w:rPr>
              <w:t>）</w:t>
            </w:r>
          </w:p>
        </w:tc>
      </w:tr>
    </w:tbl>
    <w:p>
      <w:pPr>
        <w:tabs>
          <w:tab w:val="left" w:pos="1820"/>
        </w:tabs>
        <w:snapToGrid w:val="0"/>
        <w:spacing w:line="560" w:lineRule="exact"/>
        <w:ind w:firstLine="640" w:firstLineChars="200"/>
        <w:jc w:val="left"/>
        <w:rPr>
          <w:rFonts w:ascii="仿宋_GB2312" w:hAnsi="仿宋_GB2312" w:eastAsia="仿宋_GB2312" w:cs="仿宋_GB2312"/>
          <w:sz w:val="32"/>
          <w:szCs w:val="32"/>
        </w:rPr>
      </w:pPr>
      <w:r>
        <w:rPr>
          <w:rFonts w:hint="eastAsia" w:ascii="黑体" w:hAnsi="黑体" w:eastAsia="黑体" w:cs="黑体"/>
          <w:bCs/>
          <w:sz w:val="32"/>
          <w:szCs w:val="32"/>
        </w:rPr>
        <w:t>五、</w:t>
      </w:r>
      <w:r>
        <w:rPr>
          <w:rFonts w:hint="eastAsia" w:ascii="黑体" w:hAnsi="黑体" w:eastAsia="黑体" w:cs="黑体"/>
          <w:sz w:val="32"/>
          <w:szCs w:val="32"/>
        </w:rPr>
        <w:t>供应商的资质要求</w:t>
      </w:r>
    </w:p>
    <w:p>
      <w:pPr>
        <w:widowControl/>
        <w:spacing w:line="560" w:lineRule="exact"/>
        <w:ind w:firstLine="640" w:firstLineChars="200"/>
        <w:jc w:val="left"/>
        <w:rPr>
          <w:rFonts w:ascii="仿宋_GB2312" w:hAnsi="仿宋" w:cs="仿宋"/>
          <w:sz w:val="32"/>
          <w:szCs w:val="32"/>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sz w:val="32"/>
          <w:lang w:eastAsia="zh-CN"/>
        </w:rPr>
        <w:t>经营保险许可证</w:t>
      </w:r>
      <w:r>
        <w:rPr>
          <w:rFonts w:hint="eastAsia" w:ascii="仿宋_GB2312" w:hAnsi="仿宋" w:eastAsia="仿宋_GB2312" w:cs="仿宋"/>
          <w:color w:val="auto"/>
          <w:sz w:val="32"/>
          <w:szCs w:val="32"/>
          <w:highlight w:val="none"/>
        </w:rPr>
        <w:t>等扫描件）总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3"/>
        <w:spacing w:line="560" w:lineRule="exact"/>
        <w:ind w:firstLine="640"/>
        <w:jc w:val="left"/>
        <w:rPr>
          <w:rFonts w:hint="eastAsia" w:ascii="仿宋_GB2312" w:hAnsi="仿宋" w:eastAsia="仿宋_GB2312" w:cs="仿宋"/>
          <w:sz w:val="32"/>
          <w:szCs w:val="32"/>
          <w:lang w:eastAsia="zh-CN"/>
        </w:rPr>
      </w:pPr>
      <w:r>
        <w:rPr>
          <w:rFonts w:hint="eastAsia" w:ascii="仿宋_GB2312" w:hAnsi="仿宋" w:cs="仿宋"/>
          <w:sz w:val="32"/>
          <w:szCs w:val="32"/>
        </w:rPr>
        <w:t>（二）参与本项目投标近三年内（供应商成立不足三年的可从成立之日起算），在经营活动中没有重大违法记录以及不存在被有关部门禁止参与政府采购活动且在有效期内的情况</w:t>
      </w:r>
      <w:r>
        <w:rPr>
          <w:rFonts w:hint="eastAsia" w:ascii="仿宋_GB2312" w:hAnsi="仿宋" w:cs="仿宋"/>
          <w:sz w:val="32"/>
          <w:szCs w:val="32"/>
          <w:lang w:eastAsia="zh-CN"/>
        </w:rPr>
        <w:t>；</w:t>
      </w:r>
    </w:p>
    <w:p>
      <w:pPr>
        <w:pStyle w:val="13"/>
        <w:spacing w:line="560" w:lineRule="exact"/>
        <w:ind w:firstLine="640"/>
        <w:jc w:val="left"/>
        <w:rPr>
          <w:rFonts w:hint="eastAsia" w:ascii="仿宋_GB2312" w:hAnsi="仿宋" w:eastAsia="仿宋_GB2312" w:cs="仿宋"/>
          <w:sz w:val="32"/>
          <w:szCs w:val="32"/>
          <w:lang w:eastAsia="zh-CN"/>
        </w:rPr>
      </w:pPr>
      <w:r>
        <w:rPr>
          <w:rFonts w:hint="eastAsia" w:ascii="仿宋_GB2312" w:hAnsi="仿宋" w:cs="仿宋"/>
          <w:sz w:val="32"/>
          <w:szCs w:val="32"/>
        </w:rPr>
        <w:t>（三）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同时参加本项目的采购活动</w:t>
      </w:r>
      <w:r>
        <w:rPr>
          <w:rFonts w:hint="eastAsia" w:ascii="仿宋_GB2312" w:hAnsi="仿宋" w:cs="仿宋"/>
          <w:sz w:val="32"/>
          <w:szCs w:val="32"/>
          <w:lang w:eastAsia="zh-CN"/>
        </w:rPr>
        <w:t>。</w:t>
      </w:r>
    </w:p>
    <w:p>
      <w:pPr>
        <w:spacing w:line="560" w:lineRule="exact"/>
        <w:ind w:firstLine="640" w:firstLineChars="200"/>
        <w:jc w:val="left"/>
        <w:rPr>
          <w:rFonts w:ascii="黑体" w:hAnsi="黑体" w:eastAsia="黑体" w:cs="黑体"/>
          <w:color w:val="auto"/>
          <w:sz w:val="32"/>
          <w:szCs w:val="32"/>
        </w:rPr>
      </w:pPr>
      <w:r>
        <w:rPr>
          <w:rFonts w:hint="eastAsia" w:ascii="黑体" w:hAnsi="黑体" w:eastAsia="黑体" w:cs="黑体"/>
          <w:color w:val="auto"/>
          <w:sz w:val="32"/>
          <w:szCs w:val="32"/>
        </w:rPr>
        <w:t>六、选定供应商方法</w:t>
      </w:r>
    </w:p>
    <w:p>
      <w:pPr>
        <w:spacing w:line="560" w:lineRule="exact"/>
        <w:ind w:firstLine="640" w:firstLineChars="200"/>
        <w:jc w:val="left"/>
        <w:rPr>
          <w:rFonts w:hint="eastAsia" w:ascii="仿宋_GB2312" w:hAnsi="仿宋" w:eastAsia="仿宋_GB2312"/>
          <w:sz w:val="32"/>
        </w:rPr>
      </w:pPr>
      <w:r>
        <w:rPr>
          <w:rFonts w:hint="eastAsia" w:ascii="仿宋_GB2312" w:hAnsi="仿宋" w:eastAsia="仿宋_GB2312"/>
          <w:sz w:val="32"/>
        </w:rPr>
        <w:t>综合评分法</w:t>
      </w:r>
    </w:p>
    <w:p>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七、评分要求</w:t>
      </w:r>
    </w:p>
    <w:p>
      <w:pPr>
        <w:pStyle w:val="15"/>
        <w:spacing w:line="560" w:lineRule="exact"/>
        <w:ind w:firstLine="640" w:firstLineChars="200"/>
        <w:rPr>
          <w:rFonts w:ascii="楷体_GB2312" w:hAnsi="楷体_GB2312" w:eastAsia="楷体_GB2312" w:cs="楷体_GB2312"/>
          <w:b w:val="0"/>
          <w:bCs/>
          <w:color w:val="000000"/>
          <w:sz w:val="32"/>
          <w:szCs w:val="32"/>
        </w:rPr>
      </w:pPr>
      <w:r>
        <w:rPr>
          <w:rFonts w:hint="eastAsia" w:ascii="楷体_GB2312" w:hAnsi="楷体_GB2312" w:eastAsia="楷体_GB2312" w:cs="楷体_GB2312"/>
          <w:b w:val="0"/>
          <w:bCs/>
          <w:color w:val="000000"/>
          <w:sz w:val="32"/>
          <w:szCs w:val="32"/>
        </w:rPr>
        <w:t>（一）评分规则</w:t>
      </w:r>
    </w:p>
    <w:p>
      <w:pPr>
        <w:spacing w:line="560" w:lineRule="exact"/>
        <w:ind w:firstLine="640" w:firstLineChars="200"/>
        <w:jc w:val="left"/>
        <w:rPr>
          <w:rFonts w:ascii="楷体_GB2312" w:hAnsi="楷体_GB2312" w:eastAsia="楷体_GB2312" w:cs="楷体_GB2312"/>
          <w:bCs/>
          <w:color w:val="000000"/>
          <w:sz w:val="32"/>
          <w:szCs w:val="32"/>
        </w:rPr>
      </w:pPr>
      <w:r>
        <w:rPr>
          <w:rFonts w:hint="eastAsia" w:ascii="仿宋_GB2312" w:eastAsia="仿宋_GB2312"/>
          <w:color w:val="000000"/>
          <w:sz w:val="32"/>
          <w:szCs w:val="32"/>
        </w:rPr>
        <w:t>采取综合评分标准，平均分最高的投标人为本项目中标人。</w:t>
      </w:r>
    </w:p>
    <w:p>
      <w:pPr>
        <w:pStyle w:val="15"/>
        <w:spacing w:line="560" w:lineRule="exact"/>
        <w:ind w:firstLine="640" w:firstLineChars="200"/>
        <w:rPr>
          <w:rFonts w:ascii="楷体_GB2312" w:hAnsi="楷体_GB2312" w:eastAsia="楷体_GB2312" w:cs="楷体_GB2312"/>
          <w:b w:val="0"/>
          <w:bCs/>
          <w:color w:val="000000"/>
          <w:sz w:val="32"/>
          <w:szCs w:val="32"/>
        </w:rPr>
      </w:pPr>
      <w:r>
        <w:rPr>
          <w:rFonts w:hint="eastAsia" w:ascii="楷体_GB2312" w:hAnsi="楷体_GB2312" w:eastAsia="楷体_GB2312" w:cs="楷体_GB2312"/>
          <w:b w:val="0"/>
          <w:bCs/>
          <w:color w:val="000000"/>
          <w:sz w:val="32"/>
          <w:szCs w:val="32"/>
        </w:rPr>
        <w:t>（二）评分权重</w:t>
      </w:r>
    </w:p>
    <w:tbl>
      <w:tblPr>
        <w:tblStyle w:val="10"/>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center"/>
          </w:tcPr>
          <w:p>
            <w:pPr>
              <w:pStyle w:val="15"/>
              <w:spacing w:line="560" w:lineRule="exact"/>
              <w:jc w:val="center"/>
              <w:rPr>
                <w:rFonts w:ascii="仿宋_GB2312" w:hAnsi="仿宋_GB2312" w:eastAsia="仿宋_GB2312" w:cs="仿宋_GB2312"/>
                <w:b w:val="0"/>
                <w:bCs/>
                <w:szCs w:val="24"/>
              </w:rPr>
            </w:pPr>
            <w:r>
              <w:rPr>
                <w:rFonts w:hint="eastAsia" w:ascii="仿宋_GB2312" w:hAnsi="仿宋_GB2312" w:eastAsia="仿宋_GB2312" w:cs="仿宋_GB2312"/>
                <w:b w:val="0"/>
                <w:bCs/>
                <w:szCs w:val="24"/>
              </w:rPr>
              <w:t>评分内容</w:t>
            </w:r>
          </w:p>
        </w:tc>
        <w:tc>
          <w:tcPr>
            <w:tcW w:w="2089" w:type="dxa"/>
            <w:tcBorders>
              <w:top w:val="single" w:color="auto" w:sz="4" w:space="0"/>
              <w:left w:val="single" w:color="auto" w:sz="4" w:space="0"/>
              <w:bottom w:val="single" w:color="auto" w:sz="4" w:space="0"/>
              <w:right w:val="single" w:color="auto" w:sz="4" w:space="0"/>
            </w:tcBorders>
            <w:noWrap w:val="0"/>
            <w:vAlign w:val="center"/>
          </w:tcPr>
          <w:p>
            <w:pPr>
              <w:pStyle w:val="15"/>
              <w:spacing w:line="560" w:lineRule="exact"/>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Cs w:val="24"/>
              </w:rPr>
              <w:t>报价</w:t>
            </w:r>
          </w:p>
        </w:tc>
        <w:tc>
          <w:tcPr>
            <w:tcW w:w="2089" w:type="dxa"/>
            <w:tcBorders>
              <w:top w:val="single" w:color="auto" w:sz="4" w:space="0"/>
              <w:left w:val="single" w:color="auto" w:sz="4" w:space="0"/>
              <w:bottom w:val="single" w:color="auto" w:sz="4" w:space="0"/>
              <w:right w:val="single" w:color="auto" w:sz="4" w:space="0"/>
            </w:tcBorders>
            <w:noWrap w:val="0"/>
            <w:vAlign w:val="center"/>
          </w:tcPr>
          <w:p>
            <w:pPr>
              <w:pStyle w:val="15"/>
              <w:spacing w:line="560" w:lineRule="exact"/>
              <w:jc w:val="center"/>
              <w:rPr>
                <w:rFonts w:hint="eastAsia" w:ascii="仿宋_GB2312" w:hAnsi="仿宋_GB2312" w:eastAsia="仿宋_GB2312" w:cs="仿宋_GB2312"/>
                <w:b w:val="0"/>
                <w:bCs/>
                <w:szCs w:val="24"/>
              </w:rPr>
            </w:pPr>
            <w:r>
              <w:rPr>
                <w:rFonts w:hint="eastAsia" w:ascii="仿宋_GB2312" w:hAnsi="仿宋_GB2312" w:eastAsia="仿宋_GB2312" w:cs="仿宋_GB2312"/>
                <w:b w:val="0"/>
                <w:bCs/>
                <w:szCs w:val="24"/>
              </w:rPr>
              <w:t>商务部分</w:t>
            </w:r>
          </w:p>
        </w:tc>
        <w:tc>
          <w:tcPr>
            <w:tcW w:w="2089" w:type="dxa"/>
            <w:tcBorders>
              <w:top w:val="single" w:color="auto" w:sz="4" w:space="0"/>
              <w:left w:val="single" w:color="auto" w:sz="4" w:space="0"/>
              <w:bottom w:val="single" w:color="auto" w:sz="4" w:space="0"/>
              <w:right w:val="single" w:color="auto" w:sz="4" w:space="0"/>
            </w:tcBorders>
            <w:noWrap w:val="0"/>
            <w:vAlign w:val="center"/>
          </w:tcPr>
          <w:p>
            <w:pPr>
              <w:pStyle w:val="15"/>
              <w:spacing w:line="560" w:lineRule="exact"/>
              <w:jc w:val="center"/>
              <w:rPr>
                <w:rFonts w:hint="eastAsia" w:ascii="仿宋_GB2312" w:hAnsi="仿宋_GB2312" w:eastAsia="仿宋_GB2312" w:cs="仿宋_GB2312"/>
                <w:b w:val="0"/>
                <w:bCs/>
                <w:szCs w:val="24"/>
              </w:rPr>
            </w:pPr>
            <w:r>
              <w:rPr>
                <w:rFonts w:hint="eastAsia" w:ascii="仿宋_GB2312" w:hAnsi="仿宋_GB2312" w:eastAsia="仿宋_GB2312" w:cs="仿宋_GB2312"/>
                <w:b w:val="0"/>
                <w:bCs/>
                <w:szCs w:val="24"/>
              </w:rPr>
              <w:t>技术部分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5"/>
              <w:spacing w:line="560" w:lineRule="exact"/>
              <w:jc w:val="center"/>
              <w:rPr>
                <w:rFonts w:ascii="仿宋_GB2312" w:hAnsi="仿宋_GB2312" w:eastAsia="仿宋_GB2312" w:cs="仿宋_GB2312"/>
                <w:b w:val="0"/>
                <w:bCs/>
                <w:szCs w:val="24"/>
              </w:rPr>
            </w:pPr>
            <w:r>
              <w:rPr>
                <w:rFonts w:hint="eastAsia" w:ascii="仿宋_GB2312" w:hAnsi="仿宋_GB2312" w:eastAsia="仿宋_GB2312" w:cs="仿宋_GB2312"/>
                <w:b w:val="0"/>
                <w:bCs/>
                <w:szCs w:val="24"/>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5"/>
              <w:spacing w:line="560" w:lineRule="exact"/>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Cs w:val="24"/>
                <w:lang w:val="en-US" w:eastAsia="zh-CN"/>
              </w:rPr>
              <w:t>30</w:t>
            </w:r>
            <w:r>
              <w:rPr>
                <w:rFonts w:hint="eastAsia" w:ascii="仿宋_GB2312" w:hAnsi="仿宋_GB2312" w:eastAsia="仿宋_GB2312" w:cs="仿宋_GB2312"/>
                <w:b w:val="0"/>
                <w:bCs/>
                <w:szCs w:val="24"/>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5"/>
              <w:spacing w:line="560" w:lineRule="exact"/>
              <w:jc w:val="center"/>
              <w:rPr>
                <w:rFonts w:ascii="仿宋_GB2312" w:hAnsi="仿宋_GB2312" w:eastAsia="仿宋_GB2312" w:cs="仿宋_GB2312"/>
                <w:b w:val="0"/>
                <w:bCs/>
                <w:szCs w:val="24"/>
              </w:rPr>
            </w:pPr>
            <w:r>
              <w:rPr>
                <w:rFonts w:hint="eastAsia" w:ascii="仿宋_GB2312" w:hAnsi="仿宋_GB2312" w:eastAsia="仿宋_GB2312" w:cs="仿宋_GB2312"/>
                <w:b w:val="0"/>
                <w:bCs/>
                <w:szCs w:val="24"/>
                <w:lang w:val="en-US" w:eastAsia="zh-CN"/>
              </w:rPr>
              <w:t>20</w:t>
            </w:r>
            <w:r>
              <w:rPr>
                <w:rFonts w:hint="eastAsia" w:ascii="仿宋_GB2312" w:hAnsi="仿宋_GB2312" w:eastAsia="仿宋_GB2312" w:cs="仿宋_GB2312"/>
                <w:b w:val="0"/>
                <w:bCs/>
                <w:szCs w:val="24"/>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5"/>
              <w:spacing w:line="560" w:lineRule="exact"/>
              <w:jc w:val="center"/>
              <w:rPr>
                <w:rFonts w:ascii="仿宋_GB2312" w:hAnsi="仿宋_GB2312" w:eastAsia="仿宋_GB2312" w:cs="仿宋_GB2312"/>
                <w:b w:val="0"/>
                <w:bCs/>
                <w:szCs w:val="24"/>
              </w:rPr>
            </w:pPr>
            <w:r>
              <w:rPr>
                <w:rFonts w:hint="eastAsia" w:ascii="仿宋_GB2312" w:hAnsi="仿宋_GB2312" w:eastAsia="仿宋_GB2312" w:cs="仿宋_GB2312"/>
                <w:b w:val="0"/>
                <w:bCs/>
                <w:szCs w:val="24"/>
                <w:lang w:val="en-US" w:eastAsia="zh-CN"/>
              </w:rPr>
              <w:t>50</w:t>
            </w:r>
            <w:r>
              <w:rPr>
                <w:rFonts w:hint="eastAsia" w:ascii="仿宋_GB2312" w:hAnsi="仿宋_GB2312" w:eastAsia="仿宋_GB2312" w:cs="仿宋_GB2312"/>
                <w:b w:val="0"/>
                <w:bCs/>
                <w:szCs w:val="24"/>
              </w:rPr>
              <w:t>分</w:t>
            </w:r>
          </w:p>
        </w:tc>
      </w:tr>
    </w:tbl>
    <w:p>
      <w:pPr>
        <w:pStyle w:val="15"/>
        <w:spacing w:line="560" w:lineRule="exact"/>
        <w:ind w:firstLine="640" w:firstLineChars="200"/>
        <w:rPr>
          <w:rFonts w:ascii="仿宋_GB2312" w:eastAsia="仿宋_GB2312"/>
          <w:sz w:val="32"/>
          <w:szCs w:val="32"/>
        </w:rPr>
      </w:pPr>
      <w:r>
        <w:rPr>
          <w:rFonts w:hint="eastAsia" w:ascii="楷体_GB2312" w:hAnsi="楷体_GB2312" w:eastAsia="楷体_GB2312" w:cs="楷体_GB2312"/>
          <w:b w:val="0"/>
          <w:bCs/>
          <w:color w:val="000000"/>
          <w:sz w:val="32"/>
          <w:szCs w:val="32"/>
        </w:rPr>
        <w:t>（三）评分标准</w:t>
      </w:r>
    </w:p>
    <w:tbl>
      <w:tblPr>
        <w:tblStyle w:val="10"/>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92"/>
        <w:gridCol w:w="6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31" w:type="dxa"/>
            <w:gridSpan w:val="3"/>
            <w:noWrap w:val="0"/>
            <w:vAlign w:val="center"/>
          </w:tcPr>
          <w:p>
            <w:pPr>
              <w:spacing w:line="560" w:lineRule="exact"/>
              <w:jc w:val="left"/>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Merge w:val="restart"/>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报价</w:t>
            </w:r>
          </w:p>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30</w:t>
            </w:r>
            <w:r>
              <w:rPr>
                <w:rFonts w:hint="eastAsia" w:ascii="仿宋_GB2312" w:hAnsi="仿宋_GB2312" w:eastAsia="仿宋_GB2312" w:cs="仿宋_GB2312"/>
                <w:sz w:val="24"/>
              </w:rPr>
              <w:t>分）</w:t>
            </w:r>
          </w:p>
        </w:tc>
        <w:tc>
          <w:tcPr>
            <w:tcW w:w="1292" w:type="dxa"/>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评分因素</w:t>
            </w:r>
          </w:p>
        </w:tc>
        <w:tc>
          <w:tcPr>
            <w:tcW w:w="6351" w:type="dxa"/>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vMerge w:val="continue"/>
            <w:noWrap w:val="0"/>
            <w:vAlign w:val="top"/>
          </w:tcPr>
          <w:p>
            <w:pPr>
              <w:spacing w:line="560" w:lineRule="exact"/>
              <w:jc w:val="left"/>
              <w:rPr>
                <w:rFonts w:hint="eastAsia" w:ascii="仿宋_GB2312" w:hAnsi="仿宋_GB2312" w:eastAsia="仿宋_GB2312" w:cs="仿宋_GB2312"/>
                <w:sz w:val="24"/>
              </w:rPr>
            </w:pPr>
          </w:p>
        </w:tc>
        <w:tc>
          <w:tcPr>
            <w:tcW w:w="1292" w:type="dxa"/>
            <w:noWrap w:val="0"/>
            <w:vAlign w:val="center"/>
          </w:tcPr>
          <w:p>
            <w:p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价格</w:t>
            </w:r>
          </w:p>
        </w:tc>
        <w:tc>
          <w:tcPr>
            <w:tcW w:w="6351" w:type="dxa"/>
            <w:noWrap w:val="0"/>
            <w:vAlign w:val="center"/>
          </w:tcPr>
          <w:p>
            <w:p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以本次报价或投标人所报的有效报价中的最低价作为基准报价。投标人报价得分=（基准价/投标人报价）*</w:t>
            </w:r>
            <w:r>
              <w:rPr>
                <w:rFonts w:hint="eastAsia" w:ascii="仿宋_GB2312" w:hAnsi="仿宋_GB2312" w:eastAsia="仿宋_GB2312" w:cs="仿宋_GB2312"/>
                <w:sz w:val="24"/>
                <w:lang w:val="en-US" w:eastAsia="zh-CN"/>
              </w:rPr>
              <w:t>30</w:t>
            </w:r>
            <w:r>
              <w:rPr>
                <w:rFonts w:hint="eastAsia" w:ascii="仿宋_GB2312" w:hAnsi="仿宋_GB2312" w:eastAsia="仿宋_GB2312" w:cs="仿宋_GB2312"/>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Merge w:val="restart"/>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商务</w:t>
            </w:r>
          </w:p>
          <w:p>
            <w:pPr>
              <w:pStyle w:val="4"/>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部分</w:t>
            </w:r>
          </w:p>
          <w:p>
            <w:pPr>
              <w:pStyle w:val="4"/>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20</w:t>
            </w:r>
            <w:r>
              <w:rPr>
                <w:rFonts w:hint="eastAsia" w:ascii="仿宋_GB2312" w:hAnsi="仿宋_GB2312" w:eastAsia="仿宋_GB2312" w:cs="仿宋_GB2312"/>
                <w:sz w:val="24"/>
              </w:rPr>
              <w:t>分）</w:t>
            </w:r>
          </w:p>
        </w:tc>
        <w:tc>
          <w:tcPr>
            <w:tcW w:w="1292" w:type="dxa"/>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评分因素</w:t>
            </w:r>
          </w:p>
        </w:tc>
        <w:tc>
          <w:tcPr>
            <w:tcW w:w="6351" w:type="dxa"/>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vMerge w:val="continue"/>
            <w:noWrap w:val="0"/>
            <w:vAlign w:val="top"/>
          </w:tcPr>
          <w:p>
            <w:pPr>
              <w:spacing w:line="560" w:lineRule="exact"/>
              <w:jc w:val="left"/>
              <w:rPr>
                <w:rFonts w:hint="eastAsia" w:ascii="仿宋_GB2312" w:hAnsi="仿宋_GB2312" w:eastAsia="仿宋_GB2312" w:cs="仿宋_GB2312"/>
                <w:sz w:val="24"/>
              </w:rPr>
            </w:pPr>
          </w:p>
        </w:tc>
        <w:tc>
          <w:tcPr>
            <w:tcW w:w="1292" w:type="dxa"/>
            <w:noWrap w:val="0"/>
            <w:vAlign w:val="center"/>
          </w:tcPr>
          <w:p>
            <w:p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同类项目经验（10分）</w:t>
            </w:r>
          </w:p>
        </w:tc>
        <w:tc>
          <w:tcPr>
            <w:tcW w:w="6351" w:type="dxa"/>
            <w:noWrap w:val="0"/>
            <w:vAlign w:val="center"/>
          </w:tcPr>
          <w:p>
            <w:pPr>
              <w:numPr>
                <w:ilvl w:val="-1"/>
                <w:numId w:val="0"/>
              </w:numPr>
              <w:topLinePunct/>
              <w:snapToGrid w:val="0"/>
              <w:spacing w:line="560" w:lineRule="exact"/>
              <w:jc w:val="both"/>
              <w:rPr>
                <w:rFonts w:hint="eastAsia" w:ascii="仿宋_GB2312" w:hAnsi="仿宋_GB2312" w:eastAsia="仿宋_GB2312" w:cs="仿宋_GB2312"/>
                <w:b w:val="0"/>
                <w:bCs w:val="0"/>
                <w:sz w:val="24"/>
                <w:highlight w:val="none"/>
              </w:rPr>
            </w:pPr>
            <w:r>
              <w:rPr>
                <w:rFonts w:hint="eastAsia" w:ascii="仿宋_GB2312" w:hAnsi="仿宋_GB2312" w:eastAsia="仿宋_GB2312" w:cs="仿宋_GB2312"/>
                <w:b/>
                <w:bCs/>
                <w:sz w:val="24"/>
                <w:highlight w:val="none"/>
              </w:rPr>
              <w:t>（</w:t>
            </w:r>
            <w:r>
              <w:rPr>
                <w:rFonts w:hint="eastAsia" w:ascii="仿宋_GB2312" w:hAnsi="仿宋_GB2312" w:eastAsia="仿宋_GB2312" w:cs="仿宋_GB2312"/>
                <w:b/>
                <w:bCs/>
                <w:sz w:val="24"/>
                <w:highlight w:val="none"/>
                <w:lang w:eastAsia="zh-CN"/>
              </w:rPr>
              <w:t>一</w:t>
            </w:r>
            <w:r>
              <w:rPr>
                <w:rFonts w:hint="eastAsia" w:ascii="仿宋_GB2312" w:hAnsi="仿宋_GB2312" w:eastAsia="仿宋_GB2312" w:cs="仿宋_GB2312"/>
                <w:b/>
                <w:bCs/>
                <w:sz w:val="24"/>
                <w:highlight w:val="none"/>
              </w:rPr>
              <w:t>）评审内容</w:t>
            </w:r>
            <w:r>
              <w:rPr>
                <w:rFonts w:hint="eastAsia" w:ascii="仿宋_GB2312" w:hAnsi="仿宋_GB2312" w:eastAsia="仿宋_GB2312" w:cs="仿宋_GB2312"/>
                <w:b/>
                <w:bCs/>
                <w:sz w:val="24"/>
                <w:highlight w:val="none"/>
                <w:lang w:eastAsia="zh-CN"/>
              </w:rPr>
              <w:t>：</w:t>
            </w:r>
            <w:r>
              <w:rPr>
                <w:rFonts w:hint="eastAsia" w:ascii="仿宋_GB2312" w:hAnsi="仿宋_GB2312" w:eastAsia="仿宋_GB2312" w:cs="仿宋_GB2312"/>
                <w:b w:val="0"/>
                <w:bCs w:val="0"/>
                <w:sz w:val="24"/>
                <w:highlight w:val="none"/>
              </w:rPr>
              <w:br w:type="textWrapping"/>
            </w:r>
            <w:r>
              <w:rPr>
                <w:rFonts w:hint="eastAsia" w:ascii="仿宋_GB2312" w:hAnsi="仿宋_GB2312" w:eastAsia="仿宋_GB2312" w:cs="仿宋_GB2312"/>
                <w:sz w:val="24"/>
              </w:rPr>
              <w:t>投标人自202</w:t>
            </w: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年1月1日至本项目投标截止日（以合同签订日期为准），每提供一项包含公园、体育设施或其他公共场所责任险类项目的同类项目业绩得5分，最高得10分。</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sz w:val="24"/>
                <w:highlight w:val="none"/>
              </w:rPr>
              <w:t>（二）</w:t>
            </w:r>
            <w:r>
              <w:rPr>
                <w:rFonts w:hint="eastAsia" w:ascii="仿宋_GB2312" w:hAnsi="仿宋_GB2312" w:eastAsia="仿宋_GB2312" w:cs="仿宋_GB2312"/>
                <w:b/>
                <w:bCs/>
                <w:sz w:val="24"/>
                <w:highlight w:val="none"/>
                <w:lang w:eastAsia="zh-CN"/>
              </w:rPr>
              <w:t>评审</w:t>
            </w:r>
            <w:r>
              <w:rPr>
                <w:rFonts w:hint="eastAsia" w:ascii="仿宋_GB2312" w:hAnsi="仿宋_GB2312" w:eastAsia="仿宋_GB2312" w:cs="仿宋_GB2312"/>
                <w:b/>
                <w:bCs/>
                <w:sz w:val="24"/>
                <w:highlight w:val="none"/>
              </w:rPr>
              <w:t>依据：</w:t>
            </w:r>
            <w:r>
              <w:rPr>
                <w:rFonts w:hint="eastAsia" w:ascii="仿宋_GB2312" w:hAnsi="仿宋_GB2312" w:eastAsia="仿宋_GB2312" w:cs="仿宋_GB2312"/>
                <w:sz w:val="24"/>
              </w:rPr>
              <w:br w:type="textWrapping"/>
            </w: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每项业绩按以下要求提供完整准确的证明文件，一个合同计算一个业绩，一年一签的续签合同只计算一个业绩：</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合同关键页（关键信息包括但不仅限于合同的项目名称、服务内容、合同服务的起止时间、合同双方的盖章、签订日期等）；</w:t>
            </w:r>
          </w:p>
          <w:p>
            <w:pPr>
              <w:topLinePunct/>
              <w:snapToGrid w:val="0"/>
              <w:spacing w:line="560" w:lineRule="exact"/>
              <w:jc w:val="both"/>
              <w:rPr>
                <w:rFonts w:hint="eastAsia" w:ascii="仿宋_GB2312" w:hAnsi="仿宋_GB2312" w:eastAsia="仿宋_GB2312" w:cs="仿宋_GB2312"/>
                <w:sz w:val="24"/>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788" w:type="dxa"/>
            <w:vMerge w:val="continue"/>
            <w:noWrap w:val="0"/>
            <w:vAlign w:val="top"/>
          </w:tcPr>
          <w:p>
            <w:pPr>
              <w:spacing w:line="560" w:lineRule="exact"/>
              <w:jc w:val="left"/>
              <w:rPr>
                <w:rFonts w:hint="eastAsia" w:ascii="仿宋_GB2312" w:hAnsi="仿宋_GB2312" w:eastAsia="仿宋_GB2312" w:cs="仿宋_GB2312"/>
                <w:sz w:val="24"/>
              </w:rPr>
            </w:pPr>
          </w:p>
        </w:tc>
        <w:tc>
          <w:tcPr>
            <w:tcW w:w="1292" w:type="dxa"/>
            <w:noWrap w:val="0"/>
            <w:vAlign w:val="center"/>
          </w:tcPr>
          <w:p>
            <w:r>
              <w:rPr>
                <w:rFonts w:hint="eastAsia" w:ascii="仿宋_GB2312" w:hAnsi="仿宋_GB2312" w:eastAsia="仿宋_GB2312" w:cs="仿宋_GB2312"/>
                <w:sz w:val="24"/>
                <w:highlight w:val="none"/>
              </w:rPr>
              <w:t>拟安排项目</w:t>
            </w:r>
            <w:r>
              <w:rPr>
                <w:rFonts w:hint="eastAsia" w:ascii="仿宋_GB2312" w:hAnsi="仿宋_GB2312" w:eastAsia="仿宋_GB2312" w:cs="仿宋_GB2312"/>
                <w:sz w:val="24"/>
                <w:highlight w:val="none"/>
                <w:lang w:eastAsia="zh-CN"/>
              </w:rPr>
              <w:t>负责人</w:t>
            </w:r>
          </w:p>
          <w:p>
            <w:pPr>
              <w:topLinePunct/>
              <w:snapToGrid w:val="0"/>
              <w:spacing w:line="560" w:lineRule="exact"/>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5</w:t>
            </w:r>
            <w:r>
              <w:rPr>
                <w:rFonts w:hint="eastAsia" w:ascii="仿宋_GB2312" w:hAnsi="仿宋_GB2312" w:eastAsia="仿宋_GB2312" w:cs="仿宋_GB2312"/>
                <w:sz w:val="24"/>
                <w:highlight w:val="none"/>
              </w:rPr>
              <w:t>分）</w:t>
            </w:r>
          </w:p>
        </w:tc>
        <w:tc>
          <w:tcPr>
            <w:tcW w:w="6351" w:type="dxa"/>
            <w:noWrap w:val="0"/>
            <w:vAlign w:val="top"/>
          </w:tcPr>
          <w:p>
            <w:pPr>
              <w:numPr>
                <w:ilvl w:val="0"/>
                <w:numId w:val="2"/>
              </w:numPr>
              <w:topLinePunct/>
              <w:snapToGrid w:val="0"/>
              <w:spacing w:line="560" w:lineRule="exact"/>
              <w:jc w:val="both"/>
              <w:rPr>
                <w:rFonts w:hint="eastAsia" w:ascii="仿宋_GB2312" w:hAnsi="仿宋_GB2312" w:eastAsia="仿宋_GB2312" w:cs="仿宋_GB2312"/>
                <w:b/>
                <w:bCs/>
                <w:sz w:val="24"/>
              </w:rPr>
            </w:pPr>
            <w:r>
              <w:rPr>
                <w:rFonts w:hint="eastAsia" w:ascii="仿宋_GB2312" w:hAnsi="仿宋_GB2312" w:eastAsia="仿宋_GB2312" w:cs="仿宋_GB2312"/>
                <w:b/>
                <w:bCs/>
                <w:sz w:val="24"/>
              </w:rPr>
              <w:t>评审内容：</w:t>
            </w:r>
          </w:p>
          <w:p>
            <w:pPr>
              <w:widowControl w:val="0"/>
              <w:topLinePunct/>
              <w:snapToGrid/>
              <w:spacing w:line="40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拟安排的项目负责人情况：</w:t>
            </w:r>
          </w:p>
          <w:p>
            <w:pPr>
              <w:widowControl w:val="0"/>
              <w:topLinePunct/>
              <w:snapToGrid/>
              <w:spacing w:line="40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w:t>
            </w:r>
            <w:r>
              <w:rPr>
                <w:rFonts w:hint="eastAsia" w:ascii="仿宋_GB2312" w:hAnsi="仿宋_GB2312" w:eastAsia="仿宋_GB2312" w:cs="仿宋_GB2312"/>
                <w:color w:val="auto"/>
                <w:sz w:val="24"/>
                <w:highlight w:val="none"/>
              </w:rPr>
              <w:t>法律</w:t>
            </w:r>
            <w:r>
              <w:rPr>
                <w:rFonts w:hint="eastAsia" w:ascii="仿宋_GB2312" w:hAnsi="仿宋_GB2312" w:eastAsia="仿宋_GB2312" w:cs="仿宋_GB2312"/>
                <w:color w:val="auto"/>
                <w:sz w:val="24"/>
                <w:highlight w:val="none"/>
                <w:lang w:eastAsia="zh-CN"/>
              </w:rPr>
              <w:t>或金融类相关</w:t>
            </w:r>
            <w:r>
              <w:rPr>
                <w:rFonts w:hint="eastAsia" w:ascii="仿宋_GB2312" w:hAnsi="仿宋_GB2312" w:eastAsia="仿宋_GB2312" w:cs="仿宋_GB2312"/>
                <w:color w:val="auto"/>
                <w:sz w:val="24"/>
                <w:szCs w:val="24"/>
                <w:highlight w:val="none"/>
                <w:lang w:val="en-US" w:eastAsia="zh-CN"/>
              </w:rPr>
              <w:t>专业</w:t>
            </w:r>
            <w:r>
              <w:rPr>
                <w:rFonts w:hint="eastAsia" w:ascii="仿宋_GB2312" w:hAnsi="仿宋_GB2312" w:eastAsia="仿宋_GB2312" w:cs="仿宋_GB2312"/>
                <w:color w:val="auto"/>
                <w:sz w:val="24"/>
                <w:szCs w:val="24"/>
                <w:highlight w:val="none"/>
                <w:lang w:eastAsia="zh-CN"/>
              </w:rPr>
              <w:t>本科（或以上）学历的，得</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lang w:eastAsia="zh-CN"/>
              </w:rPr>
              <w:t>分。</w:t>
            </w:r>
          </w:p>
          <w:p>
            <w:pPr>
              <w:widowControl w:val="0"/>
              <w:topLinePunct/>
              <w:snapToGrid/>
              <w:spacing w:line="40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w:t>
            </w:r>
            <w:r>
              <w:rPr>
                <w:rFonts w:hint="eastAsia" w:ascii="仿宋_GB2312" w:hAnsi="仿宋_GB2312" w:eastAsia="仿宋_GB2312" w:cs="仿宋_GB2312"/>
                <w:color w:val="auto"/>
                <w:sz w:val="24"/>
                <w:szCs w:val="24"/>
                <w:highlight w:val="none"/>
                <w:lang w:val="en-US" w:eastAsia="zh-CN"/>
              </w:rPr>
              <w:t>中级或以上经济或金融相关</w:t>
            </w:r>
            <w:r>
              <w:rPr>
                <w:rFonts w:hint="eastAsia" w:ascii="仿宋_GB2312" w:hAnsi="仿宋_GB2312" w:eastAsia="仿宋_GB2312" w:cs="仿宋_GB2312"/>
                <w:color w:val="auto"/>
                <w:sz w:val="24"/>
                <w:szCs w:val="24"/>
                <w:highlight w:val="none"/>
                <w:lang w:eastAsia="zh-CN"/>
              </w:rPr>
              <w:t>职称的，得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w:t>
            </w:r>
          </w:p>
          <w:p>
            <w:pPr>
              <w:widowControl w:val="0"/>
              <w:topLinePunct/>
              <w:snapToGrid/>
              <w:spacing w:line="40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3</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具备</w:t>
            </w:r>
            <w:r>
              <w:rPr>
                <w:rFonts w:hint="eastAsia" w:ascii="仿宋_GB2312" w:hAnsi="仿宋_GB2312" w:eastAsia="仿宋_GB2312" w:cs="仿宋_GB2312"/>
                <w:color w:val="auto"/>
                <w:sz w:val="24"/>
                <w:highlight w:val="none"/>
              </w:rPr>
              <w:t>责任险项目</w:t>
            </w:r>
            <w:r>
              <w:rPr>
                <w:rFonts w:hint="eastAsia" w:ascii="仿宋_GB2312" w:hAnsi="仿宋_GB2312" w:eastAsia="仿宋_GB2312" w:cs="仿宋_GB2312"/>
                <w:color w:val="auto"/>
                <w:sz w:val="24"/>
                <w:highlight w:val="none"/>
                <w:lang w:eastAsia="zh-CN"/>
              </w:rPr>
              <w:t>服务</w:t>
            </w:r>
            <w:r>
              <w:rPr>
                <w:rFonts w:hint="eastAsia" w:ascii="仿宋_GB2312" w:hAnsi="仿宋_GB2312" w:eastAsia="仿宋_GB2312" w:cs="仿宋_GB2312"/>
                <w:color w:val="auto"/>
                <w:sz w:val="24"/>
                <w:szCs w:val="24"/>
                <w:highlight w:val="none"/>
                <w:lang w:val="en-US" w:eastAsia="zh-CN"/>
              </w:rPr>
              <w:t>相</w:t>
            </w:r>
            <w:r>
              <w:rPr>
                <w:rFonts w:hint="eastAsia" w:ascii="仿宋_GB2312" w:hAnsi="仿宋_GB2312" w:eastAsia="仿宋_GB2312" w:cs="仿宋_GB2312"/>
                <w:color w:val="auto"/>
                <w:sz w:val="24"/>
                <w:szCs w:val="24"/>
                <w:highlight w:val="none"/>
                <w:lang w:eastAsia="zh-CN"/>
              </w:rPr>
              <w:t>关工作经验的，得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w:t>
            </w:r>
          </w:p>
          <w:p>
            <w:pPr>
              <w:topLinePunct/>
              <w:snapToGrid w:val="0"/>
              <w:spacing w:line="560" w:lineRule="exact"/>
              <w:jc w:val="both"/>
              <w:rPr>
                <w:rFonts w:hint="eastAsia" w:ascii="仿宋_GB2312" w:hAnsi="仿宋_GB2312" w:eastAsia="仿宋_GB2312" w:cs="仿宋_GB2312"/>
                <w:color w:val="auto"/>
                <w:sz w:val="24"/>
                <w:szCs w:val="24"/>
                <w:highlight w:val="yellow"/>
              </w:rPr>
            </w:pPr>
            <w:r>
              <w:rPr>
                <w:rFonts w:hint="eastAsia" w:ascii="仿宋_GB2312" w:hAnsi="仿宋_GB2312" w:eastAsia="仿宋_GB2312" w:cs="仿宋_GB2312"/>
                <w:color w:val="auto"/>
                <w:sz w:val="24"/>
                <w:szCs w:val="24"/>
                <w:highlight w:val="none"/>
                <w:lang w:eastAsia="zh-CN"/>
              </w:rPr>
              <w:t>以上合计最高得</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w:t>
            </w:r>
          </w:p>
          <w:p>
            <w:pPr>
              <w:topLinePunct/>
              <w:snapToGrid w:val="0"/>
              <w:spacing w:line="560" w:lineRule="exact"/>
              <w:jc w:val="both"/>
            </w:pPr>
            <w:r>
              <w:rPr>
                <w:rFonts w:hint="eastAsia" w:ascii="仿宋_GB2312" w:hAnsi="仿宋_GB2312" w:eastAsia="仿宋_GB2312" w:cs="仿宋_GB2312"/>
                <w:b w:val="0"/>
                <w:bCs w:val="0"/>
                <w:color w:val="auto"/>
                <w:sz w:val="24"/>
                <w:highlight w:val="none"/>
              </w:rPr>
              <w:t>（二）评审依据：</w:t>
            </w:r>
          </w:p>
          <w:p>
            <w:pPr>
              <w:widowControl/>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提供毕业证书扫描件、学历信息在学信网查询结果截图，原件备查。</w:t>
            </w:r>
          </w:p>
          <w:p>
            <w:pPr>
              <w:widowControl/>
              <w:topLinePunct/>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提供相关证书证明材料。</w:t>
            </w:r>
          </w:p>
          <w:p>
            <w:pPr>
              <w:widowControl/>
              <w:topLinePunct/>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工作经验</w:t>
            </w:r>
            <w:r>
              <w:rPr>
                <w:rFonts w:hint="eastAsia" w:ascii="仿宋_GB2312" w:hAnsi="仿宋_GB2312" w:eastAsia="仿宋_GB2312" w:cs="仿宋_GB2312"/>
                <w:color w:val="auto"/>
                <w:sz w:val="24"/>
                <w:szCs w:val="24"/>
                <w:highlight w:val="none"/>
              </w:rPr>
              <w:t>需提供合同关键页或其他可以证明的材料</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合同关键（关键信息包括但不仅限于合同的项目名称、</w:t>
            </w:r>
            <w:r>
              <w:rPr>
                <w:rFonts w:hint="eastAsia" w:ascii="仿宋_GB2312" w:hAnsi="仿宋_GB2312" w:eastAsia="仿宋_GB2312" w:cs="仿宋_GB2312"/>
                <w:color w:val="auto"/>
                <w:sz w:val="24"/>
                <w:szCs w:val="24"/>
                <w:highlight w:val="none"/>
                <w:lang w:val="en-US" w:eastAsia="zh-CN"/>
              </w:rPr>
              <w:t>项目负责人/团队成员名字、</w:t>
            </w:r>
            <w:r>
              <w:rPr>
                <w:rFonts w:hint="eastAsia" w:ascii="仿宋_GB2312" w:hAnsi="仿宋_GB2312" w:eastAsia="仿宋_GB2312" w:cs="仿宋_GB2312"/>
                <w:color w:val="auto"/>
                <w:sz w:val="24"/>
                <w:szCs w:val="24"/>
                <w:highlight w:val="none"/>
              </w:rPr>
              <w:t>服务内容、</w:t>
            </w:r>
            <w:r>
              <w:rPr>
                <w:rFonts w:hint="eastAsia" w:ascii="仿宋_GB2312" w:hAnsi="仿宋_GB2312" w:eastAsia="仿宋_GB2312" w:cs="仿宋_GB2312"/>
                <w:color w:val="auto"/>
                <w:sz w:val="24"/>
                <w:szCs w:val="24"/>
                <w:highlight w:val="none"/>
                <w:lang w:val="en-US" w:eastAsia="zh-CN"/>
              </w:rPr>
              <w:t>合同双方盖章页</w:t>
            </w:r>
            <w:r>
              <w:rPr>
                <w:rFonts w:hint="eastAsia" w:ascii="仿宋_GB2312" w:hAnsi="仿宋_GB2312" w:eastAsia="仿宋_GB2312" w:cs="仿宋_GB2312"/>
                <w:color w:val="auto"/>
                <w:sz w:val="24"/>
                <w:szCs w:val="24"/>
                <w:highlight w:val="none"/>
              </w:rPr>
              <w:t>），以及满足评分要求的服务内容。</w:t>
            </w:r>
          </w:p>
          <w:p>
            <w:pPr>
              <w:widowControl/>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4.以上人员近三个月社保缴纳记录。</w:t>
            </w:r>
          </w:p>
          <w:p>
            <w:pPr>
              <w:widowControl/>
              <w:topLinePunct/>
              <w:snapToGrid w:val="0"/>
              <w:spacing w:line="560" w:lineRule="exact"/>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color w:val="auto"/>
                <w:sz w:val="24"/>
                <w:szCs w:val="24"/>
                <w:highlight w:val="none"/>
                <w:lang w:val="en-US" w:eastAsia="zh-CN"/>
              </w:rPr>
              <w:t>以上证明文件原件备查，</w:t>
            </w:r>
            <w:r>
              <w:rPr>
                <w:rFonts w:hint="eastAsia" w:ascii="仿宋_GB2312" w:hAnsi="仿宋_GB2312" w:eastAsia="仿宋_GB2312" w:cs="仿宋_GB2312"/>
                <w:color w:val="auto"/>
                <w:sz w:val="24"/>
                <w:szCs w:val="24"/>
                <w:highlight w:val="none"/>
                <w:lang w:eastAsia="zh-CN"/>
              </w:rPr>
              <w:t>未提供或未按要求提供或提供的不清晰导致采购小组无法判断的，不得分。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788" w:type="dxa"/>
            <w:vMerge w:val="continue"/>
            <w:noWrap w:val="0"/>
            <w:vAlign w:val="top"/>
          </w:tcPr>
          <w:p>
            <w:pPr>
              <w:spacing w:line="560" w:lineRule="exact"/>
              <w:jc w:val="left"/>
              <w:rPr>
                <w:rFonts w:hint="eastAsia" w:ascii="仿宋_GB2312" w:hAnsi="仿宋_GB2312" w:eastAsia="仿宋_GB2312" w:cs="仿宋_GB2312"/>
                <w:sz w:val="24"/>
              </w:rPr>
            </w:pPr>
          </w:p>
        </w:tc>
        <w:tc>
          <w:tcPr>
            <w:tcW w:w="1292" w:type="dxa"/>
            <w:noWrap w:val="0"/>
            <w:vAlign w:val="center"/>
          </w:tcPr>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项目完成（服务期满）</w:t>
            </w:r>
          </w:p>
          <w:p>
            <w:pPr>
              <w:spacing w:line="560" w:lineRule="exact"/>
              <w:jc w:val="center"/>
              <w:rPr>
                <w:rFonts w:hint="eastAsia"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后的服务承诺（5分）</w:t>
            </w:r>
          </w:p>
        </w:tc>
        <w:tc>
          <w:tcPr>
            <w:tcW w:w="6351" w:type="dxa"/>
            <w:noWrap w:val="0"/>
            <w:vAlign w:val="center"/>
          </w:tcPr>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topLinePunct/>
              <w:adjustRightInd/>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topLinePunct/>
              <w:adjustRightInd/>
              <w:snapToGrid w:val="0"/>
              <w:spacing w:line="560" w:lineRule="exact"/>
              <w:jc w:val="both"/>
            </w:pPr>
            <w:r>
              <w:rPr>
                <w:rFonts w:hint="eastAsia" w:ascii="仿宋_GB2312" w:hAnsi="仿宋_GB2312" w:eastAsia="仿宋_GB2312" w:cs="仿宋_GB2312"/>
                <w:color w:val="auto"/>
                <w:sz w:val="24"/>
                <w:szCs w:val="24"/>
                <w:highlight w:val="none"/>
                <w:lang w:val="en-US" w:eastAsia="zh-CN"/>
              </w:rPr>
              <w:t>2.与后续服务公司进行资料、工作等交接；</w:t>
            </w:r>
          </w:p>
          <w:p>
            <w:pPr>
              <w:numPr>
                <w:ilvl w:val="-1"/>
                <w:numId w:val="0"/>
              </w:numPr>
              <w:topLinePunct/>
              <w:adjustRightInd/>
              <w:snapToGrid w:val="0"/>
              <w:spacing w:line="560" w:lineRule="exact"/>
              <w:jc w:val="both"/>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3.配合项目检查审计等事项。</w:t>
            </w:r>
          </w:p>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提供</w:t>
            </w:r>
            <w:r>
              <w:rPr>
                <w:rFonts w:hint="eastAsia" w:ascii="仿宋_GB2312" w:hAnsi="仿宋_GB2312" w:eastAsia="仿宋_GB2312" w:cs="仿宋_GB2312"/>
                <w:color w:val="auto"/>
                <w:sz w:val="24"/>
                <w:szCs w:val="24"/>
                <w:highlight w:val="none"/>
                <w:lang w:eastAsia="zh-CN"/>
              </w:rPr>
              <w:t>服务</w:t>
            </w:r>
            <w:r>
              <w:rPr>
                <w:rFonts w:hint="eastAsia" w:ascii="仿宋_GB2312" w:hAnsi="仿宋_GB2312" w:eastAsia="仿宋_GB2312" w:cs="仿宋_GB2312"/>
                <w:color w:val="auto"/>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8" w:type="dxa"/>
            <w:vMerge w:val="restart"/>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技术部分（</w:t>
            </w:r>
            <w:r>
              <w:rPr>
                <w:rFonts w:hint="eastAsia" w:ascii="仿宋_GB2312" w:hAnsi="仿宋_GB2312" w:eastAsia="仿宋_GB2312" w:cs="仿宋_GB2312"/>
                <w:sz w:val="24"/>
                <w:lang w:val="en-US" w:eastAsia="zh-CN"/>
              </w:rPr>
              <w:t>50</w:t>
            </w:r>
            <w:r>
              <w:rPr>
                <w:rFonts w:hint="eastAsia" w:ascii="仿宋_GB2312" w:hAnsi="仿宋_GB2312" w:eastAsia="仿宋_GB2312" w:cs="仿宋_GB2312"/>
                <w:sz w:val="24"/>
              </w:rPr>
              <w:t>分）</w:t>
            </w:r>
          </w:p>
        </w:tc>
        <w:tc>
          <w:tcPr>
            <w:tcW w:w="1292" w:type="dxa"/>
            <w:noWrap w:val="0"/>
            <w:vAlign w:val="center"/>
          </w:tcPr>
          <w:p>
            <w:pPr>
              <w:spacing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实施</w:t>
            </w:r>
          </w:p>
          <w:p>
            <w:pPr>
              <w:spacing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方案</w:t>
            </w:r>
          </w:p>
          <w:p>
            <w:pPr>
              <w:pStyle w:val="4"/>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25</w:t>
            </w:r>
            <w:r>
              <w:rPr>
                <w:rFonts w:hint="eastAsia" w:ascii="仿宋_GB2312" w:hAnsi="仿宋_GB2312" w:eastAsia="仿宋_GB2312" w:cs="仿宋_GB2312"/>
                <w:sz w:val="24"/>
              </w:rPr>
              <w:t>分）</w:t>
            </w:r>
          </w:p>
        </w:tc>
        <w:tc>
          <w:tcPr>
            <w:tcW w:w="6351" w:type="dxa"/>
            <w:noWrap w:val="0"/>
            <w:vAlign w:val="top"/>
          </w:tcPr>
          <w:p>
            <w:pPr>
              <w:numPr>
                <w:ilvl w:val="-1"/>
                <w:numId w:val="0"/>
              </w:numPr>
              <w:topLinePunct/>
              <w:snapToGrid w:val="0"/>
              <w:spacing w:line="560" w:lineRule="exact"/>
              <w:jc w:val="left"/>
              <w:rPr>
                <w:rFonts w:hint="eastAsia" w:ascii="仿宋_GB2312" w:hAnsi="仿宋_GB2312" w:eastAsia="仿宋_GB2312" w:cs="仿宋_GB2312"/>
                <w:b/>
                <w:bCs/>
                <w:sz w:val="24"/>
              </w:rPr>
            </w:pPr>
            <w:r>
              <w:rPr>
                <w:rFonts w:hint="eastAsia" w:ascii="仿宋_GB2312" w:hAnsi="仿宋_GB2312" w:eastAsia="仿宋_GB2312" w:cs="仿宋_GB2312"/>
                <w:b/>
                <w:bCs/>
                <w:kern w:val="2"/>
                <w:sz w:val="24"/>
                <w:szCs w:val="24"/>
                <w:lang w:val="en-US" w:eastAsia="zh-CN" w:bidi="ar-SA"/>
              </w:rPr>
              <w:t>（一）</w:t>
            </w:r>
            <w:r>
              <w:rPr>
                <w:rFonts w:hint="eastAsia" w:ascii="仿宋_GB2312" w:hAnsi="仿宋_GB2312" w:eastAsia="仿宋_GB2312" w:cs="仿宋_GB2312"/>
                <w:b/>
                <w:bCs/>
                <w:sz w:val="24"/>
              </w:rPr>
              <w:t>评审内容：</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投标人针对本项目，提供服务方案。包括但不限于：</w:t>
            </w:r>
          </w:p>
          <w:p>
            <w:pPr>
              <w:widowControl/>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1.项目概述；</w:t>
            </w:r>
          </w:p>
          <w:p>
            <w:pPr>
              <w:widowControl/>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szCs w:val="24"/>
              </w:rPr>
              <w:t>风险防控措施</w:t>
            </w:r>
            <w:r>
              <w:rPr>
                <w:rFonts w:hint="eastAsia" w:ascii="仿宋_GB2312" w:hAnsi="仿宋_GB2312" w:eastAsia="仿宋_GB2312" w:cs="仿宋_GB2312"/>
                <w:sz w:val="24"/>
              </w:rPr>
              <w:t>；</w:t>
            </w:r>
          </w:p>
          <w:p>
            <w:pPr>
              <w:widowControl/>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w:t>
            </w:r>
            <w:r>
              <w:rPr>
                <w:rFonts w:hint="eastAsia" w:ascii="仿宋_GB2312" w:hAnsi="仿宋_GB2312" w:eastAsia="仿宋_GB2312" w:cs="仿宋_GB2312"/>
                <w:sz w:val="24"/>
                <w:szCs w:val="24"/>
              </w:rPr>
              <w:t>事故应急与理赔响应机制</w:t>
            </w:r>
            <w:r>
              <w:rPr>
                <w:rFonts w:hint="eastAsia" w:ascii="仿宋_GB2312" w:hAnsi="仿宋_GB2312" w:eastAsia="仿宋_GB2312" w:cs="仿宋_GB2312"/>
                <w:sz w:val="24"/>
              </w:rPr>
              <w:t>；</w:t>
            </w:r>
          </w:p>
          <w:p>
            <w:pPr>
              <w:widowControl/>
              <w:numPr>
                <w:ilvl w:val="0"/>
                <w:numId w:val="0"/>
              </w:numPr>
              <w:topLinePunct/>
              <w:snapToGrid w:val="0"/>
              <w:spacing w:line="560" w:lineRule="exact"/>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4.</w:t>
            </w:r>
            <w:r>
              <w:rPr>
                <w:rFonts w:hint="eastAsia" w:ascii="仿宋_GB2312" w:hAnsi="仿宋_GB2312" w:eastAsia="仿宋_GB2312" w:cs="仿宋_GB2312"/>
                <w:sz w:val="24"/>
                <w:szCs w:val="24"/>
              </w:rPr>
              <w:t>项目管理与沟通协调机制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理赔与服务保障方案</w:t>
            </w:r>
            <w:r>
              <w:rPr>
                <w:rFonts w:hint="eastAsia" w:ascii="仿宋_GB2312" w:hAnsi="仿宋_GB2312" w:eastAsia="仿宋_GB2312" w:cs="仿宋_GB2312"/>
                <w:sz w:val="24"/>
                <w:szCs w:val="24"/>
                <w:lang w:eastAsia="zh-CN"/>
              </w:rPr>
              <w:t>。</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b/>
                <w:bCs/>
                <w:sz w:val="24"/>
              </w:rPr>
              <w:t>（二）评审依据：</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满足以上任意一项要求得</w:t>
            </w: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分，最高得</w:t>
            </w:r>
            <w:r>
              <w:rPr>
                <w:rFonts w:hint="eastAsia" w:ascii="仿宋_GB2312" w:hAnsi="仿宋_GB2312" w:eastAsia="仿宋_GB2312" w:cs="仿宋_GB2312"/>
                <w:sz w:val="24"/>
                <w:lang w:val="en-US" w:eastAsia="zh-CN"/>
              </w:rPr>
              <w:t>15</w:t>
            </w:r>
            <w:r>
              <w:rPr>
                <w:rFonts w:hint="eastAsia" w:ascii="仿宋_GB2312" w:hAnsi="仿宋_GB2312" w:eastAsia="仿宋_GB2312" w:cs="仿宋_GB2312"/>
                <w:sz w:val="24"/>
              </w:rPr>
              <w:t>分，在此基础上。根据各供应商的具体响应内容按照量化的评审因素指标进一步评审，设定优、良、中、差四个评分标准：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1.优：项目实施方案内容全面、具体、针对性强、科学合理、可操作性强得</w:t>
            </w:r>
            <w:r>
              <w:rPr>
                <w:rFonts w:hint="eastAsia" w:ascii="仿宋_GB2312" w:hAnsi="仿宋_GB2312" w:eastAsia="仿宋_GB2312" w:cs="仿宋_GB2312"/>
                <w:sz w:val="24"/>
                <w:lang w:val="en-US" w:eastAsia="zh-CN"/>
              </w:rPr>
              <w:t>10</w:t>
            </w:r>
            <w:r>
              <w:rPr>
                <w:rFonts w:hint="eastAsia" w:ascii="仿宋_GB2312" w:hAnsi="仿宋_GB2312" w:eastAsia="仿宋_GB2312" w:cs="仿宋_GB2312"/>
                <w:sz w:val="24"/>
              </w:rPr>
              <w:t>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2.良：项目实施方案内容较全面、较具体、针对性较强、较科学合理、可操作性较强得</w:t>
            </w: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3.中：项目实施方案内容较基本全面、一般具体、针对性一般、一般科学合理、可操作性一般得</w:t>
            </w: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3" w:hRule="atLeast"/>
        </w:trPr>
        <w:tc>
          <w:tcPr>
            <w:tcW w:w="788" w:type="dxa"/>
            <w:vMerge w:val="continue"/>
            <w:noWrap w:val="0"/>
            <w:vAlign w:val="center"/>
          </w:tcPr>
          <w:p>
            <w:pPr>
              <w:spacing w:line="560" w:lineRule="exact"/>
              <w:jc w:val="left"/>
              <w:rPr>
                <w:rFonts w:hint="eastAsia" w:ascii="仿宋_GB2312" w:hAnsi="仿宋_GB2312" w:eastAsia="仿宋_GB2312" w:cs="仿宋_GB2312"/>
                <w:sz w:val="24"/>
              </w:rPr>
            </w:pPr>
          </w:p>
        </w:tc>
        <w:tc>
          <w:tcPr>
            <w:tcW w:w="1292" w:type="dxa"/>
            <w:noWrap w:val="0"/>
            <w:vAlign w:val="center"/>
          </w:tcPr>
          <w:p>
            <w:pPr>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项目重点难点分析、应对措施及相关的合理化建议</w:t>
            </w:r>
          </w:p>
          <w:p>
            <w:pPr>
              <w:pStyle w:val="4"/>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25</w:t>
            </w:r>
            <w:r>
              <w:rPr>
                <w:rFonts w:hint="eastAsia" w:ascii="仿宋_GB2312" w:hAnsi="仿宋_GB2312" w:eastAsia="仿宋_GB2312" w:cs="仿宋_GB2312"/>
                <w:sz w:val="24"/>
              </w:rPr>
              <w:t>分）</w:t>
            </w:r>
          </w:p>
          <w:p>
            <w:pPr>
              <w:spacing w:line="560" w:lineRule="exact"/>
              <w:jc w:val="left"/>
              <w:rPr>
                <w:rFonts w:hint="eastAsia" w:ascii="仿宋_GB2312" w:hAnsi="仿宋_GB2312" w:eastAsia="仿宋_GB2312" w:cs="仿宋_GB2312"/>
                <w:sz w:val="24"/>
              </w:rPr>
            </w:pPr>
          </w:p>
        </w:tc>
        <w:tc>
          <w:tcPr>
            <w:tcW w:w="6351" w:type="dxa"/>
            <w:noWrap w:val="0"/>
            <w:vAlign w:val="top"/>
          </w:tcPr>
          <w:p>
            <w:pPr>
              <w:numPr>
                <w:ilvl w:val="-1"/>
                <w:numId w:val="0"/>
              </w:numPr>
              <w:topLinePunct/>
              <w:snapToGrid w:val="0"/>
              <w:spacing w:line="560" w:lineRule="exact"/>
              <w:jc w:val="left"/>
              <w:rPr>
                <w:rFonts w:hint="eastAsia" w:ascii="仿宋_GB2312" w:hAnsi="仿宋_GB2312" w:eastAsia="仿宋_GB2312" w:cs="仿宋_GB2312"/>
                <w:b/>
                <w:bCs/>
                <w:sz w:val="24"/>
              </w:rPr>
            </w:pPr>
            <w:r>
              <w:rPr>
                <w:rFonts w:hint="eastAsia" w:ascii="仿宋_GB2312" w:hAnsi="仿宋_GB2312" w:eastAsia="仿宋_GB2312" w:cs="仿宋_GB2312"/>
                <w:b/>
                <w:bCs/>
                <w:kern w:val="2"/>
                <w:sz w:val="24"/>
                <w:szCs w:val="24"/>
                <w:lang w:val="en-US" w:eastAsia="zh-CN" w:bidi="ar-SA"/>
              </w:rPr>
              <w:t>（一）</w:t>
            </w:r>
            <w:r>
              <w:rPr>
                <w:rFonts w:hint="eastAsia" w:ascii="仿宋_GB2312" w:hAnsi="仿宋_GB2312" w:eastAsia="仿宋_GB2312" w:cs="仿宋_GB2312"/>
                <w:b/>
                <w:bCs/>
                <w:sz w:val="24"/>
              </w:rPr>
              <w:t>评审内容：</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对投标人提供的项目重点难点分析、应对措施及相关的合理化建议进行评价，内容包括：</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1.投标人对项目重点难点进行分析；</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2.制定合理有效应对措施并提出相关合理化建议；</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color w:val="auto"/>
                <w:sz w:val="24"/>
                <w:szCs w:val="24"/>
                <w:highlight w:val="none"/>
                <w:lang w:eastAsia="zh-CN"/>
              </w:rPr>
              <w:t>3.向招标方提出项目实施具体建议。</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b/>
                <w:bCs/>
                <w:sz w:val="24"/>
              </w:rPr>
              <w:t>（二）评审依据：</w:t>
            </w:r>
            <w:r>
              <w:rPr>
                <w:rFonts w:hint="eastAsia" w:ascii="仿宋_GB2312" w:hAnsi="仿宋_GB2312" w:eastAsia="仿宋_GB2312" w:cs="仿宋_GB2312"/>
                <w:b w:val="0"/>
                <w:bCs w:val="0"/>
                <w:sz w:val="24"/>
              </w:rPr>
              <w:br w:type="textWrapping"/>
            </w:r>
            <w:r>
              <w:rPr>
                <w:rFonts w:hint="eastAsia" w:ascii="仿宋_GB2312" w:hAnsi="仿宋_GB2312" w:eastAsia="仿宋_GB2312" w:cs="仿宋_GB2312"/>
                <w:sz w:val="24"/>
              </w:rPr>
              <w:t>满足以上任意一项要求得</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分，最高得</w:t>
            </w:r>
            <w:r>
              <w:rPr>
                <w:rFonts w:hint="eastAsia" w:ascii="仿宋_GB2312" w:hAnsi="仿宋_GB2312" w:eastAsia="仿宋_GB2312" w:cs="仿宋_GB2312"/>
                <w:sz w:val="24"/>
                <w:lang w:val="en-US" w:eastAsia="zh-CN"/>
              </w:rPr>
              <w:t>15</w:t>
            </w:r>
            <w:r>
              <w:rPr>
                <w:rFonts w:hint="eastAsia" w:ascii="仿宋_GB2312" w:hAnsi="仿宋_GB2312" w:eastAsia="仿宋_GB2312" w:cs="仿宋_GB2312"/>
                <w:sz w:val="24"/>
              </w:rPr>
              <w:t>分，在此基础上。根据各供应商的具体响应内容按照量化的评审因素指标进一步评审，设定优、良、中、差四个评分标准：：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1.优：方案合理、条理清晰、可操作强的，得</w:t>
            </w:r>
            <w:r>
              <w:rPr>
                <w:rFonts w:hint="eastAsia" w:ascii="仿宋_GB2312" w:hAnsi="仿宋_GB2312" w:eastAsia="仿宋_GB2312" w:cs="仿宋_GB2312"/>
                <w:sz w:val="24"/>
                <w:lang w:val="en-US" w:eastAsia="zh-CN"/>
              </w:rPr>
              <w:t>10</w:t>
            </w:r>
            <w:r>
              <w:rPr>
                <w:rFonts w:hint="eastAsia" w:ascii="仿宋_GB2312" w:hAnsi="仿宋_GB2312" w:eastAsia="仿宋_GB2312" w:cs="仿宋_GB2312"/>
                <w:sz w:val="24"/>
              </w:rPr>
              <w:t>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2.良：方案较合理、条理较清晰、可操作较强的，得</w:t>
            </w: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3.中：方案一般合理、条理一般、可操作一般的，得</w:t>
            </w: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分；</w:t>
            </w:r>
          </w:p>
          <w:p>
            <w:pPr>
              <w:numPr>
                <w:ilvl w:val="0"/>
                <w:numId w:val="0"/>
              </w:numPr>
              <w:topLinePunct/>
              <w:snapToGrid w:val="0"/>
              <w:spacing w:line="5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4.差：方案不合理、条理不清晰、可操作性极差的，得0分。</w:t>
            </w:r>
          </w:p>
        </w:tc>
      </w:tr>
    </w:tbl>
    <w:p>
      <w:pPr>
        <w:pStyle w:val="15"/>
        <w:spacing w:line="560" w:lineRule="exact"/>
        <w:ind w:firstLine="640" w:firstLineChars="200"/>
        <w:rPr>
          <w:rFonts w:hint="eastAsia" w:ascii="楷体_GB2312" w:hAnsi="楷体_GB2312" w:eastAsia="楷体_GB2312" w:cs="楷体_GB2312"/>
          <w:b w:val="0"/>
          <w:bCs/>
          <w:color w:val="000000"/>
          <w:sz w:val="32"/>
          <w:szCs w:val="32"/>
        </w:rPr>
      </w:pPr>
      <w:r>
        <w:rPr>
          <w:rFonts w:hint="eastAsia" w:ascii="方正黑体_GBK" w:hAnsi="方正黑体_GBK" w:eastAsia="方正黑体_GBK" w:cs="方正黑体_GBK"/>
          <w:b w:val="0"/>
          <w:bCs/>
          <w:color w:val="auto"/>
          <w:sz w:val="32"/>
          <w:szCs w:val="32"/>
          <w:highlight w:val="none"/>
          <w:lang w:eastAsia="zh-CN"/>
        </w:rPr>
        <w:t>八、</w:t>
      </w:r>
      <w:r>
        <w:rPr>
          <w:rFonts w:hint="eastAsia" w:ascii="方正黑体_GBK" w:hAnsi="方正黑体_GBK" w:eastAsia="方正黑体_GBK" w:cs="方正黑体_GBK"/>
          <w:b w:val="0"/>
          <w:bCs/>
          <w:color w:val="auto"/>
          <w:sz w:val="32"/>
          <w:szCs w:val="32"/>
          <w:highlight w:val="none"/>
        </w:rPr>
        <w:t>供应商提供资料清单</w:t>
      </w:r>
      <w:r>
        <w:rPr>
          <w:rFonts w:hint="eastAsia" w:ascii="楷体_GB2312" w:hAnsi="楷体_GB2312" w:eastAsia="楷体_GB2312" w:cs="楷体_GB2312"/>
          <w:color w:val="FF0000"/>
          <w:sz w:val="32"/>
          <w:szCs w:val="32"/>
        </w:rPr>
        <w:t>（均需每页加盖公章）</w:t>
      </w:r>
    </w:p>
    <w:p>
      <w:pPr>
        <w:spacing w:line="560" w:lineRule="exact"/>
        <w:ind w:firstLine="640" w:firstLineChars="200"/>
        <w:jc w:val="left"/>
        <w:rPr>
          <w:rFonts w:ascii="仿宋_GB2312" w:hAnsi="仿宋" w:eastAsia="仿宋_GB2312"/>
          <w:sz w:val="32"/>
        </w:rPr>
      </w:pPr>
      <w:r>
        <w:rPr>
          <w:rFonts w:hint="eastAsia" w:ascii="仿宋_GB2312" w:hAnsi="仿宋" w:eastAsia="仿宋_GB2312"/>
          <w:sz w:val="32"/>
        </w:rPr>
        <w:t>1.营业执照、事业法人证书、社会团体法人登记证书</w:t>
      </w:r>
      <w:r>
        <w:rPr>
          <w:rFonts w:hint="eastAsia" w:ascii="仿宋_GB2312" w:hAnsi="仿宋" w:eastAsia="仿宋_GB2312"/>
          <w:sz w:val="32"/>
          <w:lang w:eastAsia="zh-CN"/>
        </w:rPr>
        <w:t>、经营保险许可证</w:t>
      </w:r>
      <w:r>
        <w:rPr>
          <w:rFonts w:hint="eastAsia" w:ascii="仿宋_GB2312" w:hAnsi="仿宋" w:eastAsia="仿宋_GB2312"/>
          <w:sz w:val="32"/>
        </w:rPr>
        <w:t>；</w:t>
      </w:r>
    </w:p>
    <w:p>
      <w:pPr>
        <w:spacing w:line="560" w:lineRule="exact"/>
        <w:ind w:firstLine="640" w:firstLineChars="200"/>
        <w:jc w:val="left"/>
        <w:rPr>
          <w:sz w:val="32"/>
          <w:szCs w:val="32"/>
        </w:rPr>
      </w:pPr>
      <w:r>
        <w:rPr>
          <w:rFonts w:hint="eastAsia" w:ascii="仿宋_GB2312" w:hAnsi="仿宋" w:eastAsia="仿宋_GB2312"/>
          <w:sz w:val="32"/>
          <w:szCs w:val="32"/>
        </w:rPr>
        <w:t>2.法定代表人身份证复印件；</w:t>
      </w:r>
    </w:p>
    <w:p>
      <w:pPr>
        <w:pStyle w:val="6"/>
        <w:spacing w:after="0" w:line="560" w:lineRule="exact"/>
        <w:ind w:left="0" w:leftChars="0" w:right="0" w:rightChars="0" w:firstLine="640"/>
        <w:jc w:val="left"/>
        <w:rPr>
          <w:rFonts w:ascii="仿宋_GB2312" w:hAnsi="仿宋" w:eastAsia="仿宋_GB2312"/>
          <w:sz w:val="32"/>
        </w:rPr>
      </w:pPr>
      <w:r>
        <w:rPr>
          <w:rFonts w:hint="eastAsia" w:ascii="仿宋_GB2312" w:hAnsi="仿宋" w:eastAsia="仿宋_GB2312"/>
          <w:sz w:val="32"/>
        </w:rPr>
        <w:t>3.项目报价表</w:t>
      </w:r>
      <w:r>
        <w:rPr>
          <w:rFonts w:hint="eastAsia" w:ascii="仿宋_GB2312" w:hAnsi="仿宋" w:eastAsia="仿宋_GB2312"/>
          <w:b/>
          <w:bCs/>
          <w:sz w:val="32"/>
        </w:rPr>
        <w:t>（需按格式提供）</w:t>
      </w:r>
      <w:r>
        <w:rPr>
          <w:rFonts w:hint="eastAsia" w:ascii="仿宋_GB2312" w:hAnsi="仿宋" w:eastAsia="仿宋_GB2312"/>
          <w:sz w:val="32"/>
        </w:rPr>
        <w:t>；</w:t>
      </w:r>
    </w:p>
    <w:p>
      <w:pPr>
        <w:pStyle w:val="6"/>
        <w:spacing w:after="0" w:line="560" w:lineRule="exact"/>
        <w:ind w:left="0" w:leftChars="0" w:right="0" w:rightChars="0" w:firstLine="640"/>
        <w:jc w:val="left"/>
        <w:rPr>
          <w:rFonts w:ascii="仿宋_GB2312" w:hAnsi="仿宋" w:eastAsia="仿宋_GB2312"/>
          <w:sz w:val="32"/>
        </w:rPr>
      </w:pPr>
      <w:r>
        <w:rPr>
          <w:rFonts w:hint="eastAsia" w:ascii="仿宋_GB2312" w:hAnsi="仿宋" w:eastAsia="仿宋_GB2312"/>
          <w:sz w:val="32"/>
        </w:rPr>
        <w:t>4.评分规则所需资料（同类业绩证明、方案等）；</w:t>
      </w:r>
    </w:p>
    <w:p>
      <w:pPr>
        <w:widowControl/>
        <w:tabs>
          <w:tab w:val="left" w:pos="426"/>
        </w:tabs>
        <w:spacing w:after="0" w:line="560" w:lineRule="exact"/>
        <w:ind w:left="0" w:leftChars="0" w:right="0" w:rightChars="0" w:firstLine="640" w:firstLineChars="200"/>
        <w:jc w:val="left"/>
        <w:rPr>
          <w:rFonts w:hint="eastAsia" w:ascii="仿宋_GB2312" w:hAnsi="仿宋" w:eastAsia="仿宋_GB2312"/>
          <w:sz w:val="32"/>
        </w:rPr>
      </w:pPr>
      <w:r>
        <w:rPr>
          <w:rFonts w:hint="eastAsia" w:ascii="仿宋_GB2312" w:hAnsi="仿宋" w:eastAsia="仿宋_GB2312"/>
          <w:sz w:val="32"/>
        </w:rPr>
        <w:t>5.填写《供应商基本情况表》（加盖公章，详见附件2）并提供表中涉及人员的近三个月社保缴纳情况，</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pStyle w:val="6"/>
        <w:spacing w:after="0" w:line="560" w:lineRule="exact"/>
        <w:ind w:left="0" w:leftChars="0" w:right="0" w:rightChars="0" w:firstLine="640"/>
        <w:jc w:val="left"/>
        <w:rPr>
          <w:rFonts w:hint="eastAsia" w:ascii="方正黑体_GBK" w:hAnsi="方正黑体_GBK" w:eastAsia="方正黑体_GBK" w:cs="方正黑体_GBK"/>
          <w:color w:val="auto"/>
          <w:sz w:val="32"/>
          <w:highlight w:val="none"/>
          <w:lang w:val="en-US" w:eastAsia="zh-CN"/>
        </w:rPr>
      </w:pPr>
      <w:r>
        <w:rPr>
          <w:rFonts w:hint="eastAsia" w:ascii="方正黑体_GBK" w:hAnsi="方正黑体_GBK" w:eastAsia="方正黑体_GBK" w:cs="方正黑体_GBK"/>
          <w:color w:val="auto"/>
          <w:sz w:val="32"/>
          <w:highlight w:val="none"/>
          <w:lang w:val="en-US" w:eastAsia="zh-CN"/>
        </w:rPr>
        <w:t>九、其他注意事项</w:t>
      </w:r>
    </w:p>
    <w:p>
      <w:pPr>
        <w:widowControl/>
        <w:spacing w:line="560" w:lineRule="exact"/>
        <w:ind w:firstLine="640" w:firstLineChars="200"/>
        <w:jc w:val="left"/>
        <w:rPr>
          <w:rFonts w:hint="eastAsia" w:ascii="仿宋_GB2312" w:hAnsi="仿宋" w:eastAsia="仿宋_GB2312"/>
          <w:sz w:val="32"/>
        </w:rPr>
      </w:pPr>
      <w:r>
        <w:rPr>
          <w:rFonts w:hint="eastAsia" w:ascii="仿宋_GB2312" w:hAnsi="仿宋" w:eastAsia="仿宋_GB2312"/>
          <w:sz w:val="32"/>
        </w:rPr>
        <w:t>1.供应商需</w:t>
      </w:r>
      <w:r>
        <w:rPr>
          <w:rFonts w:ascii="仿宋_GB2312" w:hAnsi="仿宋" w:eastAsia="仿宋_GB2312"/>
          <w:sz w:val="32"/>
        </w:rPr>
        <w:t>深圳政府采购自行采购系统</w:t>
      </w:r>
      <w:r>
        <w:rPr>
          <w:rFonts w:hint="eastAsia" w:ascii="仿宋_GB2312" w:hAnsi="仿宋" w:eastAsia="仿宋_GB2312"/>
          <w:sz w:val="32"/>
        </w:rPr>
        <w:t>完成供应商注册（网址：https://zxcg.szggzy.com/home/index.html），请于本项目投标截止时间前完成注册，否则如中标/成交，可能影响采购结果的发布。</w:t>
      </w:r>
    </w:p>
    <w:p>
      <w:pPr>
        <w:pStyle w:val="6"/>
        <w:spacing w:after="0" w:line="560" w:lineRule="exact"/>
        <w:ind w:left="0" w:leftChars="0" w:right="0" w:rightChars="0" w:firstLine="640"/>
        <w:jc w:val="left"/>
        <w:rPr>
          <w:rFonts w:ascii="仿宋_GB2312" w:hAnsi="仿宋" w:eastAsia="仿宋_GB2312"/>
          <w:sz w:val="32"/>
        </w:rPr>
      </w:pPr>
      <w:r>
        <w:rPr>
          <w:rFonts w:hint="eastAsia" w:ascii="仿宋_GB2312" w:hAnsi="仿宋" w:eastAsia="仿宋_GB2312"/>
          <w:sz w:val="32"/>
        </w:rPr>
        <w:t>2.供应商需以邮寄方式提供7份密封纸质版投标资料至本单位，并在封面备注“</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年龙华区公益性体育设施公众责任险</w:t>
      </w:r>
      <w:r>
        <w:rPr>
          <w:rFonts w:hint="eastAsia" w:ascii="仿宋_GB2312" w:hAnsi="仿宋_GB2312" w:eastAsia="仿宋_GB2312" w:cs="仿宋_GB2312"/>
          <w:color w:val="000000"/>
          <w:kern w:val="0"/>
          <w:sz w:val="32"/>
          <w:szCs w:val="32"/>
        </w:rPr>
        <w:t>项目+公司全称+日期+联系人+联系方式”。</w:t>
      </w:r>
    </w:p>
    <w:p>
      <w:pPr>
        <w:pStyle w:val="6"/>
        <w:spacing w:after="0" w:line="560" w:lineRule="exact"/>
        <w:ind w:left="0" w:leftChars="0" w:right="0" w:rightChars="0" w:firstLine="640" w:firstLineChars="200"/>
        <w:jc w:val="left"/>
        <w:rPr>
          <w:rFonts w:ascii="仿宋_GB2312" w:hAnsi="仿宋" w:eastAsia="仿宋_GB2312"/>
          <w:sz w:val="32"/>
        </w:rPr>
      </w:pPr>
      <w:r>
        <w:rPr>
          <w:rFonts w:hint="eastAsia" w:ascii="仿宋_GB2312" w:hAnsi="仿宋" w:eastAsia="仿宋_GB2312"/>
          <w:sz w:val="32"/>
        </w:rPr>
        <w:t>地址：</w:t>
      </w:r>
      <w:bookmarkStart w:id="1" w:name="OLE_LINK5"/>
      <w:r>
        <w:rPr>
          <w:rFonts w:hint="eastAsia" w:ascii="仿宋_GB2312" w:hAnsi="仿宋" w:eastAsia="仿宋_GB2312"/>
          <w:sz w:val="32"/>
        </w:rPr>
        <w:t>深圳市龙华区龙华街道富康行政服务办公区</w:t>
      </w:r>
      <w:bookmarkEnd w:id="1"/>
    </w:p>
    <w:p>
      <w:pPr>
        <w:pStyle w:val="16"/>
        <w:spacing w:line="560" w:lineRule="exact"/>
        <w:ind w:firstLine="640"/>
        <w:rPr>
          <w:rFonts w:ascii="仿宋_GB2312" w:hAnsi="仿宋" w:eastAsia="仿宋_GB2312" w:cs="Times New Roman"/>
          <w:sz w:val="32"/>
        </w:rPr>
      </w:pPr>
      <w:r>
        <w:rPr>
          <w:rFonts w:hint="eastAsia" w:ascii="仿宋_GB2312" w:hAnsi="仿宋" w:eastAsia="仿宋_GB2312" w:cs="Times New Roman"/>
          <w:sz w:val="32"/>
        </w:rPr>
        <w:t>收件人：吴先生</w:t>
      </w:r>
    </w:p>
    <w:p>
      <w:pPr>
        <w:spacing w:line="560" w:lineRule="exact"/>
        <w:ind w:firstLine="640" w:firstLineChars="200"/>
        <w:jc w:val="left"/>
        <w:rPr>
          <w:rFonts w:hint="eastAsia" w:ascii="仿宋_GB2312" w:hAnsi="仿宋" w:eastAsia="仿宋_GB2312"/>
          <w:sz w:val="32"/>
          <w:szCs w:val="22"/>
        </w:rPr>
      </w:pPr>
      <w:r>
        <w:rPr>
          <w:rFonts w:hint="eastAsia" w:ascii="仿宋_GB2312" w:hAnsi="仿宋" w:eastAsia="仿宋_GB2312"/>
          <w:sz w:val="32"/>
        </w:rPr>
        <w:t>联系方式</w:t>
      </w:r>
      <w:r>
        <w:rPr>
          <w:rFonts w:hint="eastAsia" w:ascii="仿宋_GB2312" w:hAnsi="仿宋" w:eastAsia="仿宋_GB2312"/>
          <w:sz w:val="32"/>
          <w:lang w:eastAsia="zh-CN"/>
        </w:rPr>
        <w:t>：</w:t>
      </w:r>
      <w:r>
        <w:rPr>
          <w:rFonts w:hint="eastAsia" w:ascii="仿宋_GB2312" w:hAnsi="仿宋" w:eastAsia="仿宋_GB2312"/>
          <w:sz w:val="32"/>
          <w:szCs w:val="22"/>
        </w:rPr>
        <w:t>0755-2333</w:t>
      </w:r>
      <w:r>
        <w:rPr>
          <w:rFonts w:hint="eastAsia" w:ascii="仿宋_GB2312" w:hAnsi="仿宋" w:eastAsia="仿宋_GB2312"/>
          <w:sz w:val="32"/>
          <w:szCs w:val="22"/>
          <w:lang w:val="en-US" w:eastAsia="zh-CN"/>
        </w:rPr>
        <w:t>8032</w:t>
      </w:r>
    </w:p>
    <w:p>
      <w:pPr>
        <w:spacing w:line="560" w:lineRule="exact"/>
        <w:ind w:firstLine="640" w:firstLineChars="200"/>
        <w:jc w:val="left"/>
        <w:rPr>
          <w:rFonts w:hint="eastAsia" w:ascii="仿宋_GB2312" w:hAnsi="仿宋" w:eastAsia="仿宋_GB2312"/>
          <w:sz w:val="32"/>
          <w:szCs w:val="22"/>
        </w:rPr>
      </w:pPr>
    </w:p>
    <w:p>
      <w:pPr>
        <w:pStyle w:val="16"/>
        <w:spacing w:line="560" w:lineRule="exact"/>
        <w:ind w:firstLine="0" w:firstLineChars="0"/>
        <w:rPr>
          <w:rFonts w:hint="eastAsia" w:ascii="黑体" w:hAnsi="黑体" w:eastAsia="黑体" w:cs="黑体"/>
          <w:color w:val="000000"/>
          <w:sz w:val="32"/>
          <w:szCs w:val="32"/>
        </w:rPr>
      </w:pPr>
    </w:p>
    <w:p>
      <w:pPr>
        <w:pStyle w:val="16"/>
        <w:spacing w:line="560" w:lineRule="exact"/>
        <w:ind w:firstLine="0" w:firstLineChars="0"/>
        <w:rPr>
          <w:rFonts w:hint="eastAsia" w:ascii="黑体" w:hAnsi="黑体" w:eastAsia="黑体" w:cs="黑体"/>
          <w:color w:val="000000"/>
          <w:sz w:val="32"/>
          <w:szCs w:val="32"/>
        </w:rPr>
      </w:pPr>
      <w:bookmarkStart w:id="2" w:name="_GoBack"/>
      <w:bookmarkEnd w:id="2"/>
    </w:p>
    <w:p>
      <w:pPr>
        <w:pStyle w:val="16"/>
        <w:spacing w:line="560" w:lineRule="exact"/>
        <w:ind w:firstLine="0" w:firstLineChars="0"/>
        <w:rPr>
          <w:rFonts w:hint="eastAsia" w:ascii="黑体" w:hAnsi="黑体" w:eastAsia="黑体" w:cs="黑体"/>
          <w:color w:val="000000"/>
          <w:sz w:val="32"/>
          <w:szCs w:val="32"/>
        </w:rPr>
      </w:pPr>
    </w:p>
    <w:p>
      <w:pPr>
        <w:pStyle w:val="16"/>
        <w:spacing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pStyle w:val="2"/>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color w:val="auto"/>
          <w:highlight w:val="none"/>
          <w:lang w:val="en-US" w:eastAsia="zh-CN"/>
        </w:rPr>
      </w:pPr>
    </w:p>
    <w:p>
      <w:pPr>
        <w:pStyle w:val="4"/>
        <w:rPr>
          <w:rFonts w:hint="default"/>
          <w:color w:val="auto"/>
          <w:highlight w:val="none"/>
          <w:lang w:val="en-US" w:eastAsia="zh-CN"/>
        </w:rPr>
      </w:pPr>
    </w:p>
    <w:p>
      <w:pPr>
        <w:rPr>
          <w:rFonts w:hint="default"/>
          <w:color w:val="auto"/>
          <w:highlight w:val="none"/>
          <w:lang w:val="en-US" w:eastAsia="zh-CN"/>
        </w:rPr>
      </w:pPr>
    </w:p>
    <w:p>
      <w:pPr>
        <w:pStyle w:val="16"/>
        <w:spacing w:line="560" w:lineRule="exact"/>
        <w:ind w:firstLine="0" w:firstLineChars="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pPr>
        <w:pStyle w:val="9"/>
        <w:snapToGrid w:val="0"/>
        <w:spacing w:before="0" w:after="0" w:line="560" w:lineRule="exact"/>
        <w:jc w:val="center"/>
        <w:rPr>
          <w:rFonts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供应商基本情况表</w:t>
      </w:r>
    </w:p>
    <w:p>
      <w:pPr>
        <w:spacing w:line="560" w:lineRule="exact"/>
        <w:jc w:val="both"/>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填表单位：（加盖单位公章）</w:t>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 xml:space="preserve">   填表日期：    年   月   日</w:t>
      </w:r>
    </w:p>
    <w:tbl>
      <w:tblPr>
        <w:tblStyle w:val="11"/>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采购人</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项目名称</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投标（响应）供应商</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供应商统一社会信用代码</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职务</w:t>
            </w:r>
          </w:p>
        </w:tc>
        <w:tc>
          <w:tcPr>
            <w:tcW w:w="1270"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99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身份证号码</w:t>
            </w:r>
          </w:p>
        </w:tc>
        <w:tc>
          <w:tcPr>
            <w:tcW w:w="1500"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劳动合同</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关系单位</w:t>
            </w:r>
          </w:p>
        </w:tc>
        <w:tc>
          <w:tcPr>
            <w:tcW w:w="2145"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缴纳社会</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w:t>
            </w:r>
          </w:p>
        </w:tc>
        <w:tc>
          <w:tcPr>
            <w:tcW w:w="2345"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项目负责人</w:t>
            </w:r>
          </w:p>
        </w:tc>
        <w:tc>
          <w:tcPr>
            <w:tcW w:w="127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w:t>
            </w:r>
          </w:p>
        </w:tc>
        <w:tc>
          <w:tcPr>
            <w:tcW w:w="2345"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主要技术人员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w:t>
            </w:r>
          </w:p>
        </w:tc>
        <w:tc>
          <w:tcPr>
            <w:tcW w:w="2345" w:type="dxa"/>
            <w:gridSpan w:val="2"/>
            <w:noWrap w:val="0"/>
            <w:vAlign w:val="center"/>
          </w:tcPr>
          <w:p>
            <w:pPr>
              <w:pStyle w:val="3"/>
              <w:snapToGrid w:val="0"/>
              <w:spacing w:line="240" w:lineRule="auto"/>
              <w:ind w:firstLine="0" w:firstLineChars="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投标文件编制人员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both"/>
              <w:rPr>
                <w:rFonts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关联关系类型</w:t>
            </w:r>
          </w:p>
        </w:tc>
        <w:tc>
          <w:tcPr>
            <w:tcW w:w="206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关联主体名称</w:t>
            </w:r>
          </w:p>
        </w:tc>
        <w:tc>
          <w:tcPr>
            <w:tcW w:w="4845" w:type="dxa"/>
            <w:gridSpan w:val="3"/>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18"/>
                <w:szCs w:val="18"/>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说明：同一关联关系类型有多个主体的，应分行填写。</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textAlignment w:val="auto"/>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中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E53DF"/>
    <w:multiLevelType w:val="singleLevel"/>
    <w:tmpl w:val="A77E53DF"/>
    <w:lvl w:ilvl="0" w:tentative="0">
      <w:start w:val="1"/>
      <w:numFmt w:val="chineseCounting"/>
      <w:suff w:val="nothing"/>
      <w:lvlText w:val="（%1）"/>
      <w:lvlJc w:val="left"/>
      <w:rPr>
        <w:rFonts w:hint="eastAsia"/>
      </w:rPr>
    </w:lvl>
  </w:abstractNum>
  <w:abstractNum w:abstractNumId="1">
    <w:nsid w:val="5DF49B76"/>
    <w:multiLevelType w:val="singleLevel"/>
    <w:tmpl w:val="5DF49B76"/>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4EDE2751"/>
    <w:rsid w:val="67FFE6D8"/>
    <w:rsid w:val="6ACF4312"/>
    <w:rsid w:val="6BFFBDEA"/>
    <w:rsid w:val="79FF3738"/>
    <w:rsid w:val="7A5F0F32"/>
    <w:rsid w:val="9BEC7040"/>
    <w:rsid w:val="A6EEAB4C"/>
    <w:rsid w:val="F7EE2CF4"/>
    <w:rsid w:val="FBBD67B4"/>
    <w:rsid w:val="FFDFB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5"/>
    <w:qFormat/>
    <w:uiPriority w:val="0"/>
    <w:pPr>
      <w:spacing w:after="120"/>
    </w:pPr>
  </w:style>
  <w:style w:type="paragraph" w:styleId="5">
    <w:name w:val="Body Text 2"/>
    <w:basedOn w:val="1"/>
    <w:qFormat/>
    <w:uiPriority w:val="0"/>
    <w:pPr>
      <w:spacing w:line="360" w:lineRule="auto"/>
    </w:pPr>
    <w:rPr>
      <w:sz w:val="24"/>
    </w:rPr>
  </w:style>
  <w:style w:type="paragraph" w:styleId="6">
    <w:name w:val="Block Text"/>
    <w:basedOn w:val="1"/>
    <w:qFormat/>
    <w:uiPriority w:val="0"/>
    <w:pPr>
      <w:tabs>
        <w:tab w:val="left" w:pos="426"/>
      </w:tabs>
      <w:spacing w:after="120"/>
      <w:ind w:left="1440" w:leftChars="700" w:right="1440" w:rightChars="700"/>
    </w:pPr>
  </w:style>
  <w:style w:type="paragraph" w:styleId="7">
    <w:name w:val="Plain Text"/>
    <w:basedOn w:val="1"/>
    <w:unhideWhenUsed/>
    <w:qFormat/>
    <w:uiPriority w:val="99"/>
    <w:rPr>
      <w:rFonts w:ascii="宋体" w:hAnsi="Calibri" w:cs="Courier New"/>
      <w:szCs w:val="21"/>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4"/>
    <w:qFormat/>
    <w:uiPriority w:val="34"/>
    <w:pPr>
      <w:ind w:firstLine="420" w:firstLineChars="200"/>
    </w:pPr>
  </w:style>
  <w:style w:type="paragraph" w:customStyle="1" w:styleId="14">
    <w:name w:val="星耀正文"/>
    <w:basedOn w:val="1"/>
    <w:qFormat/>
    <w:uiPriority w:val="3"/>
    <w:pPr>
      <w:ind w:firstLine="422" w:firstLineChars="200"/>
    </w:pPr>
    <w:rPr>
      <w:rFonts w:ascii="宋体" w:hAnsi="宋体" w:eastAsia="仿宋_GB2312"/>
      <w:bCs/>
    </w:rPr>
  </w:style>
  <w:style w:type="paragraph" w:customStyle="1" w:styleId="15">
    <w:name w:val="USE 1"/>
    <w:basedOn w:val="1"/>
    <w:qFormat/>
    <w:uiPriority w:val="0"/>
    <w:pPr>
      <w:spacing w:line="200" w:lineRule="atLeast"/>
      <w:jc w:val="left"/>
    </w:pPr>
    <w:rPr>
      <w:rFonts w:ascii="宋体" w:hAnsi="宋体"/>
      <w:b/>
      <w:sz w:val="24"/>
      <w:szCs w:val="28"/>
    </w:rPr>
  </w:style>
  <w:style w:type="paragraph" w:customStyle="1" w:styleId="16">
    <w:name w:val="l正文"/>
    <w:basedOn w:val="1"/>
    <w:qFormat/>
    <w:uiPriority w:val="0"/>
    <w:pPr>
      <w:spacing w:line="300" w:lineRule="auto"/>
      <w:ind w:firstLine="200" w:firstLineChars="200"/>
      <w:jc w:val="left"/>
    </w:pPr>
    <w:rPr>
      <w:rFonts w:ascii="楷体_GB2312" w:hAnsi="Times" w:eastAsia="楷体_GB2312" w:cs="等线"/>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2018-07-14T07:11:00Z</dcterms:created>
  <dc:creator>d</dc:creator>
  <cp:lastModifiedBy>lxy</cp:lastModifiedBy>
  <dcterms:modified xsi:type="dcterms:W3CDTF">2026-10-14T17:15:39Z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56D8DB9884B0120B5437CF6AA56FCD14</vt:lpwstr>
  </property>
</Properties>
</file>