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1820"/>
        </w:tabs>
        <w:kinsoku/>
        <w:overflowPunct/>
        <w:autoSpaceDE/>
        <w:autoSpaceDN/>
        <w:bidi w:val="0"/>
        <w:adjustRightInd/>
        <w:snapToGrid w:val="0"/>
        <w:spacing w:line="56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pStyle w:val="2"/>
        <w:rPr>
          <w:rFonts w:hint="eastAsia"/>
          <w:highlight w:val="none"/>
        </w:rPr>
      </w:pPr>
    </w:p>
    <w:p>
      <w:pPr>
        <w:keepNext w:val="0"/>
        <w:keepLines w:val="0"/>
        <w:pageBreakBefore w:val="0"/>
        <w:kinsoku/>
        <w:overflowPunct/>
        <w:autoSpaceDE/>
        <w:autoSpaceDN/>
        <w:bidi w:val="0"/>
        <w:adjustRightInd/>
        <w:spacing w:line="560" w:lineRule="exact"/>
        <w:jc w:val="center"/>
        <w:textAlignment w:val="auto"/>
        <w:rPr>
          <w:rFonts w:hint="eastAsia" w:ascii="方正小标宋简体" w:hAnsi="方正小标宋简体" w:eastAsia="方正小标宋简体" w:cs="方正小标宋简体"/>
          <w:kern w:val="0"/>
          <w:sz w:val="44"/>
          <w:szCs w:val="44"/>
          <w:highlight w:val="none"/>
        </w:rPr>
      </w:pPr>
      <w:r>
        <w:rPr>
          <w:rFonts w:hint="eastAsia" w:ascii="方正小标宋简体" w:hAnsi="方正小标宋简体" w:eastAsia="方正小标宋简体" w:cs="方正小标宋简体"/>
          <w:kern w:val="0"/>
          <w:sz w:val="44"/>
          <w:szCs w:val="44"/>
          <w:highlight w:val="none"/>
        </w:rPr>
        <w:t>2026-2027年龙华区社会组织三项审计</w:t>
      </w:r>
    </w:p>
    <w:p>
      <w:pPr>
        <w:keepNext w:val="0"/>
        <w:keepLines w:val="0"/>
        <w:pageBreakBefore w:val="0"/>
        <w:kinsoku/>
        <w:overflowPunct/>
        <w:autoSpaceDE/>
        <w:autoSpaceDN/>
        <w:bidi w:val="0"/>
        <w:adjustRightIn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kern w:val="0"/>
          <w:sz w:val="44"/>
          <w:szCs w:val="44"/>
          <w:highlight w:val="none"/>
        </w:rPr>
        <w:t>服务项目</w:t>
      </w:r>
      <w:r>
        <w:rPr>
          <w:rFonts w:hint="eastAsia" w:ascii="方正小标宋简体" w:hAnsi="方正小标宋简体" w:eastAsia="方正小标宋简体" w:cs="方正小标宋简体"/>
          <w:sz w:val="44"/>
          <w:szCs w:val="44"/>
          <w:highlight w:val="none"/>
        </w:rPr>
        <w:t>需求书</w:t>
      </w:r>
    </w:p>
    <w:p>
      <w:pPr>
        <w:keepNext w:val="0"/>
        <w:keepLines w:val="0"/>
        <w:pageBreakBefore w:val="0"/>
        <w:kinsoku/>
        <w:overflowPunct/>
        <w:autoSpaceDE/>
        <w:autoSpaceDN/>
        <w:bidi w:val="0"/>
        <w:adjustRightInd/>
        <w:spacing w:line="560" w:lineRule="exact"/>
        <w:jc w:val="both"/>
        <w:textAlignment w:val="auto"/>
        <w:rPr>
          <w:rFonts w:hint="eastAsia" w:ascii="方正小标宋简体" w:hAnsi="方正小标宋简体" w:eastAsia="方正小标宋简体" w:cs="方正小标宋简体"/>
          <w:spacing w:val="17"/>
          <w:sz w:val="44"/>
          <w:szCs w:val="44"/>
          <w:highlight w:val="none"/>
        </w:rPr>
      </w:pPr>
    </w:p>
    <w:p>
      <w:pPr>
        <w:keepNext w:val="0"/>
        <w:keepLines w:val="0"/>
        <w:pageBreakBefore w:val="0"/>
        <w:numPr>
          <w:ilvl w:val="0"/>
          <w:numId w:val="1"/>
        </w:numPr>
        <w:tabs>
          <w:tab w:val="left" w:pos="1820"/>
        </w:tabs>
        <w:kinsoku/>
        <w:overflowPunct/>
        <w:autoSpaceDE/>
        <w:autoSpaceDN/>
        <w:bidi w:val="0"/>
        <w:adjustRightInd/>
        <w:snapToGrid w:val="0"/>
        <w:spacing w:line="560" w:lineRule="exact"/>
        <w:ind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项目目标</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sz w:val="32"/>
          <w:szCs w:val="32"/>
          <w:highlight w:val="none"/>
          <w:lang w:val="en-US" w:eastAsia="zh-CN"/>
        </w:rPr>
        <w:t>为进一步加强对社会组织的登记管理工作，扎</w:t>
      </w:r>
      <w:r>
        <w:rPr>
          <w:rFonts w:hint="eastAsia" w:ascii="仿宋_GB2312" w:hAnsi="仿宋_GB2312" w:eastAsia="仿宋_GB2312" w:cs="仿宋_GB2312"/>
          <w:color w:val="auto"/>
          <w:sz w:val="32"/>
          <w:szCs w:val="32"/>
          <w:highlight w:val="none"/>
          <w:lang w:eastAsia="zh-CN"/>
        </w:rPr>
        <w:t>实履行登记管理机关的登记管理职责，</w:t>
      </w: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sz w:val="32"/>
          <w:szCs w:val="32"/>
          <w:highlight w:val="none"/>
          <w:lang w:val="en-US" w:eastAsia="zh-CN"/>
        </w:rPr>
        <w:t>《国务院关于第二批清理规范192项国务院部门行政审批中介服务事项的决定》（国发〔2016〕11号），其</w:t>
      </w:r>
      <w:r>
        <w:rPr>
          <w:rFonts w:hint="eastAsia" w:ascii="仿宋_GB2312" w:hAnsi="仿宋_GB2312" w:eastAsia="仿宋_GB2312" w:cs="仿宋_GB2312"/>
          <w:color w:val="auto"/>
          <w:sz w:val="32"/>
          <w:szCs w:val="32"/>
          <w:highlight w:val="none"/>
        </w:rPr>
        <w:t>目录第八、九、十和十一项</w:t>
      </w:r>
      <w:r>
        <w:rPr>
          <w:rFonts w:hint="eastAsia" w:ascii="仿宋_GB2312" w:hAnsi="仿宋_GB2312" w:eastAsia="仿宋_GB2312" w:cs="仿宋_GB2312"/>
          <w:sz w:val="32"/>
          <w:szCs w:val="32"/>
          <w:highlight w:val="none"/>
          <w:lang w:val="en-US" w:eastAsia="zh-CN"/>
        </w:rPr>
        <w:t>规定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及《社会团体登记管理条例》（</w:t>
      </w:r>
      <w:r>
        <w:rPr>
          <w:rFonts w:hint="eastAsia" w:ascii="仿宋_GB2312" w:hAnsi="仿宋_GB2312" w:eastAsia="仿宋_GB2312" w:cs="仿宋_GB2312"/>
          <w:color w:val="auto"/>
          <w:sz w:val="32"/>
          <w:szCs w:val="32"/>
          <w:highlight w:val="none"/>
        </w:rPr>
        <w:t>2026年3月12日</w:t>
      </w:r>
      <w:r>
        <w:rPr>
          <w:rFonts w:hint="eastAsia" w:ascii="仿宋_GB2312" w:hAnsi="仿宋_GB2312" w:eastAsia="仿宋_GB2312" w:cs="仿宋_GB2312"/>
          <w:color w:val="auto"/>
          <w:sz w:val="32"/>
          <w:szCs w:val="32"/>
          <w:highlight w:val="none"/>
          <w:lang w:eastAsia="zh-CN"/>
        </w:rPr>
        <w:t>修订）</w:t>
      </w:r>
      <w:r>
        <w:rPr>
          <w:rFonts w:hint="eastAsia" w:ascii="仿宋_GB2312" w:hAnsi="仿宋_GB2312" w:eastAsia="仿宋_GB2312" w:cs="仿宋_GB2312"/>
          <w:color w:val="auto"/>
          <w:sz w:val="32"/>
          <w:szCs w:val="32"/>
          <w:highlight w:val="none"/>
        </w:rPr>
        <w:t>第二十七条</w:t>
      </w:r>
      <w:r>
        <w:rPr>
          <w:rFonts w:hint="eastAsia" w:ascii="仿宋_GB2312" w:hAnsi="仿宋_GB2312" w:eastAsia="仿宋_GB2312" w:cs="仿宋_GB2312"/>
          <w:color w:val="auto"/>
          <w:sz w:val="32"/>
          <w:szCs w:val="32"/>
          <w:highlight w:val="none"/>
          <w:lang w:eastAsia="zh-CN"/>
        </w:rPr>
        <w:t>第二款规定，开展2026-2027年龙华区社会组织三项审计服务项目工作。</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二、服务时间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sz w:val="32"/>
          <w:szCs w:val="32"/>
          <w:highlight w:val="none"/>
        </w:rPr>
        <w:t>2026年</w:t>
      </w:r>
      <w:r>
        <w:rPr>
          <w:rFonts w:hint="eastAsia" w:ascii="仿宋_GB2312" w:hAnsi="仿宋_GB2312" w:eastAsia="仿宋_GB2312" w:cs="仿宋_GB2312"/>
          <w:bCs/>
          <w:sz w:val="32"/>
          <w:szCs w:val="32"/>
          <w:highlight w:val="none"/>
          <w:lang w:val="en-US" w:eastAsia="zh-CN"/>
        </w:rPr>
        <w:t>11</w:t>
      </w:r>
      <w:r>
        <w:rPr>
          <w:rFonts w:hint="eastAsia" w:ascii="仿宋_GB2312" w:hAnsi="仿宋_GB2312" w:eastAsia="仿宋_GB2312" w:cs="仿宋_GB2312"/>
          <w:bCs/>
          <w:sz w:val="32"/>
          <w:szCs w:val="32"/>
          <w:highlight w:val="none"/>
        </w:rPr>
        <w:t>月—202</w:t>
      </w:r>
      <w:r>
        <w:rPr>
          <w:rFonts w:hint="eastAsia" w:ascii="仿宋_GB2312" w:hAnsi="仿宋_GB2312" w:eastAsia="仿宋_GB2312" w:cs="仿宋_GB2312"/>
          <w:bCs/>
          <w:sz w:val="32"/>
          <w:szCs w:val="32"/>
          <w:highlight w:val="none"/>
          <w:lang w:val="en-US" w:eastAsia="zh-CN"/>
        </w:rPr>
        <w:t>7</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sz w:val="32"/>
          <w:szCs w:val="32"/>
          <w:highlight w:val="none"/>
          <w:lang w:val="en-US" w:eastAsia="zh-CN"/>
        </w:rPr>
        <w:t>（暂定，具体以合同签订为准）。</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三、项目内容及要求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（一）服务事项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根据《国务院关于第二批清理规范192项国务院部门行政审批中介服务事项的决定》（国发〔2016〕11号）及《社会团体登记管理条例》</w:t>
      </w:r>
      <w:r>
        <w:rPr>
          <w:rFonts w:hint="eastAsia" w:ascii="仿宋_GB2312" w:hAnsi="仿宋_GB2312" w:eastAsia="仿宋_GB2312" w:cs="仿宋_GB2312"/>
          <w:color w:val="auto"/>
          <w:sz w:val="32"/>
          <w:szCs w:val="32"/>
          <w:highlight w:val="none"/>
        </w:rPr>
        <w:t>第二十七条</w:t>
      </w:r>
      <w:r>
        <w:rPr>
          <w:rFonts w:hint="eastAsia" w:ascii="仿宋_GB2312" w:hAnsi="仿宋_GB2312" w:eastAsia="仿宋_GB2312" w:cs="仿宋_GB2312"/>
          <w:sz w:val="32"/>
          <w:szCs w:val="32"/>
          <w:highlight w:val="none"/>
          <w:lang w:val="en-US" w:eastAsia="zh-CN"/>
        </w:rPr>
        <w:t>要求，向龙华区社会组织提供法定代表人离任审计、注销清算报告审计服务，向龙华区社会团体提供换届审计服务。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（二）服务形式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社会组织根据第三方会计师事务所要求提供审计相关材料，第三方会计师事务所为社会组织出具审计报告。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（三）享受三项审计服务的社会组织须履行以下义务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1.配合第三方会计师事务所提供审计所需资料；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2.配合区民政局做好相关工作。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（四）第三方会计师事务所服务内容及要求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针对申请法定代表人变更的社会组织开展离任审计，核查社会组织法定代表人任期内工作职责履行、综合经营管理、内部控制体系建设与执行、财经法纪遵守等情况，并对社会组织法定代表人任期的经济责任有关的会计资料进行审计，客观评价社会组织法定代表人任职期间经济责任履行、资产负债及收支真实性、合法性、效益性，以及重大经营决策和经济政策执行情况，提出审计意见和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针对申请注销的社会组织开展清算审计，全面核查社会组织清算组自清算起始日至清算终止日的清算资产负债表、清算业务活动表（从社会组织成立登记之日至清算终止日）和清算财产分配表，重点审查债权债务清偿、资产处置变现及剩余财产处置的合法性与公正性，对清算程序的合规性提出审计意见，确保清算审计报告真实、完整反映清算过程及结果。</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针对申请换届审计的社会团体开展专项审计，重点对社会团体内部控制体系建设制度建立及落地执行、财务与资产管理、各类收费项目合规性及财经法纪遵守等有关情况进行系统性核查与客观评价，依规出具换届专项审计报告。</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4.为社会组织提供审计相关咨询服务，重点针对社会组织财务规范、内控管理、经济责任履职、清算流程、财经政策执行等相关问题，提供专业、合规的答疑指导和建议。</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5.及时收取社会组织提供的审计材料，收到社会组织递交齐全的审计材料后，20个工作日内出具符合法律法规及审计准则的审计报告。</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6.按要求建立社会组织审计小组，优先安排并完成委托服务事项，并指定项目负责人，负责项目审计工作的具体组织与沟通协调工作，每月汇报审计工作情况。</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针对可能存在违规任职情形的法定代表人，实施重点风险审计程序，投入充足专业资源审慎验证其任职资格合规性、经济决策程序合法性、个人廉洁自律情况以及是否存在侵占社会组织资产等行为，对识别出的违规行为须执行更严格的证据收集与报告程序。</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8.按照《中国注册会计师审计准则》及相关规定实施审计，履行必要审计程序，形成完整审计工作底稿。</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9.建立项目质量复核机制，对出具的审计报告真实性、准确性、完整性负责。</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10.对审计中发现的重大财务异常、资产处置、债权债务、资金使用等重要事项及时向采购人报告。</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11.按采购人要求对审计报告进行解释、补充和合理修改。</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12.做好审计资料及相关信息保密工作，未经许可不得向第三方披露。</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13.按照有关规定妥善保管项目档案和工作底稿。</w:t>
      </w:r>
    </w:p>
    <w:p>
      <w:pPr>
        <w:keepNext w:val="0"/>
        <w:keepLines w:val="0"/>
        <w:pageBreakBefore w:val="0"/>
        <w:tabs>
          <w:tab w:val="left" w:pos="1820"/>
        </w:tabs>
        <w:kinsoku/>
        <w:overflowPunct/>
        <w:autoSpaceDE/>
        <w:autoSpaceDN/>
        <w:bidi w:val="0"/>
        <w:adjustRightInd/>
        <w:snapToGrid w:val="0"/>
        <w:spacing w:line="560" w:lineRule="exact"/>
        <w:ind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四、报价限额</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6"/>
          <w:highlight w:val="none"/>
        </w:rPr>
        <w:t>报价</w:t>
      </w:r>
      <w:r>
        <w:rPr>
          <w:rFonts w:hint="default" w:ascii="仿宋_GB2312" w:hAnsi="仿宋_GB2312" w:eastAsia="仿宋_GB2312" w:cs="仿宋_GB2312"/>
          <w:sz w:val="32"/>
          <w:szCs w:val="36"/>
          <w:highlight w:val="none"/>
          <w:lang w:val="en-US"/>
        </w:rPr>
        <w:t>总</w:t>
      </w:r>
      <w:r>
        <w:rPr>
          <w:rFonts w:hint="eastAsia" w:ascii="仿宋_GB2312" w:hAnsi="仿宋_GB2312" w:eastAsia="仿宋_GB2312" w:cs="仿宋_GB2312"/>
          <w:sz w:val="32"/>
          <w:szCs w:val="36"/>
          <w:highlight w:val="none"/>
        </w:rPr>
        <w:t>限额不超过</w:t>
      </w:r>
      <w:r>
        <w:rPr>
          <w:rFonts w:hint="eastAsia" w:ascii="仿宋_GB2312" w:hAnsi="仿宋_GB2312" w:eastAsia="仿宋_GB2312" w:cs="仿宋_GB2312"/>
          <w:sz w:val="32"/>
          <w:szCs w:val="36"/>
          <w:highlight w:val="none"/>
          <w:lang w:val="en-US" w:eastAsia="zh-CN"/>
        </w:rPr>
        <w:t>240000</w:t>
      </w:r>
      <w:r>
        <w:rPr>
          <w:rFonts w:hint="eastAsia" w:ascii="仿宋_GB2312" w:hAnsi="仿宋_GB2312" w:eastAsia="仿宋_GB2312" w:cs="仿宋_GB2312"/>
          <w:sz w:val="32"/>
          <w:szCs w:val="36"/>
          <w:highlight w:val="none"/>
        </w:rPr>
        <w:t>元（大写:人民币</w:t>
      </w:r>
      <w:r>
        <w:rPr>
          <w:rFonts w:hint="eastAsia" w:ascii="仿宋_GB2312" w:hAnsi="仿宋_GB2312" w:eastAsia="仿宋_GB2312" w:cs="仿宋_GB2312"/>
          <w:sz w:val="32"/>
          <w:szCs w:val="36"/>
          <w:highlight w:val="none"/>
          <w:lang w:eastAsia="zh-CN"/>
        </w:rPr>
        <w:t>贰拾肆</w:t>
      </w:r>
      <w:r>
        <w:rPr>
          <w:rFonts w:hint="eastAsia" w:ascii="仿宋_GB2312" w:hAnsi="仿宋_GB2312" w:eastAsia="仿宋_GB2312" w:cs="仿宋_GB2312"/>
          <w:sz w:val="32"/>
          <w:szCs w:val="36"/>
          <w:highlight w:val="none"/>
        </w:rPr>
        <w:t>万元整），</w:t>
      </w:r>
      <w:r>
        <w:rPr>
          <w:rFonts w:hint="eastAsia" w:ascii="仿宋_GB2312" w:hAnsi="仿宋_GB2312" w:eastAsia="仿宋_GB2312" w:cs="仿宋_GB2312"/>
          <w:sz w:val="32"/>
          <w:szCs w:val="36"/>
          <w:highlight w:val="none"/>
          <w:lang w:eastAsia="zh-CN"/>
        </w:rPr>
        <w:t>三项审计不超过</w:t>
      </w:r>
      <w:r>
        <w:rPr>
          <w:rFonts w:hint="eastAsia" w:ascii="仿宋_GB2312" w:hAnsi="仿宋_GB2312" w:eastAsia="仿宋_GB2312" w:cs="仿宋_GB2312"/>
          <w:sz w:val="32"/>
          <w:szCs w:val="36"/>
          <w:highlight w:val="none"/>
          <w:lang w:val="en-US" w:eastAsia="zh-CN"/>
        </w:rPr>
        <w:t>50家，</w:t>
      </w:r>
      <w:r>
        <w:rPr>
          <w:rFonts w:hint="default" w:ascii="仿宋_GB2312" w:hAnsi="仿宋_GB2312" w:eastAsia="仿宋_GB2312" w:cs="仿宋_GB2312"/>
          <w:sz w:val="32"/>
          <w:szCs w:val="36"/>
          <w:highlight w:val="none"/>
          <w:lang w:val="en-US"/>
        </w:rPr>
        <w:t>每家单价不超过</w:t>
      </w:r>
      <w:r>
        <w:rPr>
          <w:rFonts w:hint="eastAsia" w:ascii="仿宋_GB2312" w:hAnsi="仿宋_GB2312" w:eastAsia="仿宋_GB2312" w:cs="仿宋_GB2312"/>
          <w:sz w:val="32"/>
          <w:szCs w:val="36"/>
          <w:highlight w:val="none"/>
          <w:lang w:val="en-US" w:eastAsia="zh-CN"/>
        </w:rPr>
        <w:t>48</w:t>
      </w:r>
      <w:r>
        <w:rPr>
          <w:rFonts w:hint="default" w:ascii="仿宋_GB2312" w:hAnsi="仿宋_GB2312" w:eastAsia="仿宋_GB2312" w:cs="仿宋_GB2312"/>
          <w:sz w:val="32"/>
          <w:szCs w:val="36"/>
          <w:highlight w:val="none"/>
          <w:lang w:val="en-US"/>
        </w:rPr>
        <w:t>00元</w:t>
      </w:r>
      <w:r>
        <w:rPr>
          <w:rFonts w:hint="eastAsia" w:ascii="仿宋_GB2312" w:hAnsi="仿宋_GB2312" w:eastAsia="仿宋_GB2312" w:cs="仿宋_GB2312"/>
          <w:sz w:val="32"/>
          <w:szCs w:val="36"/>
          <w:highlight w:val="none"/>
        </w:rPr>
        <w:t>（大写:人民币</w:t>
      </w:r>
      <w:r>
        <w:rPr>
          <w:rFonts w:hint="eastAsia" w:ascii="仿宋_GB2312" w:hAnsi="仿宋_GB2312" w:eastAsia="仿宋_GB2312" w:cs="仿宋_GB2312"/>
          <w:sz w:val="32"/>
          <w:szCs w:val="36"/>
          <w:highlight w:val="none"/>
          <w:lang w:eastAsia="zh-CN"/>
        </w:rPr>
        <w:t>肆</w:t>
      </w:r>
      <w:r>
        <w:rPr>
          <w:rFonts w:hint="eastAsia" w:ascii="仿宋_GB2312" w:hAnsi="仿宋_GB2312" w:eastAsia="仿宋_GB2312" w:cs="仿宋_GB2312"/>
          <w:sz w:val="32"/>
          <w:szCs w:val="36"/>
          <w:highlight w:val="none"/>
        </w:rPr>
        <w:t>仟</w:t>
      </w:r>
      <w:r>
        <w:rPr>
          <w:rFonts w:hint="eastAsia" w:ascii="仿宋_GB2312" w:hAnsi="仿宋_GB2312" w:eastAsia="仿宋_GB2312" w:cs="仿宋_GB2312"/>
          <w:sz w:val="32"/>
          <w:szCs w:val="36"/>
          <w:highlight w:val="none"/>
          <w:lang w:eastAsia="zh-CN"/>
        </w:rPr>
        <w:t>捌佰</w:t>
      </w:r>
      <w:r>
        <w:rPr>
          <w:rFonts w:hint="eastAsia" w:ascii="仿宋_GB2312" w:hAnsi="仿宋_GB2312" w:eastAsia="仿宋_GB2312" w:cs="仿宋_GB2312"/>
          <w:sz w:val="32"/>
          <w:szCs w:val="36"/>
          <w:highlight w:val="none"/>
        </w:rPr>
        <w:t>元整）</w:t>
      </w:r>
      <w:r>
        <w:rPr>
          <w:rFonts w:hint="default" w:ascii="仿宋_GB2312" w:hAnsi="仿宋_GB2312" w:eastAsia="仿宋_GB2312" w:cs="仿宋_GB2312"/>
          <w:sz w:val="32"/>
          <w:szCs w:val="36"/>
          <w:highlight w:val="none"/>
          <w:lang w:val="en-US"/>
        </w:rPr>
        <w:t>，</w:t>
      </w:r>
      <w:r>
        <w:rPr>
          <w:rFonts w:hint="eastAsia" w:ascii="仿宋_GB2312" w:hAnsi="仿宋_GB2312" w:eastAsia="仿宋_GB2312" w:cs="仿宋_GB2312"/>
          <w:sz w:val="32"/>
          <w:szCs w:val="36"/>
          <w:highlight w:val="none"/>
        </w:rPr>
        <w:t>超出限价的投标文件按无效投标处理，</w:t>
      </w:r>
      <w:r>
        <w:rPr>
          <w:rFonts w:hint="eastAsia" w:ascii="仿宋_GB2312" w:hAnsi="仿宋_GB2312" w:eastAsia="仿宋_GB2312" w:cs="仿宋_GB2312"/>
          <w:sz w:val="32"/>
          <w:szCs w:val="32"/>
          <w:highlight w:val="none"/>
        </w:rPr>
        <w:t>项目报价表需与下表保持一致：</w:t>
      </w:r>
    </w:p>
    <w:tbl>
      <w:tblPr>
        <w:tblStyle w:val="23"/>
        <w:tblW w:w="10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3191"/>
        <w:gridCol w:w="995"/>
        <w:gridCol w:w="996"/>
        <w:gridCol w:w="3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12" w:type="dxa"/>
            <w:gridSpan w:val="5"/>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b/>
                <w:bCs/>
                <w:kern w:val="0"/>
                <w:sz w:val="32"/>
                <w:szCs w:val="32"/>
                <w:highlight w:val="none"/>
              </w:rPr>
              <w:t>2026-2027年龙华区社会组织三项审计服务项目</w:t>
            </w:r>
            <w:r>
              <w:rPr>
                <w:rFonts w:hint="eastAsia" w:ascii="仿宋_GB2312" w:hAnsi="仿宋_GB2312" w:eastAsia="仿宋_GB2312" w:cs="仿宋_GB2312"/>
                <w:b/>
                <w:bCs/>
                <w:kern w:val="0"/>
                <w:sz w:val="32"/>
                <w:szCs w:val="32"/>
                <w:highlight w:val="none"/>
                <w:lang w:eastAsia="zh-CN"/>
              </w:rPr>
              <w:t>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rPr>
            </w:pPr>
            <w:bookmarkStart w:id="0" w:name="_Hlk232514726"/>
            <w:r>
              <w:rPr>
                <w:rFonts w:hint="eastAsia" w:ascii="仿宋_GB2312" w:hAnsi="仿宋_GB2312" w:eastAsia="仿宋_GB2312" w:cs="仿宋_GB2312"/>
                <w:kern w:val="0"/>
                <w:sz w:val="32"/>
                <w:szCs w:val="32"/>
                <w:highlight w:val="none"/>
              </w:rPr>
              <w:t>项目</w:t>
            </w:r>
          </w:p>
        </w:tc>
        <w:tc>
          <w:tcPr>
            <w:tcW w:w="3191"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内容</w:t>
            </w:r>
          </w:p>
        </w:tc>
        <w:tc>
          <w:tcPr>
            <w:tcW w:w="995"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eastAsia="zh-CN"/>
              </w:rPr>
              <w:t>单价</w:t>
            </w:r>
          </w:p>
        </w:tc>
        <w:tc>
          <w:tcPr>
            <w:tcW w:w="996"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数量</w:t>
            </w:r>
          </w:p>
        </w:tc>
        <w:tc>
          <w:tcPr>
            <w:tcW w:w="3446"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eastAsia="zh-CN"/>
              </w:rPr>
              <w:t>备注（要求）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color w:val="auto"/>
                <w:sz w:val="32"/>
                <w:szCs w:val="32"/>
                <w:highlight w:val="none"/>
                <w:lang w:eastAsia="zh-CN"/>
              </w:rPr>
              <w:t>2026-2027年龙华区社会组织三项审计服务项目</w:t>
            </w:r>
          </w:p>
        </w:tc>
        <w:tc>
          <w:tcPr>
            <w:tcW w:w="31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kern w:val="0"/>
                <w:sz w:val="32"/>
                <w:szCs w:val="32"/>
                <w:highlight w:val="none"/>
              </w:rPr>
              <w:t>对</w:t>
            </w:r>
            <w:r>
              <w:rPr>
                <w:rFonts w:hint="eastAsia" w:ascii="仿宋_GB2312" w:eastAsia="仿宋_GB2312" w:cs="Times New Roman"/>
                <w:spacing w:val="0"/>
                <w:sz w:val="32"/>
                <w:szCs w:val="32"/>
                <w:highlight w:val="none"/>
                <w:lang w:val="en-US" w:eastAsia="zh-CN"/>
              </w:rPr>
              <w:t>在龙华区民政局登记成立，且拟要变更法定代表人、注销清算的社会组织</w:t>
            </w:r>
            <w:r>
              <w:rPr>
                <w:rFonts w:hint="eastAsia" w:ascii="仿宋_GB2312" w:hAnsi="仿宋_GB2312" w:eastAsia="仿宋_GB2312" w:cs="仿宋_GB2312"/>
                <w:sz w:val="32"/>
                <w:szCs w:val="32"/>
                <w:highlight w:val="none"/>
                <w:lang w:val="en-US" w:eastAsia="zh-CN"/>
              </w:rPr>
              <w:t>（含社会团体、民办非企业单位）开展审计。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eastAsia="仿宋_GB2312" w:cs="Times New Roman"/>
                <w:spacing w:val="0"/>
                <w:sz w:val="32"/>
                <w:szCs w:val="32"/>
                <w:highlight w:val="none"/>
                <w:lang w:val="en-US" w:eastAsia="zh-CN"/>
              </w:rPr>
              <w:t>在龙华区民政局登记成立，且拟要换届的社会团体开展审计。</w:t>
            </w:r>
          </w:p>
        </w:tc>
        <w:tc>
          <w:tcPr>
            <w:tcW w:w="995"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default" w:ascii="仿宋_GB2312" w:hAnsi="仿宋_GB2312" w:eastAsia="宋体" w:cs="仿宋_GB2312"/>
                <w:kern w:val="0"/>
                <w:sz w:val="32"/>
                <w:szCs w:val="32"/>
                <w:highlight w:val="none"/>
                <w:lang w:val="en-US" w:eastAsia="zh-CN"/>
              </w:rPr>
            </w:pPr>
            <w:r>
              <w:rPr>
                <w:rFonts w:hint="eastAsia" w:ascii="仿宋_GB2312" w:hAnsi="仿宋_GB2312" w:cs="仿宋_GB2312"/>
                <w:kern w:val="0"/>
                <w:sz w:val="32"/>
                <w:szCs w:val="32"/>
                <w:highlight w:val="none"/>
                <w:lang w:val="en-US" w:eastAsia="zh-CN"/>
              </w:rPr>
              <w:t xml:space="preserve"> </w:t>
            </w:r>
            <w:r>
              <w:rPr>
                <w:rFonts w:hint="eastAsia" w:ascii="仿宋_GB2312" w:hAnsi="Calibri" w:eastAsia="仿宋_GB2312" w:cs="Times New Roman"/>
                <w:spacing w:val="0"/>
                <w:kern w:val="2"/>
                <w:sz w:val="32"/>
                <w:szCs w:val="32"/>
                <w:highlight w:val="none"/>
                <w:lang w:val="en-US" w:eastAsia="zh-CN" w:bidi="ar-SA"/>
                <w14:ligatures w14:val="none"/>
              </w:rPr>
              <w:t xml:space="preserve"> 元/家</w:t>
            </w:r>
          </w:p>
        </w:tc>
        <w:tc>
          <w:tcPr>
            <w:tcW w:w="996" w:type="dxa"/>
            <w:vAlign w:val="center"/>
          </w:tcPr>
          <w:p>
            <w:pPr>
              <w:pStyle w:val="15"/>
              <w:keepNext w:val="0"/>
              <w:keepLines w:val="0"/>
              <w:pageBreakBefore w:val="0"/>
              <w:kinsoku/>
              <w:overflowPunct/>
              <w:autoSpaceDE/>
              <w:autoSpaceDN/>
              <w:bidi w:val="0"/>
              <w:adjustRightInd/>
              <w:spacing w:after="0" w:line="560" w:lineRule="exact"/>
              <w:ind w:left="0" w:leftChars="0" w:right="0" w:rightChars="0"/>
              <w:jc w:val="center"/>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50</w:t>
            </w:r>
            <w:r>
              <w:rPr>
                <w:rFonts w:hint="eastAsia" w:ascii="仿宋_GB2312" w:hAnsi="仿宋_GB2312" w:eastAsia="仿宋_GB2312" w:cs="仿宋_GB2312"/>
                <w:kern w:val="0"/>
                <w:sz w:val="32"/>
                <w:szCs w:val="32"/>
                <w:highlight w:val="none"/>
              </w:rPr>
              <w:t>家</w:t>
            </w:r>
          </w:p>
        </w:tc>
        <w:tc>
          <w:tcPr>
            <w:tcW w:w="3446" w:type="dxa"/>
            <w:vAlign w:val="center"/>
          </w:tcPr>
          <w:p>
            <w:pPr>
              <w:pStyle w:val="15"/>
              <w:keepNext w:val="0"/>
              <w:keepLines w:val="0"/>
              <w:pageBreakBefore w:val="0"/>
              <w:numPr>
                <w:ilvl w:val="0"/>
                <w:numId w:val="0"/>
              </w:numPr>
              <w:kinsoku/>
              <w:wordWrap w:val="0"/>
              <w:overflowPunct/>
              <w:autoSpaceDE/>
              <w:autoSpaceDN/>
              <w:bidi w:val="0"/>
              <w:adjustRightInd/>
              <w:spacing w:after="0" w:line="560" w:lineRule="exact"/>
              <w:ind w:right="0" w:rightChars="0"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val="en-US" w:eastAsia="zh-CN"/>
              </w:rPr>
              <w:t>1.项目合同期内</w:t>
            </w:r>
            <w:r>
              <w:rPr>
                <w:rFonts w:hint="eastAsia" w:ascii="仿宋_GB2312" w:hAnsi="仿宋_GB2312" w:eastAsia="仿宋_GB2312" w:cs="仿宋_GB2312"/>
                <w:kern w:val="0"/>
                <w:sz w:val="32"/>
                <w:szCs w:val="32"/>
                <w:highlight w:val="none"/>
              </w:rPr>
              <w:t>完成</w:t>
            </w:r>
            <w:r>
              <w:rPr>
                <w:rFonts w:hint="eastAsia" w:ascii="仿宋_GB2312" w:hAnsi="仿宋_GB2312" w:eastAsia="仿宋_GB2312" w:cs="仿宋_GB2312"/>
                <w:kern w:val="0"/>
                <w:sz w:val="32"/>
                <w:szCs w:val="32"/>
                <w:highlight w:val="none"/>
                <w:lang w:eastAsia="zh-CN"/>
              </w:rPr>
              <w:t>龙华区社会组织法定代表人离任审计、注销清算审计及社会团体的换届审计工作，并出具审计报告。</w:t>
            </w:r>
          </w:p>
          <w:p>
            <w:pPr>
              <w:pStyle w:val="15"/>
              <w:keepNext w:val="0"/>
              <w:keepLines w:val="0"/>
              <w:pageBreakBefore w:val="0"/>
              <w:numPr>
                <w:ilvl w:val="0"/>
                <w:numId w:val="0"/>
              </w:numPr>
              <w:kinsoku/>
              <w:wordWrap w:val="0"/>
              <w:overflowPunct/>
              <w:autoSpaceDE/>
              <w:autoSpaceDN/>
              <w:bidi w:val="0"/>
              <w:adjustRightInd/>
              <w:spacing w:after="0" w:line="560" w:lineRule="exact"/>
              <w:ind w:right="0" w:rightChars="0"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val="en-US" w:eastAsia="zh-CN"/>
              </w:rPr>
              <w:t>2.以项目合同期内实际出具的审计报告据实结算，</w:t>
            </w:r>
            <w:r>
              <w:rPr>
                <w:rFonts w:hint="eastAsia" w:ascii="仿宋_GB2312" w:hAnsi="仿宋_GB2312" w:eastAsia="仿宋_GB2312" w:cs="仿宋_GB2312"/>
                <w:sz w:val="32"/>
                <w:szCs w:val="36"/>
                <w:highlight w:val="none"/>
                <w:lang w:eastAsia="zh-CN"/>
              </w:rPr>
              <w:t>最多不超过</w:t>
            </w:r>
            <w:r>
              <w:rPr>
                <w:rFonts w:hint="eastAsia" w:ascii="仿宋_GB2312" w:hAnsi="仿宋_GB2312" w:eastAsia="仿宋_GB2312" w:cs="仿宋_GB2312"/>
                <w:sz w:val="32"/>
                <w:szCs w:val="36"/>
                <w:highlight w:val="none"/>
                <w:lang w:val="en-US" w:eastAsia="zh-CN"/>
              </w:rPr>
              <w:t>50家。最终结算金额=成交单价×实际完成并验收合格的审计服务数量，累计结算金额不超过项目合同总金额。</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12" w:type="dxa"/>
            <w:gridSpan w:val="5"/>
            <w:vAlign w:val="center"/>
          </w:tcPr>
          <w:p>
            <w:pPr>
              <w:pStyle w:val="15"/>
              <w:keepNext w:val="0"/>
              <w:keepLines w:val="0"/>
              <w:pageBreakBefore w:val="0"/>
              <w:kinsoku/>
              <w:overflowPunct/>
              <w:autoSpaceDE/>
              <w:autoSpaceDN/>
              <w:bidi w:val="0"/>
              <w:adjustRightInd/>
              <w:spacing w:after="0" w:line="560" w:lineRule="exact"/>
              <w:ind w:left="0" w:leftChars="0" w:right="0" w:rightChars="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投标价格（万元）：    （以万元为单位，最多保留两位小数）</w:t>
            </w:r>
          </w:p>
        </w:tc>
      </w:tr>
    </w:tbl>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黑体" w:hAnsi="黑体" w:eastAsia="黑体" w:cs="黑体"/>
          <w:bCs/>
          <w:sz w:val="32"/>
          <w:szCs w:val="32"/>
          <w:highlight w:val="none"/>
        </w:rPr>
        <w:t>五、</w:t>
      </w:r>
      <w:r>
        <w:rPr>
          <w:rFonts w:hint="eastAsia" w:ascii="黑体" w:hAnsi="黑体" w:eastAsia="黑体" w:cs="黑体"/>
          <w:sz w:val="32"/>
          <w:szCs w:val="32"/>
          <w:highlight w:val="none"/>
        </w:rPr>
        <w:t>供应商的资质要求</w:t>
      </w:r>
    </w:p>
    <w:p>
      <w:pPr>
        <w:pStyle w:val="39"/>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（一）投标人须为在中华人民共和国境内依法登记设立的独立法人</w:t>
      </w:r>
      <w:r>
        <w:rPr>
          <w:rFonts w:hint="eastAsia" w:ascii="仿宋_GB2312" w:hAnsi="仿宋" w:eastAsia="仿宋_GB2312" w:cs="仿宋"/>
          <w:sz w:val="32"/>
          <w:szCs w:val="32"/>
          <w:highlight w:val="none"/>
          <w:lang w:eastAsia="zh-CN"/>
        </w:rPr>
        <w:t>或非法人组织</w:t>
      </w:r>
      <w:r>
        <w:rPr>
          <w:rFonts w:hint="eastAsia" w:ascii="仿宋_GB2312" w:hAnsi="仿宋" w:eastAsia="仿宋_GB2312" w:cs="仿宋"/>
          <w:sz w:val="32"/>
          <w:szCs w:val="32"/>
          <w:highlight w:val="none"/>
        </w:rPr>
        <w:t>。会计师事务所实行总所、分所管理的，仅允许总所或一个分所参与本项目投标，总所与分所不得同时参与本项目投标。</w:t>
      </w:r>
    </w:p>
    <w:p>
      <w:pPr>
        <w:pStyle w:val="39"/>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分所参与投标的，应当具有有效的《会计师事务所分所执业证书》，并提供总所针对本项目出具的专项授权书，明确由总所对分所参与本项目投标、签约、履约及相关执业行为承担相应法律责任。同时提供总所营业执照、总所《会计师事务所执业证书》及分所《会计师事务所分所执业证书》复印件并加盖公章。依据《中华人民共和国注册会计师法》、《会计师事务所执业许可和监督管理办法》等有关规定执行。</w:t>
      </w:r>
    </w:p>
    <w:p>
      <w:pPr>
        <w:pStyle w:val="39"/>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（二）参与本项目投标近三年内（供应商成立不足三年的可从成立之日起算），在经营活动中没有重大违法记录以及不存在被有关部门禁止参与政府采购活动且在有效期内的情况；</w:t>
      </w:r>
    </w:p>
    <w:p>
      <w:pPr>
        <w:pStyle w:val="39"/>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（三）</w:t>
      </w:r>
      <w:r>
        <w:rPr>
          <w:rFonts w:hint="eastAsia" w:ascii="仿宋_GB2312" w:hAnsi="仿宋" w:eastAsia="仿宋_GB2312" w:cs="仿宋"/>
          <w:bCs/>
          <w:sz w:val="32"/>
          <w:szCs w:val="32"/>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sz w:val="32"/>
          <w:szCs w:val="32"/>
          <w:highlight w:val="none"/>
        </w:rPr>
        <w:t>，不得同时参加本项目的采购活动。</w:t>
      </w:r>
    </w:p>
    <w:p>
      <w:pPr>
        <w:pStyle w:val="14"/>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hAnsi="仿宋" w:eastAsia="仿宋_GB2312" w:cs="仿宋"/>
          <w:bCs/>
          <w:sz w:val="32"/>
          <w:szCs w:val="32"/>
          <w:highlight w:val="none"/>
        </w:rPr>
      </w:pPr>
      <w:r>
        <w:rPr>
          <w:rFonts w:hint="eastAsia" w:ascii="仿宋_GB2312" w:hAnsi="仿宋" w:eastAsia="仿宋_GB2312" w:cs="仿宋"/>
          <w:sz w:val="32"/>
          <w:szCs w:val="32"/>
          <w:highlight w:val="none"/>
        </w:rPr>
        <w:t>（四）供应商资格条</w:t>
      </w:r>
      <w:r>
        <w:rPr>
          <w:rFonts w:hint="eastAsia" w:ascii="仿宋_GB2312" w:hAnsi="仿宋" w:eastAsia="仿宋_GB2312" w:cs="仿宋"/>
          <w:bCs/>
          <w:sz w:val="32"/>
          <w:szCs w:val="32"/>
          <w:highlight w:val="none"/>
        </w:rPr>
        <w:t>件：供应商应具有财政部门颁发且在有效期内的《会计师事务所执业证书》；分所参与投标的，应具有有效的《会计师事务所分所执业证书》。</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六、选定供应商方法</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rPr>
        <w:t>综合评分法</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七、评分要求（综合评分法适用）</w:t>
      </w:r>
    </w:p>
    <w:p>
      <w:pPr>
        <w:pStyle w:val="48"/>
        <w:keepNext w:val="0"/>
        <w:keepLines w:val="0"/>
        <w:pageBreakBefore w:val="0"/>
        <w:kinsoku/>
        <w:overflowPunct/>
        <w:autoSpaceDE/>
        <w:autoSpaceDN/>
        <w:bidi w:val="0"/>
        <w:adjustRightInd/>
        <w:spacing w:line="560" w:lineRule="exact"/>
        <w:ind w:firstLine="640" w:firstLineChars="200"/>
        <w:jc w:val="both"/>
        <w:textAlignment w:val="auto"/>
        <w:rPr>
          <w:rFonts w:hint="eastAsia" w:ascii="楷体_GB2312" w:hAnsi="楷体_GB2312" w:eastAsia="楷体_GB2312" w:cs="楷体_GB2312"/>
          <w:b w:val="0"/>
          <w:bCs/>
          <w:color w:val="000000"/>
          <w:sz w:val="32"/>
          <w:szCs w:val="32"/>
          <w:highlight w:val="none"/>
        </w:rPr>
      </w:pPr>
      <w:r>
        <w:rPr>
          <w:rFonts w:hint="eastAsia" w:ascii="楷体_GB2312" w:hAnsi="楷体_GB2312" w:eastAsia="楷体_GB2312" w:cs="楷体_GB2312"/>
          <w:b w:val="0"/>
          <w:bCs/>
          <w:color w:val="000000"/>
          <w:sz w:val="32"/>
          <w:szCs w:val="32"/>
          <w:highlight w:val="none"/>
        </w:rPr>
        <w:t>（一）评分规则</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楷体_GB2312" w:hAnsi="楷体_GB2312" w:eastAsia="楷体_GB2312" w:cs="楷体_GB2312"/>
          <w:bCs/>
          <w:color w:val="000000"/>
          <w:sz w:val="32"/>
          <w:szCs w:val="32"/>
          <w:highlight w:val="none"/>
        </w:rPr>
      </w:pPr>
      <w:r>
        <w:rPr>
          <w:rFonts w:hint="eastAsia" w:ascii="仿宋_GB2312" w:eastAsia="仿宋_GB2312"/>
          <w:color w:val="000000"/>
          <w:sz w:val="32"/>
          <w:szCs w:val="32"/>
          <w:highlight w:val="none"/>
        </w:rPr>
        <w:t>采取综合评分标准，平均分最高的投标人为本项目中标人。</w:t>
      </w:r>
    </w:p>
    <w:p>
      <w:pPr>
        <w:pStyle w:val="48"/>
        <w:keepNext w:val="0"/>
        <w:keepLines w:val="0"/>
        <w:pageBreakBefore w:val="0"/>
        <w:kinsoku/>
        <w:overflowPunct/>
        <w:autoSpaceDE/>
        <w:autoSpaceDN/>
        <w:bidi w:val="0"/>
        <w:adjustRightInd/>
        <w:spacing w:line="560" w:lineRule="exact"/>
        <w:ind w:firstLine="640" w:firstLineChars="200"/>
        <w:jc w:val="both"/>
        <w:textAlignment w:val="auto"/>
        <w:rPr>
          <w:rFonts w:hint="eastAsia" w:ascii="楷体_GB2312" w:hAnsi="楷体_GB2312" w:eastAsia="楷体_GB2312" w:cs="楷体_GB2312"/>
          <w:b w:val="0"/>
          <w:bCs/>
          <w:color w:val="000000"/>
          <w:sz w:val="32"/>
          <w:szCs w:val="32"/>
          <w:highlight w:val="none"/>
        </w:rPr>
      </w:pPr>
      <w:r>
        <w:rPr>
          <w:rFonts w:hint="eastAsia" w:ascii="楷体_GB2312" w:hAnsi="楷体_GB2312" w:eastAsia="楷体_GB2312" w:cs="楷体_GB2312"/>
          <w:b w:val="0"/>
          <w:bCs/>
          <w:color w:val="000000"/>
          <w:sz w:val="32"/>
          <w:szCs w:val="32"/>
          <w:highlight w:val="none"/>
        </w:rPr>
        <w:t>（二）评分权重</w:t>
      </w:r>
    </w:p>
    <w:tbl>
      <w:tblPr>
        <w:tblStyle w:val="22"/>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2197"/>
        <w:gridCol w:w="2197"/>
        <w:gridCol w:w="2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6"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评分内容</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报价</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商务部分</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6"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分值</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ascii="仿宋_GB2312" w:hAnsi="仿宋_GB2312" w:eastAsia="仿宋_GB2312" w:cs="仿宋_GB2312"/>
                <w:b w:val="0"/>
                <w:bCs/>
                <w:sz w:val="32"/>
                <w:szCs w:val="32"/>
                <w:highlight w:val="none"/>
              </w:rPr>
              <w:t>10</w:t>
            </w:r>
            <w:r>
              <w:rPr>
                <w:rFonts w:hint="eastAsia" w:ascii="仿宋_GB2312" w:hAnsi="仿宋_GB2312" w:eastAsia="仿宋_GB2312" w:cs="仿宋_GB2312"/>
                <w:b w:val="0"/>
                <w:bCs/>
                <w:sz w:val="32"/>
                <w:szCs w:val="32"/>
                <w:highlight w:val="none"/>
              </w:rPr>
              <w:t>分</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25</w:t>
            </w:r>
            <w:r>
              <w:rPr>
                <w:rFonts w:hint="eastAsia" w:ascii="仿宋_GB2312" w:hAnsi="仿宋_GB2312" w:eastAsia="仿宋_GB2312" w:cs="仿宋_GB2312"/>
                <w:b w:val="0"/>
                <w:bCs/>
                <w:sz w:val="32"/>
                <w:szCs w:val="32"/>
                <w:highlight w:val="none"/>
              </w:rPr>
              <w:t>分</w:t>
            </w:r>
          </w:p>
        </w:tc>
        <w:tc>
          <w:tcPr>
            <w:tcW w:w="2197" w:type="dxa"/>
            <w:tcBorders>
              <w:top w:val="single" w:color="auto" w:sz="4" w:space="0"/>
              <w:left w:val="single" w:color="auto" w:sz="4" w:space="0"/>
              <w:bottom w:val="single" w:color="auto" w:sz="4" w:space="0"/>
              <w:right w:val="single" w:color="auto" w:sz="4" w:space="0"/>
            </w:tcBorders>
          </w:tcPr>
          <w:p>
            <w:pPr>
              <w:pStyle w:val="48"/>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lang w:val="en-US" w:eastAsia="zh-CN"/>
              </w:rPr>
              <w:t>65</w:t>
            </w:r>
            <w:r>
              <w:rPr>
                <w:rFonts w:hint="eastAsia" w:ascii="仿宋_GB2312" w:hAnsi="仿宋_GB2312" w:eastAsia="仿宋_GB2312" w:cs="仿宋_GB2312"/>
                <w:b w:val="0"/>
                <w:bCs/>
                <w:sz w:val="32"/>
                <w:szCs w:val="32"/>
                <w:highlight w:val="none"/>
              </w:rPr>
              <w:t>分</w:t>
            </w:r>
          </w:p>
        </w:tc>
      </w:tr>
    </w:tbl>
    <w:p>
      <w:pPr>
        <w:pStyle w:val="48"/>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eastAsia="仿宋_GB2312"/>
          <w:sz w:val="32"/>
          <w:szCs w:val="32"/>
          <w:highlight w:val="none"/>
        </w:rPr>
      </w:pPr>
      <w:r>
        <w:rPr>
          <w:rFonts w:hint="eastAsia" w:ascii="楷体_GB2312" w:hAnsi="楷体_GB2312" w:eastAsia="楷体_GB2312" w:cs="楷体_GB2312"/>
          <w:b w:val="0"/>
          <w:bCs/>
          <w:color w:val="000000"/>
          <w:sz w:val="32"/>
          <w:szCs w:val="32"/>
          <w:highlight w:val="none"/>
        </w:rPr>
        <w:t>（三）评分标准</w:t>
      </w:r>
    </w:p>
    <w:tbl>
      <w:tblPr>
        <w:tblStyle w:val="23"/>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539"/>
        <w:gridCol w:w="6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restart"/>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报价</w:t>
            </w:r>
          </w:p>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（10分）</w:t>
            </w:r>
          </w:p>
        </w:tc>
        <w:tc>
          <w:tcPr>
            <w:tcW w:w="1539" w:type="dxa"/>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评分因素</w:t>
            </w:r>
          </w:p>
        </w:tc>
        <w:tc>
          <w:tcPr>
            <w:tcW w:w="6083"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价格</w:t>
            </w:r>
          </w:p>
        </w:tc>
        <w:tc>
          <w:tcPr>
            <w:tcW w:w="6083" w:type="dxa"/>
            <w:vAlign w:val="center"/>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以本次报价或投标人所报的有效报价中的最低价作为基准报价。投标人报价得分=（基准价/投标人报价）*10分，本项最高得10分。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restart"/>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商务部分</w:t>
            </w:r>
          </w:p>
          <w:p>
            <w:pPr>
              <w:pStyle w:val="2"/>
              <w:keepNext w:val="0"/>
              <w:keepLines w:val="0"/>
              <w:pageBreakBefore w:val="0"/>
              <w:kinsoku/>
              <w:overflowPunct/>
              <w:autoSpaceDE/>
              <w:autoSpaceDN/>
              <w:bidi w:val="0"/>
              <w:adjustRightInd/>
              <w:spacing w:line="560" w:lineRule="exact"/>
              <w:jc w:val="both"/>
              <w:textAlignment w:val="auto"/>
              <w:rPr>
                <w:rFonts w:ascii="仿宋_GB2312" w:hAnsi="仿宋_GB2312" w:eastAsia="仿宋_GB2312" w:cs="仿宋_GB2312"/>
                <w:kern w:val="0"/>
                <w:szCs w:val="32"/>
                <w:highlight w:val="none"/>
              </w:rPr>
            </w:pPr>
            <w:r>
              <w:rPr>
                <w:rFonts w:ascii="仿宋_GB2312" w:hAnsi="仿宋_GB2312" w:eastAsia="仿宋_GB2312" w:cs="仿宋_GB2312"/>
                <w:kern w:val="0"/>
                <w:szCs w:val="32"/>
                <w:highlight w:val="none"/>
              </w:rPr>
              <w:t>（</w:t>
            </w:r>
            <w:r>
              <w:rPr>
                <w:rFonts w:hint="eastAsia" w:ascii="仿宋_GB2312" w:hAnsi="仿宋_GB2312" w:eastAsia="仿宋_GB2312" w:cs="仿宋_GB2312"/>
                <w:kern w:val="0"/>
                <w:szCs w:val="32"/>
                <w:highlight w:val="none"/>
                <w:lang w:val="en-US" w:eastAsia="zh-CN"/>
              </w:rPr>
              <w:t>25</w:t>
            </w:r>
            <w:r>
              <w:rPr>
                <w:rFonts w:ascii="仿宋_GB2312" w:hAnsi="仿宋_GB2312" w:eastAsia="仿宋_GB2312" w:cs="仿宋_GB2312"/>
                <w:kern w:val="0"/>
                <w:szCs w:val="32"/>
                <w:highlight w:val="none"/>
              </w:rPr>
              <w:t>分）</w:t>
            </w:r>
          </w:p>
        </w:tc>
        <w:tc>
          <w:tcPr>
            <w:tcW w:w="1539" w:type="dxa"/>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评分</w:t>
            </w:r>
          </w:p>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因素</w:t>
            </w:r>
          </w:p>
        </w:tc>
        <w:tc>
          <w:tcPr>
            <w:tcW w:w="6083"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同类项目业绩（10分）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Style w:val="26"/>
                <w:kern w:val="0"/>
                <w:highlight w:val="none"/>
              </w:rPr>
            </w:pPr>
            <w:r>
              <w:rPr>
                <w:rFonts w:hint="eastAsia" w:ascii="仿宋_GB2312" w:hAnsi="仿宋_GB2312" w:eastAsia="仿宋_GB2312" w:cs="仿宋_GB2312"/>
                <w:kern w:val="0"/>
                <w:sz w:val="32"/>
                <w:szCs w:val="32"/>
                <w:highlight w:val="none"/>
              </w:rPr>
              <w:t>（一）评审内容：投标人近三年（2023年1月1日至今，以合同签订时间为准）完成的同类财务审计或年度财务报表审计服务业绩。</w:t>
            </w:r>
          </w:p>
          <w:p>
            <w:pPr>
              <w:pStyle w:val="14"/>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同类项目指与社会组织相关财务审计项目。须提供</w:t>
            </w:r>
            <w:r>
              <w:rPr>
                <w:rFonts w:ascii="仿宋_GB2312" w:hAnsi="仿宋_GB2312" w:eastAsia="仿宋_GB2312" w:cs="仿宋_GB2312"/>
                <w:kern w:val="0"/>
                <w:sz w:val="32"/>
                <w:szCs w:val="32"/>
                <w:highlight w:val="none"/>
              </w:rPr>
              <w:t>项目清单</w:t>
            </w:r>
            <w:r>
              <w:rPr>
                <w:rFonts w:hint="eastAsia" w:ascii="仿宋_GB2312" w:hAnsi="仿宋_GB2312" w:eastAsia="仿宋_GB2312" w:cs="仿宋_GB2312"/>
                <w:kern w:val="0"/>
                <w:sz w:val="32"/>
                <w:szCs w:val="32"/>
                <w:highlight w:val="none"/>
              </w:rPr>
              <w:t>（</w:t>
            </w:r>
            <w:r>
              <w:rPr>
                <w:rFonts w:ascii="仿宋_GB2312" w:hAnsi="仿宋_GB2312" w:eastAsia="仿宋_GB2312" w:cs="仿宋_GB2312"/>
                <w:kern w:val="0"/>
                <w:sz w:val="32"/>
                <w:szCs w:val="32"/>
                <w:highlight w:val="none"/>
              </w:rPr>
              <w:t>需</w:t>
            </w:r>
            <w:r>
              <w:rPr>
                <w:rFonts w:hint="eastAsia" w:ascii="仿宋_GB2312" w:hAnsi="仿宋_GB2312" w:eastAsia="仿宋_GB2312" w:cs="仿宋_GB2312"/>
                <w:kern w:val="0"/>
                <w:sz w:val="32"/>
                <w:szCs w:val="32"/>
                <w:highlight w:val="none"/>
              </w:rPr>
              <w:t>体现</w:t>
            </w:r>
            <w:r>
              <w:rPr>
                <w:rFonts w:ascii="仿宋_GB2312" w:hAnsi="仿宋_GB2312" w:eastAsia="仿宋_GB2312" w:cs="仿宋_GB2312"/>
                <w:kern w:val="0"/>
                <w:sz w:val="32"/>
                <w:szCs w:val="32"/>
                <w:highlight w:val="none"/>
              </w:rPr>
              <w:t>项目名称、</w:t>
            </w:r>
            <w:r>
              <w:rPr>
                <w:rFonts w:hint="eastAsia" w:ascii="仿宋_GB2312" w:hAnsi="仿宋_GB2312" w:eastAsia="仿宋_GB2312" w:cs="仿宋_GB2312"/>
                <w:kern w:val="0"/>
                <w:sz w:val="32"/>
                <w:szCs w:val="32"/>
                <w:highlight w:val="none"/>
              </w:rPr>
              <w:t>合同签订时间、</w:t>
            </w:r>
            <w:r>
              <w:rPr>
                <w:rFonts w:ascii="仿宋_GB2312" w:hAnsi="仿宋_GB2312" w:eastAsia="仿宋_GB2312" w:cs="仿宋_GB2312"/>
                <w:kern w:val="0"/>
                <w:sz w:val="32"/>
                <w:szCs w:val="32"/>
                <w:highlight w:val="none"/>
              </w:rPr>
              <w:t>用户单位名称等要素</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、合同关键页</w:t>
            </w:r>
            <w:r>
              <w:rPr>
                <w:rFonts w:hint="eastAsia" w:ascii="仿宋_GB2312" w:hAnsi="仿宋_GB2312" w:eastAsia="仿宋_GB2312" w:cs="仿宋_GB2312"/>
                <w:kern w:val="0"/>
                <w:sz w:val="32"/>
                <w:szCs w:val="32"/>
                <w:highlight w:val="none"/>
              </w:rPr>
              <w:t>及审计报告关键页</w:t>
            </w:r>
            <w:r>
              <w:rPr>
                <w:rFonts w:ascii="仿宋_GB2312" w:hAnsi="仿宋_GB2312" w:eastAsia="仿宋_GB2312" w:cs="仿宋_GB2312"/>
                <w:kern w:val="0"/>
                <w:sz w:val="32"/>
                <w:szCs w:val="32"/>
                <w:highlight w:val="none"/>
              </w:rPr>
              <w:t>并加盖公章</w:t>
            </w:r>
            <w:r>
              <w:rPr>
                <w:rFonts w:hint="eastAsia" w:ascii="仿宋_GB2312" w:hAnsi="仿宋_GB2312" w:eastAsia="仿宋_GB2312" w:cs="仿宋_GB2312"/>
                <w:kern w:val="0"/>
                <w:sz w:val="32"/>
                <w:szCs w:val="32"/>
                <w:highlight w:val="none"/>
              </w:rPr>
              <w:t>，未按要求提供不得分。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（二）评审依据：1.每提供1项同类项目经验得</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2.本项最高得10分。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事务所资质与信誉（</w:t>
            </w:r>
            <w:r>
              <w:rPr>
                <w:rFonts w:hint="eastAsia"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rPr>
              <w:t>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（一）评审内容：1.投标人具有</w:t>
            </w:r>
            <w:r>
              <w:rPr>
                <w:rFonts w:hint="eastAsia" w:ascii="仿宋_GB2312" w:hAnsi="仿宋_GB2312" w:eastAsia="仿宋_GB2312" w:cs="仿宋_GB2312"/>
                <w:kern w:val="0"/>
                <w:sz w:val="32"/>
                <w:szCs w:val="32"/>
                <w:highlight w:val="none"/>
                <w:lang w:eastAsia="zh-CN"/>
              </w:rPr>
              <w:t>与审计执业</w:t>
            </w:r>
            <w:r>
              <w:rPr>
                <w:rFonts w:ascii="仿宋_GB2312" w:hAnsi="仿宋_GB2312" w:eastAsia="仿宋_GB2312" w:cs="仿宋_GB2312"/>
                <w:kern w:val="0"/>
                <w:sz w:val="32"/>
                <w:szCs w:val="32"/>
                <w:highlight w:val="none"/>
              </w:rPr>
              <w:t>相关</w:t>
            </w:r>
            <w:r>
              <w:rPr>
                <w:rFonts w:hint="eastAsia" w:ascii="仿宋_GB2312" w:hAnsi="仿宋_GB2312" w:eastAsia="仿宋_GB2312" w:cs="仿宋_GB2312"/>
                <w:kern w:val="0"/>
                <w:sz w:val="32"/>
                <w:szCs w:val="32"/>
                <w:highlight w:val="none"/>
              </w:rPr>
              <w:t>管理体系认证。</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须提供</w:t>
            </w:r>
            <w:r>
              <w:rPr>
                <w:rFonts w:hint="eastAsia" w:ascii="仿宋_GB2312" w:hAnsi="仿宋_GB2312" w:eastAsia="仿宋_GB2312" w:cs="仿宋_GB2312"/>
                <w:kern w:val="0"/>
                <w:sz w:val="32"/>
                <w:szCs w:val="32"/>
                <w:highlight w:val="none"/>
                <w:lang w:eastAsia="zh-CN"/>
              </w:rPr>
              <w:t>在有效期内的</w:t>
            </w:r>
            <w:r>
              <w:rPr>
                <w:rFonts w:hint="eastAsia" w:ascii="仿宋_GB2312" w:hAnsi="仿宋_GB2312" w:eastAsia="仿宋_GB2312" w:cs="仿宋_GB2312"/>
                <w:kern w:val="0"/>
                <w:sz w:val="32"/>
                <w:szCs w:val="32"/>
                <w:highlight w:val="none"/>
              </w:rPr>
              <w:t>相关证书</w:t>
            </w:r>
            <w:r>
              <w:rPr>
                <w:rFonts w:hint="eastAsia" w:ascii="仿宋_GB2312" w:hAnsi="仿宋_GB2312" w:eastAsia="仿宋_GB2312" w:cs="仿宋_GB2312"/>
                <w:kern w:val="0"/>
                <w:sz w:val="32"/>
                <w:szCs w:val="32"/>
                <w:highlight w:val="none"/>
                <w:lang w:eastAsia="zh-CN"/>
              </w:rPr>
              <w:t>扫描件，全国认证认可信息公共服务平台截图</w:t>
            </w:r>
            <w:r>
              <w:rPr>
                <w:rFonts w:hint="eastAsia" w:ascii="仿宋_GB2312" w:hAnsi="仿宋_GB2312" w:eastAsia="仿宋_GB2312" w:cs="仿宋_GB2312"/>
                <w:kern w:val="0"/>
                <w:sz w:val="32"/>
                <w:szCs w:val="32"/>
                <w:highlight w:val="none"/>
              </w:rPr>
              <w:t>并加盖公章。</w:t>
            </w:r>
          </w:p>
          <w:p>
            <w:pPr>
              <w:keepNext w:val="0"/>
              <w:keepLines w:val="0"/>
              <w:pageBreakBefore w:val="0"/>
              <w:numPr>
                <w:ilvl w:val="0"/>
                <w:numId w:val="2"/>
              </w:numPr>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评审依据：</w:t>
            </w:r>
          </w:p>
          <w:p>
            <w:pPr>
              <w:keepNext w:val="0"/>
              <w:keepLines w:val="0"/>
              <w:pageBreakBefore w:val="0"/>
              <w:numPr>
                <w:ilvl w:val="0"/>
                <w:numId w:val="0"/>
              </w:numPr>
              <w:kinsoku/>
              <w:overflowPunct/>
              <w:topLinePunct/>
              <w:autoSpaceDE/>
              <w:autoSpaceDN/>
              <w:bidi w:val="0"/>
              <w:adjustRightInd/>
              <w:snapToGrid w:val="0"/>
              <w:spacing w:line="560" w:lineRule="exact"/>
              <w:jc w:val="both"/>
              <w:textAlignment w:val="auto"/>
              <w:rPr>
                <w:rFonts w:hint="default" w:ascii="仿宋_GB2312" w:hAnsi="仿宋_GB2312" w:eastAsia="仿宋_GB2312" w:cs="仿宋_GB2312"/>
                <w:kern w:val="0"/>
                <w:sz w:val="32"/>
                <w:szCs w:val="32"/>
                <w:highlight w:val="none"/>
                <w:lang w:val="en-US" w:eastAsia="zh-CN"/>
              </w:rPr>
            </w:pPr>
            <w:r>
              <w:rPr>
                <w:rFonts w:hint="default" w:ascii="仿宋_GB2312" w:hAnsi="仿宋_GB2312" w:eastAsia="仿宋_GB2312" w:cs="仿宋_GB2312"/>
                <w:kern w:val="0"/>
                <w:sz w:val="32"/>
                <w:szCs w:val="32"/>
                <w:highlight w:val="none"/>
                <w:lang w:val="en-US" w:eastAsia="zh-CN"/>
              </w:rPr>
              <w:t>每提供1项有效管理体系认证得2分，最高得6分</w:t>
            </w:r>
            <w:r>
              <w:rPr>
                <w:rFonts w:hint="eastAsia" w:ascii="仿宋_GB2312" w:hAnsi="仿宋_GB2312" w:eastAsia="仿宋_GB2312" w:cs="仿宋_GB2312"/>
                <w:kern w:val="0"/>
                <w:sz w:val="32"/>
                <w:szCs w:val="3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continue"/>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信息安全与保密措施</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val="en-US" w:eastAsia="zh-CN"/>
              </w:rPr>
              <w:t>9</w:t>
            </w:r>
            <w:r>
              <w:rPr>
                <w:rFonts w:hint="eastAsia" w:ascii="仿宋_GB2312" w:hAnsi="仿宋_GB2312" w:eastAsia="仿宋_GB2312" w:cs="仿宋_GB2312"/>
                <w:kern w:val="0"/>
                <w:sz w:val="32"/>
                <w:szCs w:val="32"/>
                <w:highlight w:val="none"/>
              </w:rPr>
              <w:t>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（一）评审内容：</w:t>
            </w:r>
            <w:r>
              <w:rPr>
                <w:rFonts w:ascii="仿宋_GB2312" w:hAnsi="仿宋_GB2312" w:eastAsia="仿宋_GB2312" w:cs="仿宋_GB2312"/>
                <w:kern w:val="0"/>
                <w:sz w:val="32"/>
                <w:szCs w:val="32"/>
                <w:highlight w:val="none"/>
              </w:rPr>
              <w:t>1</w:t>
            </w:r>
            <w:r>
              <w:rPr>
                <w:rFonts w:hint="eastAsia" w:ascii="仿宋_GB2312" w:hAnsi="仿宋_GB2312" w:eastAsia="仿宋_GB2312" w:cs="仿宋_GB2312"/>
                <w:kern w:val="0"/>
                <w:sz w:val="32"/>
                <w:szCs w:val="32"/>
                <w:highlight w:val="none"/>
              </w:rPr>
              <w:t>.投标人对执行业务过程中知悉的采购人信息的保密措施；</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2</w:t>
            </w:r>
            <w:r>
              <w:rPr>
                <w:rFonts w:hint="eastAsia" w:ascii="仿宋_GB2312" w:hAnsi="仿宋_GB2312" w:eastAsia="仿宋_GB2312" w:cs="仿宋_GB2312"/>
                <w:kern w:val="0"/>
                <w:sz w:val="32"/>
                <w:szCs w:val="32"/>
                <w:highlight w:val="none"/>
              </w:rPr>
              <w:t>.投标人出具保密承诺书。</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须提供信息安全保密方案、保密承诺书并加盖公章。</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（二）评审依据：根据投标人提供信息安全保密方案及保密承诺书进行评分：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1.保密措施完善、风险评估承担能力强，得</w:t>
            </w:r>
            <w:r>
              <w:rPr>
                <w:rFonts w:hint="eastAsia" w:ascii="仿宋_GB2312" w:hAnsi="仿宋_GB2312" w:eastAsia="仿宋_GB2312" w:cs="仿宋_GB2312"/>
                <w:kern w:val="0"/>
                <w:sz w:val="32"/>
                <w:szCs w:val="32"/>
                <w:highlight w:val="none"/>
                <w:lang w:val="en-US" w:eastAsia="zh-CN"/>
              </w:rPr>
              <w:t>9</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2.保密措施较为完善、风险评估承担能力较强，得</w:t>
            </w:r>
            <w:r>
              <w:rPr>
                <w:rFonts w:hint="eastAsia"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3.保密措施一般、风险评估承担能力一般，得</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4.未提供保密方案及保密承诺书本项不得分。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94" w:type="dxa"/>
            <w:vMerge w:val="restart"/>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技术部分（</w:t>
            </w:r>
            <w:r>
              <w:rPr>
                <w:rFonts w:hint="eastAsia" w:ascii="仿宋_GB2312" w:hAnsi="仿宋_GB2312" w:eastAsia="仿宋_GB2312" w:cs="仿宋_GB2312"/>
                <w:kern w:val="0"/>
                <w:sz w:val="32"/>
                <w:szCs w:val="32"/>
                <w:highlight w:val="none"/>
                <w:lang w:val="en-US" w:eastAsia="zh-CN"/>
              </w:rPr>
              <w:t>65</w:t>
            </w:r>
            <w:r>
              <w:rPr>
                <w:rFonts w:hint="eastAsia" w:ascii="仿宋_GB2312" w:hAnsi="仿宋_GB2312" w:eastAsia="仿宋_GB2312" w:cs="仿宋_GB2312"/>
                <w:kern w:val="0"/>
                <w:sz w:val="32"/>
                <w:szCs w:val="32"/>
                <w:highlight w:val="none"/>
              </w:rPr>
              <w:t>分）</w:t>
            </w: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审计实施方案（</w:t>
            </w:r>
            <w:r>
              <w:rPr>
                <w:rFonts w:hint="eastAsia" w:ascii="仿宋_GB2312" w:hAnsi="仿宋_GB2312" w:eastAsia="仿宋_GB2312" w:cs="仿宋_GB2312"/>
                <w:kern w:val="0"/>
                <w:sz w:val="32"/>
                <w:szCs w:val="32"/>
                <w:highlight w:val="none"/>
                <w:lang w:val="en-US" w:eastAsia="zh-CN"/>
              </w:rPr>
              <w:t>20</w:t>
            </w:r>
            <w:r>
              <w:rPr>
                <w:rFonts w:hint="eastAsia" w:ascii="仿宋_GB2312" w:hAnsi="仿宋_GB2312" w:eastAsia="仿宋_GB2312" w:cs="仿宋_GB2312"/>
                <w:kern w:val="0"/>
                <w:sz w:val="32"/>
                <w:szCs w:val="32"/>
                <w:highlight w:val="none"/>
              </w:rPr>
              <w:t>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（一）评审内容：须提供审计实施方案并加盖公章。</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w:t>
            </w:r>
            <w:r>
              <w:rPr>
                <w:rFonts w:hint="eastAsia" w:ascii="仿宋_GB2312" w:hAnsi="仿宋_GB2312" w:eastAsia="仿宋_GB2312" w:cs="仿宋_GB2312"/>
                <w:sz w:val="32"/>
                <w:szCs w:val="32"/>
                <w:highlight w:val="none"/>
              </w:rPr>
              <w:t>项目理解及分析</w:t>
            </w:r>
            <w:r>
              <w:rPr>
                <w:rFonts w:hint="eastAsia" w:ascii="仿宋_GB2312" w:hAnsi="仿宋_GB2312" w:eastAsia="仿宋_GB2312" w:cs="仿宋_GB2312"/>
                <w:kern w:val="0"/>
                <w:sz w:val="32"/>
                <w:szCs w:val="32"/>
                <w:highlight w:val="none"/>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2.审计重点、难点分析及应对措施；</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val="en-US" w:eastAsia="zh-CN"/>
              </w:rPr>
              <w:t>3</w:t>
            </w:r>
            <w:r>
              <w:rPr>
                <w:rFonts w:hint="eastAsia" w:ascii="仿宋_GB2312" w:hAnsi="仿宋_GB2312" w:eastAsia="仿宋_GB2312" w:cs="仿宋_GB2312"/>
                <w:kern w:val="0"/>
                <w:sz w:val="32"/>
                <w:szCs w:val="32"/>
                <w:highlight w:val="none"/>
              </w:rPr>
              <w:t>.审计工作进度安排及阶段成果交付计划；</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.过程资料及档案管理方案。</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（二）评审依据：根据投标人提供的审计实施方案进行综合评价：</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rPr>
              <w:t>满足以上任意一项要求</w:t>
            </w:r>
            <w:r>
              <w:rPr>
                <w:rFonts w:hint="eastAsia" w:ascii="仿宋_GB2312" w:hAnsi="仿宋_GB2312" w:eastAsia="仿宋_GB2312" w:cs="仿宋_GB2312"/>
                <w:kern w:val="0"/>
                <w:sz w:val="32"/>
                <w:szCs w:val="32"/>
                <w:highlight w:val="none"/>
                <w:lang w:val="en-US" w:eastAsia="zh-CN"/>
              </w:rPr>
              <w:t>3</w:t>
            </w:r>
            <w:r>
              <w:rPr>
                <w:rFonts w:hint="eastAsia" w:ascii="仿宋_GB2312" w:hAnsi="仿宋_GB2312" w:eastAsia="仿宋_GB2312" w:cs="仿宋_GB2312"/>
                <w:kern w:val="0"/>
                <w:sz w:val="32"/>
                <w:szCs w:val="32"/>
                <w:highlight w:val="none"/>
              </w:rPr>
              <w:t>分，最高得</w:t>
            </w:r>
            <w:r>
              <w:rPr>
                <w:rFonts w:hint="eastAsia" w:ascii="仿宋_GB2312" w:hAnsi="仿宋_GB2312" w:eastAsia="仿宋_GB2312" w:cs="仿宋_GB2312"/>
                <w:kern w:val="0"/>
                <w:sz w:val="32"/>
                <w:szCs w:val="32"/>
                <w:highlight w:val="none"/>
                <w:lang w:val="en-US" w:eastAsia="zh-CN"/>
              </w:rPr>
              <w:t>12</w:t>
            </w:r>
            <w:r>
              <w:rPr>
                <w:rFonts w:hint="eastAsia" w:ascii="仿宋_GB2312" w:hAnsi="仿宋_GB2312" w:eastAsia="仿宋_GB2312" w:cs="仿宋_GB2312"/>
                <w:kern w:val="0"/>
                <w:sz w:val="32"/>
                <w:szCs w:val="32"/>
                <w:highlight w:val="none"/>
              </w:rPr>
              <w:t>分</w:t>
            </w:r>
            <w:r>
              <w:rPr>
                <w:rFonts w:hint="eastAsia" w:ascii="仿宋_GB2312" w:hAnsi="仿宋_GB2312" w:eastAsia="仿宋_GB2312" w:cs="仿宋_GB2312"/>
                <w:kern w:val="0"/>
                <w:sz w:val="32"/>
                <w:szCs w:val="32"/>
                <w:highlight w:val="none"/>
                <w:lang w:eastAsia="zh-CN"/>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在此基础上，根据供应商的具体响应内容按照量化的评审因素指标进一步评审，设定优、良、中、差四个评分标准：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1.方案整体科学合理、针对性强、可操作性强，评审为优，得</w:t>
            </w:r>
            <w:r>
              <w:rPr>
                <w:rFonts w:hint="eastAsia" w:ascii="仿宋_GB2312" w:hAnsi="仿宋_GB2312" w:eastAsia="仿宋_GB2312" w:cs="仿宋_GB2312"/>
                <w:kern w:val="0"/>
                <w:sz w:val="32"/>
                <w:szCs w:val="32"/>
                <w:highlight w:val="none"/>
                <w:lang w:val="en-US" w:eastAsia="zh-CN"/>
              </w:rPr>
              <w:t>8</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2.方案较为合理、有一定针对性、可操作性较强，评审为良，得</w:t>
            </w:r>
            <w:r>
              <w:rPr>
                <w:rFonts w:hint="eastAsia"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3.方案一般、针对性一般、可操作性一般，评审为中，得</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4.方案不太合理、缺乏针对性、可操作性差，评审为差，得</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5.未提供</w:t>
            </w:r>
            <w:r>
              <w:rPr>
                <w:rFonts w:hint="eastAsia" w:ascii="仿宋_GB2312" w:hAnsi="仿宋_GB2312" w:eastAsia="仿宋_GB2312" w:cs="仿宋_GB2312"/>
                <w:kern w:val="0"/>
                <w:sz w:val="32"/>
                <w:szCs w:val="32"/>
                <w:highlight w:val="none"/>
                <w:lang w:eastAsia="zh-CN"/>
              </w:rPr>
              <w:t>审计</w:t>
            </w:r>
            <w:r>
              <w:rPr>
                <w:rFonts w:hint="eastAsia" w:ascii="仿宋_GB2312" w:hAnsi="仿宋_GB2312" w:eastAsia="仿宋_GB2312" w:cs="仿宋_GB2312"/>
                <w:kern w:val="0"/>
                <w:sz w:val="32"/>
                <w:szCs w:val="32"/>
                <w:highlight w:val="none"/>
              </w:rPr>
              <w:t>实施方案不得分。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7"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项目团队配置（2</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分）</w:t>
            </w:r>
          </w:p>
        </w:tc>
        <w:tc>
          <w:tcPr>
            <w:tcW w:w="6083" w:type="dxa"/>
          </w:tcPr>
          <w:p>
            <w:pPr>
              <w:keepNext w:val="0"/>
              <w:keepLines w:val="0"/>
              <w:pageBreakBefore w:val="0"/>
              <w:numPr>
                <w:ilvl w:val="0"/>
                <w:numId w:val="3"/>
              </w:numPr>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rPr>
              <w:t>评审内容：</w:t>
            </w:r>
            <w:r>
              <w:rPr>
                <w:rFonts w:hint="eastAsia" w:ascii="仿宋_GB2312" w:hAnsi="仿宋_GB2312" w:eastAsia="仿宋_GB2312" w:cs="仿宋_GB2312"/>
                <w:kern w:val="0"/>
                <w:sz w:val="32"/>
                <w:szCs w:val="32"/>
                <w:highlight w:val="none"/>
                <w:lang w:eastAsia="zh-CN"/>
              </w:rPr>
              <w:t>投标人承诺配备固定项目工作人员（包含项目负责人及至少</w:t>
            </w:r>
            <w:r>
              <w:rPr>
                <w:rFonts w:hint="eastAsia" w:ascii="仿宋_GB2312" w:hAnsi="仿宋_GB2312" w:eastAsia="仿宋_GB2312" w:cs="仿宋_GB2312"/>
                <w:kern w:val="0"/>
                <w:sz w:val="32"/>
                <w:szCs w:val="32"/>
                <w:highlight w:val="none"/>
                <w:lang w:val="en-US" w:eastAsia="zh-CN"/>
              </w:rPr>
              <w:t>2名具有</w:t>
            </w:r>
            <w:r>
              <w:rPr>
                <w:rFonts w:hint="eastAsia" w:ascii="仿宋_GB2312" w:hAnsi="仿宋_GB2312" w:eastAsia="仿宋_GB2312" w:cs="仿宋_GB2312"/>
                <w:kern w:val="0"/>
                <w:sz w:val="32"/>
                <w:szCs w:val="32"/>
                <w:highlight w:val="none"/>
              </w:rPr>
              <w:t>注册会计师执业证</w:t>
            </w:r>
            <w:r>
              <w:rPr>
                <w:rFonts w:hint="eastAsia" w:ascii="仿宋_GB2312" w:hAnsi="仿宋_GB2312" w:eastAsia="仿宋_GB2312" w:cs="仿宋_GB2312"/>
                <w:kern w:val="0"/>
                <w:sz w:val="32"/>
                <w:szCs w:val="32"/>
                <w:highlight w:val="none"/>
                <w:lang w:eastAsia="zh-CN"/>
              </w:rPr>
              <w:t>的</w:t>
            </w:r>
            <w:r>
              <w:rPr>
                <w:rFonts w:hint="eastAsia" w:ascii="仿宋_GB2312" w:hAnsi="仿宋_GB2312" w:eastAsia="仿宋_GB2312" w:cs="仿宋_GB2312"/>
                <w:kern w:val="0"/>
                <w:sz w:val="32"/>
                <w:szCs w:val="32"/>
                <w:highlight w:val="none"/>
                <w:lang w:val="en-US" w:eastAsia="zh-CN"/>
              </w:rPr>
              <w:t>团队成员</w:t>
            </w:r>
            <w:r>
              <w:rPr>
                <w:rFonts w:hint="eastAsia" w:ascii="仿宋_GB2312" w:hAnsi="仿宋_GB2312" w:eastAsia="仿宋_GB2312" w:cs="仿宋_GB2312"/>
                <w:kern w:val="0"/>
                <w:sz w:val="32"/>
                <w:szCs w:val="32"/>
                <w:highlight w:val="none"/>
                <w:lang w:eastAsia="zh-CN"/>
              </w:rPr>
              <w:t>），其中项目负责人由投标人专职工作人员担任，负责2026-2027年龙华区社会组织三项审计服务项目全过程组织协调和日常对接工作。采购人可根据项目实施需要，要求该项目负责人协助处理与本项目相关的组织协调、资料整理等工作。</w:t>
            </w:r>
          </w:p>
          <w:p>
            <w:pPr>
              <w:keepNext w:val="0"/>
              <w:keepLines w:val="0"/>
              <w:pageBreakBefore w:val="0"/>
              <w:numPr>
                <w:ilvl w:val="0"/>
                <w:numId w:val="0"/>
              </w:numPr>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1.投标人需针对上述内容作出承诺并提供承诺函（格式自拟）；</w:t>
            </w:r>
          </w:p>
          <w:p>
            <w:pPr>
              <w:keepNext w:val="0"/>
              <w:keepLines w:val="0"/>
              <w:pageBreakBefore w:val="0"/>
              <w:numPr>
                <w:ilvl w:val="0"/>
                <w:numId w:val="0"/>
              </w:numPr>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提供</w:t>
            </w:r>
            <w:r>
              <w:rPr>
                <w:rFonts w:hint="eastAsia" w:ascii="仿宋_GB2312" w:hAnsi="仿宋_GB2312" w:eastAsia="仿宋_GB2312" w:cs="仿宋_GB2312"/>
                <w:kern w:val="0"/>
                <w:sz w:val="32"/>
                <w:szCs w:val="32"/>
                <w:highlight w:val="none"/>
              </w:rPr>
              <w:t>项目</w:t>
            </w:r>
            <w:r>
              <w:rPr>
                <w:rFonts w:hint="eastAsia" w:ascii="仿宋_GB2312" w:hAnsi="仿宋_GB2312" w:eastAsia="仿宋_GB2312" w:cs="仿宋_GB2312"/>
                <w:kern w:val="0"/>
                <w:sz w:val="32"/>
                <w:szCs w:val="32"/>
                <w:highlight w:val="none"/>
                <w:lang w:eastAsia="zh-CN"/>
              </w:rPr>
              <w:t>负责人</w:t>
            </w:r>
            <w:r>
              <w:rPr>
                <w:rFonts w:hint="eastAsia" w:ascii="仿宋_GB2312" w:hAnsi="仿宋_GB2312" w:eastAsia="仿宋_GB2312" w:cs="仿宋_GB2312"/>
                <w:kern w:val="0"/>
                <w:sz w:val="32"/>
                <w:szCs w:val="32"/>
                <w:highlight w:val="none"/>
              </w:rPr>
              <w:t>的</w:t>
            </w:r>
            <w:r>
              <w:rPr>
                <w:rFonts w:hint="eastAsia" w:ascii="仿宋_GB2312" w:hAnsi="仿宋_GB2312" w:eastAsia="仿宋_GB2312" w:cs="仿宋_GB2312"/>
                <w:kern w:val="0"/>
                <w:sz w:val="32"/>
                <w:szCs w:val="32"/>
                <w:highlight w:val="none"/>
                <w:lang w:eastAsia="zh-CN"/>
              </w:rPr>
              <w:t>相关专业</w:t>
            </w:r>
            <w:r>
              <w:rPr>
                <w:rFonts w:hint="eastAsia" w:ascii="仿宋_GB2312" w:hAnsi="仿宋_GB2312" w:eastAsia="仿宋_GB2312" w:cs="仿宋_GB2312"/>
                <w:kern w:val="0"/>
                <w:sz w:val="32"/>
                <w:szCs w:val="32"/>
                <w:highlight w:val="none"/>
              </w:rPr>
              <w:t>资质与经验（注册会计师执业资格、同类项目经验</w:t>
            </w:r>
            <w:r>
              <w:rPr>
                <w:rFonts w:hint="eastAsia" w:ascii="仿宋_GB2312" w:hAnsi="仿宋_GB2312" w:eastAsia="仿宋_GB2312" w:cs="仿宋_GB2312"/>
                <w:kern w:val="0"/>
                <w:sz w:val="32"/>
                <w:szCs w:val="32"/>
                <w:highlight w:val="none"/>
                <w:lang w:eastAsia="zh-CN"/>
              </w:rPr>
              <w:t>年限证明</w:t>
            </w:r>
            <w:r>
              <w:rPr>
                <w:rFonts w:hint="eastAsia" w:ascii="仿宋_GB2312" w:hAnsi="仿宋_GB2312" w:eastAsia="仿宋_GB2312" w:cs="仿宋_GB2312"/>
                <w:kern w:val="0"/>
                <w:sz w:val="32"/>
                <w:szCs w:val="32"/>
                <w:highlight w:val="none"/>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val="en-US" w:eastAsia="zh-CN"/>
              </w:rPr>
              <w:t>3</w:t>
            </w:r>
            <w:r>
              <w:rPr>
                <w:rFonts w:hint="eastAsia" w:ascii="仿宋_GB2312" w:hAnsi="仿宋_GB2312" w:eastAsia="仿宋_GB2312" w:cs="仿宋_GB2312"/>
                <w:kern w:val="0"/>
                <w:sz w:val="32"/>
                <w:szCs w:val="32"/>
                <w:highlight w:val="none"/>
              </w:rPr>
              <w:t>.项目团队成员的专业结构、人数配置</w:t>
            </w:r>
            <w:r>
              <w:rPr>
                <w:rFonts w:hint="eastAsia" w:ascii="仿宋_GB2312" w:hAnsi="仿宋_GB2312" w:eastAsia="仿宋_GB2312" w:cs="仿宋_GB2312"/>
                <w:kern w:val="0"/>
                <w:sz w:val="32"/>
                <w:szCs w:val="32"/>
                <w:highlight w:val="none"/>
                <w:lang w:eastAsia="zh-CN"/>
              </w:rPr>
              <w:t>、专业资质</w:t>
            </w:r>
            <w:r>
              <w:rPr>
                <w:rFonts w:hint="eastAsia" w:ascii="仿宋_GB2312" w:hAnsi="仿宋_GB2312" w:eastAsia="仿宋_GB2312" w:cs="仿宋_GB2312"/>
                <w:kern w:val="0"/>
                <w:sz w:val="32"/>
                <w:szCs w:val="32"/>
                <w:highlight w:val="none"/>
              </w:rPr>
              <w:t>及从业经验；</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.本项目配置的团队成员及项目投入保障情况。须提供项目负责人个人同类审计项目业绩证明材料、拟派</w:t>
            </w:r>
            <w:r>
              <w:rPr>
                <w:rFonts w:hint="eastAsia" w:ascii="仿宋_GB2312" w:hAnsi="仿宋_GB2312" w:eastAsia="仿宋_GB2312" w:cs="仿宋_GB2312"/>
                <w:kern w:val="0"/>
                <w:sz w:val="32"/>
                <w:szCs w:val="32"/>
                <w:highlight w:val="none"/>
                <w:lang w:eastAsia="zh-CN"/>
              </w:rPr>
              <w:t>团队</w:t>
            </w:r>
            <w:r>
              <w:rPr>
                <w:rFonts w:hint="eastAsia" w:ascii="仿宋_GB2312" w:hAnsi="仿宋_GB2312" w:eastAsia="仿宋_GB2312" w:cs="仿宋_GB2312"/>
                <w:kern w:val="0"/>
                <w:sz w:val="32"/>
                <w:szCs w:val="32"/>
                <w:highlight w:val="none"/>
              </w:rPr>
              <w:t>人员配置表、注册会计师执业证书复印件、社保缴纳证明（如投标日上一个月的社保材料因社保部门原因暂时无法取得，则可以往前顺延一个月；若公司成立不足三个月的，则提供公司自成立之日起的社保证明）及项目团队人员的投入承诺等证明材料并加盖公章。</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w:t>
            </w:r>
          </w:p>
          <w:p>
            <w:pPr>
              <w:keepNext w:val="0"/>
              <w:keepLines w:val="0"/>
              <w:pageBreakBefore w:val="0"/>
              <w:kinsoku/>
              <w:overflowPunct/>
              <w:topLinePunct/>
              <w:autoSpaceDE/>
              <w:autoSpaceDN/>
              <w:bidi w:val="0"/>
              <w:adjustRightInd/>
              <w:snapToGrid w:val="0"/>
              <w:spacing w:line="560" w:lineRule="exact"/>
              <w:jc w:val="both"/>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rPr>
              <w:t>1.项目负责人具备注册会计师执业资格，且具有5年及以上</w:t>
            </w:r>
            <w:r>
              <w:rPr>
                <w:rFonts w:hint="eastAsia" w:ascii="仿宋_GB2312" w:hAnsi="仿宋_GB2312" w:eastAsia="仿宋_GB2312" w:cs="仿宋_GB2312"/>
                <w:kern w:val="0"/>
                <w:sz w:val="32"/>
                <w:szCs w:val="32"/>
                <w:highlight w:val="none"/>
                <w:lang w:eastAsia="zh-CN"/>
              </w:rPr>
              <w:t>社会组织审计工作</w:t>
            </w:r>
            <w:r>
              <w:rPr>
                <w:rFonts w:hint="eastAsia" w:ascii="仿宋_GB2312" w:hAnsi="仿宋_GB2312" w:eastAsia="仿宋_GB2312" w:cs="仿宋_GB2312"/>
                <w:kern w:val="0"/>
                <w:sz w:val="32"/>
                <w:szCs w:val="32"/>
                <w:highlight w:val="none"/>
              </w:rPr>
              <w:t>经验，得5分；满3年不满5年得3分；</w:t>
            </w:r>
            <w:r>
              <w:rPr>
                <w:rFonts w:hint="eastAsia" w:ascii="仿宋_GB2312" w:hAnsi="仿宋_GB2312" w:eastAsia="仿宋_GB2312" w:cs="仿宋_GB2312"/>
                <w:kern w:val="0"/>
                <w:sz w:val="32"/>
                <w:szCs w:val="32"/>
                <w:highlight w:val="none"/>
                <w:lang w:val="en-US" w:eastAsia="zh-CN"/>
              </w:rPr>
              <w:t>有相关经验但不满3年</w:t>
            </w:r>
            <w:r>
              <w:rPr>
                <w:rFonts w:hint="eastAsia" w:ascii="仿宋_GB2312" w:hAnsi="仿宋_GB2312" w:eastAsia="仿宋_GB2312" w:cs="仿宋_GB2312"/>
                <w:kern w:val="0"/>
                <w:sz w:val="32"/>
                <w:szCs w:val="32"/>
                <w:highlight w:val="none"/>
              </w:rPr>
              <w:t>得1分；</w:t>
            </w:r>
            <w:r>
              <w:rPr>
                <w:rFonts w:hint="eastAsia" w:ascii="仿宋_GB2312" w:hAnsi="仿宋_GB2312" w:eastAsia="仿宋_GB2312" w:cs="仿宋_GB2312"/>
                <w:kern w:val="0"/>
                <w:sz w:val="32"/>
                <w:szCs w:val="32"/>
                <w:highlight w:val="none"/>
                <w:lang w:eastAsia="zh-CN"/>
              </w:rPr>
              <w:t>无工作经验得</w:t>
            </w:r>
            <w:r>
              <w:rPr>
                <w:rFonts w:hint="eastAsia" w:ascii="仿宋_GB2312" w:hAnsi="仿宋_GB2312" w:eastAsia="仿宋_GB2312" w:cs="仿宋_GB2312"/>
                <w:kern w:val="0"/>
                <w:sz w:val="32"/>
                <w:szCs w:val="32"/>
                <w:highlight w:val="none"/>
                <w:lang w:val="en-US" w:eastAsia="zh-CN"/>
              </w:rPr>
              <w:t>0分。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b w:val="0"/>
                <w:bCs w:val="0"/>
                <w:kern w:val="0"/>
                <w:sz w:val="32"/>
                <w:szCs w:val="32"/>
                <w:highlight w:val="none"/>
                <w:lang w:eastAsia="zh-CN"/>
              </w:rPr>
            </w:pPr>
            <w:r>
              <w:rPr>
                <w:rFonts w:hint="eastAsia" w:ascii="仿宋_GB2312" w:hAnsi="仿宋_GB2312" w:eastAsia="仿宋_GB2312" w:cs="仿宋_GB2312"/>
                <w:kern w:val="0"/>
                <w:sz w:val="32"/>
                <w:szCs w:val="32"/>
                <w:highlight w:val="none"/>
              </w:rPr>
              <w:t>2.项目</w:t>
            </w:r>
            <w:r>
              <w:rPr>
                <w:rFonts w:hint="eastAsia" w:ascii="仿宋_GB2312" w:hAnsi="仿宋_GB2312" w:eastAsia="仿宋_GB2312" w:cs="仿宋_GB2312"/>
                <w:kern w:val="0"/>
                <w:sz w:val="32"/>
                <w:szCs w:val="32"/>
                <w:highlight w:val="none"/>
                <w:lang w:eastAsia="zh-CN"/>
              </w:rPr>
              <w:t>团队</w:t>
            </w:r>
            <w:r>
              <w:rPr>
                <w:rFonts w:hint="eastAsia" w:ascii="仿宋_GB2312" w:hAnsi="仿宋_GB2312" w:eastAsia="仿宋_GB2312" w:cs="仿宋_GB2312"/>
                <w:kern w:val="0"/>
                <w:sz w:val="32"/>
                <w:szCs w:val="32"/>
                <w:highlight w:val="none"/>
              </w:rPr>
              <w:t>成员配备注册会计师</w:t>
            </w:r>
            <w:r>
              <w:rPr>
                <w:rFonts w:hint="eastAsia" w:ascii="仿宋_GB2312" w:hAnsi="仿宋_GB2312" w:eastAsia="仿宋_GB2312" w:cs="仿宋_GB2312"/>
                <w:kern w:val="0"/>
                <w:sz w:val="32"/>
                <w:szCs w:val="32"/>
                <w:highlight w:val="none"/>
                <w:lang w:eastAsia="zh-CN"/>
              </w:rPr>
              <w:t>不少于</w:t>
            </w:r>
            <w:r>
              <w:rPr>
                <w:rFonts w:hint="eastAsia" w:ascii="仿宋_GB2312" w:hAnsi="仿宋_GB2312" w:eastAsia="仿宋_GB2312" w:cs="仿宋_GB2312"/>
                <w:kern w:val="0"/>
                <w:sz w:val="32"/>
                <w:szCs w:val="32"/>
                <w:highlight w:val="none"/>
                <w:lang w:val="en-US" w:eastAsia="zh-CN"/>
              </w:rPr>
              <w:t>2名</w:t>
            </w:r>
            <w:r>
              <w:rPr>
                <w:rFonts w:hint="eastAsia" w:ascii="仿宋_GB2312" w:hAnsi="仿宋_GB2312" w:eastAsia="仿宋_GB2312" w:cs="仿宋_GB2312"/>
                <w:kern w:val="0"/>
                <w:sz w:val="32"/>
                <w:szCs w:val="32"/>
                <w:highlight w:val="none"/>
              </w:rPr>
              <w:t>得</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分，每增加1名加2分，最高得10分；</w:t>
            </w:r>
            <w:r>
              <w:rPr>
                <w:rFonts w:hint="eastAsia" w:ascii="仿宋_GB2312" w:hAnsi="仿宋_GB2312" w:eastAsia="仿宋_GB2312" w:cs="仿宋_GB2312"/>
                <w:b w:val="0"/>
                <w:bCs w:val="0"/>
                <w:kern w:val="0"/>
                <w:sz w:val="32"/>
                <w:szCs w:val="32"/>
                <w:highlight w:val="none"/>
              </w:rPr>
              <w:t>注册会计师人数不足2名本项不得分</w:t>
            </w:r>
            <w:r>
              <w:rPr>
                <w:rFonts w:hint="eastAsia" w:ascii="仿宋_GB2312" w:hAnsi="仿宋_GB2312" w:eastAsia="仿宋_GB2312" w:cs="仿宋_GB2312"/>
                <w:b w:val="0"/>
                <w:bCs w:val="0"/>
                <w:kern w:val="0"/>
                <w:sz w:val="32"/>
                <w:szCs w:val="32"/>
                <w:highlight w:val="none"/>
                <w:lang w:eastAsia="zh-CN"/>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rPr>
              <w:t>3.项目团队成员</w:t>
            </w:r>
            <w:r>
              <w:rPr>
                <w:rFonts w:hint="eastAsia" w:ascii="仿宋_GB2312" w:hAnsi="仿宋_GB2312" w:eastAsia="仿宋_GB2312" w:cs="仿宋_GB2312"/>
                <w:kern w:val="0"/>
                <w:sz w:val="32"/>
                <w:szCs w:val="32"/>
                <w:highlight w:val="none"/>
                <w:lang w:eastAsia="zh-CN"/>
              </w:rPr>
              <w:t>中有社会组织</w:t>
            </w:r>
            <w:r>
              <w:rPr>
                <w:rFonts w:hint="eastAsia" w:ascii="仿宋_GB2312" w:hAnsi="仿宋_GB2312" w:eastAsia="仿宋_GB2312" w:cs="仿宋_GB2312"/>
                <w:kern w:val="0"/>
                <w:sz w:val="32"/>
                <w:szCs w:val="32"/>
                <w:highlight w:val="none"/>
              </w:rPr>
              <w:t>审计</w:t>
            </w:r>
            <w:r>
              <w:rPr>
                <w:rFonts w:hint="eastAsia" w:ascii="仿宋_GB2312" w:hAnsi="仿宋_GB2312" w:eastAsia="仿宋_GB2312" w:cs="仿宋_GB2312"/>
                <w:kern w:val="0"/>
                <w:sz w:val="32"/>
                <w:szCs w:val="32"/>
                <w:highlight w:val="none"/>
                <w:lang w:eastAsia="zh-CN"/>
              </w:rPr>
              <w:t>工作</w:t>
            </w:r>
            <w:r>
              <w:rPr>
                <w:rFonts w:hint="eastAsia" w:ascii="仿宋_GB2312" w:hAnsi="仿宋_GB2312" w:eastAsia="仿宋_GB2312" w:cs="仿宋_GB2312"/>
                <w:kern w:val="0"/>
                <w:sz w:val="32"/>
                <w:szCs w:val="32"/>
                <w:highlight w:val="none"/>
              </w:rPr>
              <w:t>经验</w:t>
            </w:r>
            <w:r>
              <w:rPr>
                <w:rFonts w:hint="eastAsia" w:ascii="仿宋_GB2312" w:hAnsi="仿宋_GB2312" w:eastAsia="仿宋_GB2312" w:cs="仿宋_GB2312"/>
                <w:kern w:val="0"/>
                <w:sz w:val="32"/>
                <w:szCs w:val="32"/>
                <w:highlight w:val="none"/>
                <w:lang w:eastAsia="zh-CN"/>
              </w:rPr>
              <w:t>得</w:t>
            </w:r>
            <w:r>
              <w:rPr>
                <w:rFonts w:hint="eastAsia" w:ascii="仿宋_GB2312" w:hAnsi="仿宋_GB2312" w:eastAsia="仿宋_GB2312" w:cs="仿宋_GB2312"/>
                <w:kern w:val="0"/>
                <w:sz w:val="32"/>
                <w:szCs w:val="32"/>
                <w:highlight w:val="none"/>
                <w:lang w:val="en-US" w:eastAsia="zh-CN"/>
              </w:rPr>
              <w:t>2</w:t>
            </w:r>
            <w:r>
              <w:rPr>
                <w:rFonts w:hint="eastAsia" w:ascii="仿宋_GB2312" w:hAnsi="仿宋_GB2312" w:eastAsia="仿宋_GB2312" w:cs="仿宋_GB2312"/>
                <w:kern w:val="0"/>
                <w:sz w:val="32"/>
                <w:szCs w:val="32"/>
                <w:highlight w:val="none"/>
              </w:rPr>
              <w:t>分</w:t>
            </w:r>
            <w:r>
              <w:rPr>
                <w:rFonts w:hint="eastAsia" w:ascii="仿宋_GB2312" w:hAnsi="仿宋_GB2312" w:eastAsia="仿宋_GB2312" w:cs="仿宋_GB2312"/>
                <w:kern w:val="0"/>
                <w:sz w:val="32"/>
                <w:szCs w:val="32"/>
                <w:highlight w:val="none"/>
                <w:lang w:eastAsia="zh-CN"/>
              </w:rPr>
              <w:t>，每增加</w:t>
            </w:r>
            <w:r>
              <w:rPr>
                <w:rFonts w:hint="eastAsia" w:ascii="仿宋_GB2312" w:hAnsi="仿宋_GB2312" w:eastAsia="仿宋_GB2312" w:cs="仿宋_GB2312"/>
                <w:kern w:val="0"/>
                <w:sz w:val="32"/>
                <w:szCs w:val="32"/>
                <w:highlight w:val="none"/>
                <w:lang w:val="en-US" w:eastAsia="zh-CN"/>
              </w:rPr>
              <w:t>1名成员有社会组织审计工作经验加1分，最高得6分</w:t>
            </w:r>
            <w:r>
              <w:rPr>
                <w:rFonts w:hint="eastAsia" w:ascii="仿宋_GB2312" w:hAnsi="仿宋_GB2312" w:eastAsia="仿宋_GB2312" w:cs="仿宋_GB2312"/>
                <w:kern w:val="0"/>
                <w:sz w:val="32"/>
                <w:szCs w:val="32"/>
                <w:highlight w:val="none"/>
                <w:lang w:eastAsia="zh-CN"/>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rPr>
              <w:t>项目团队成员</w:t>
            </w:r>
            <w:r>
              <w:rPr>
                <w:rFonts w:hint="eastAsia" w:ascii="仿宋_GB2312" w:hAnsi="仿宋_GB2312" w:eastAsia="仿宋_GB2312" w:cs="仿宋_GB2312"/>
                <w:kern w:val="0"/>
                <w:sz w:val="32"/>
                <w:szCs w:val="32"/>
                <w:highlight w:val="none"/>
                <w:lang w:eastAsia="zh-CN"/>
              </w:rPr>
              <w:t>提供全职在岗承诺书和履约承诺书得</w:t>
            </w:r>
            <w:r>
              <w:rPr>
                <w:rFonts w:hint="eastAsia" w:ascii="仿宋_GB2312" w:hAnsi="仿宋_GB2312" w:eastAsia="仿宋_GB2312" w:cs="仿宋_GB2312"/>
                <w:kern w:val="0"/>
                <w:sz w:val="32"/>
                <w:szCs w:val="32"/>
                <w:highlight w:val="none"/>
                <w:lang w:val="en-US" w:eastAsia="zh-CN"/>
              </w:rPr>
              <w:t>4分；未提供全职在岗承诺书和履约承诺书的得0分</w:t>
            </w:r>
            <w:r>
              <w:rPr>
                <w:rFonts w:hint="eastAsia" w:ascii="仿宋_GB2312" w:hAnsi="仿宋_GB2312" w:eastAsia="仿宋_GB2312" w:cs="仿宋_GB2312"/>
                <w:kern w:val="0"/>
                <w:sz w:val="32"/>
                <w:szCs w:val="32"/>
                <w:highlight w:val="none"/>
              </w:rPr>
              <w:t>。</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上述得分仅在提交有效承诺函的前提下方可计入；未提供上述项目团队配置承诺函的，本评分项不得分。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质量保证与风险控制（10分）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（一）评审内容：1.会计师事务所内部质量控制制度及执行情况；</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2.项目复核机制（项目组内部复核、项目质量控制复核）；</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3.审计风险识别与应对措施。</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须提供质量</w:t>
            </w:r>
            <w:r>
              <w:rPr>
                <w:rFonts w:hint="eastAsia" w:ascii="仿宋_GB2312" w:hAnsi="仿宋_GB2312" w:eastAsia="仿宋_GB2312" w:cs="仿宋_GB2312"/>
                <w:kern w:val="0"/>
                <w:sz w:val="32"/>
                <w:szCs w:val="32"/>
                <w:highlight w:val="none"/>
                <w:lang w:eastAsia="zh-CN"/>
              </w:rPr>
              <w:t>保证与风险控制机制，应包括但不限于以上内容</w:t>
            </w:r>
            <w:r>
              <w:rPr>
                <w:rFonts w:hint="eastAsia" w:ascii="仿宋_GB2312" w:hAnsi="仿宋_GB2312" w:eastAsia="仿宋_GB2312" w:cs="仿宋_GB2312"/>
                <w:kern w:val="0"/>
                <w:sz w:val="32"/>
                <w:szCs w:val="32"/>
                <w:highlight w:val="none"/>
              </w:rPr>
              <w:t>并加盖公章。</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（二）评审依据：根据投标人提供的质量</w:t>
            </w:r>
            <w:r>
              <w:rPr>
                <w:rFonts w:hint="eastAsia" w:ascii="仿宋_GB2312" w:hAnsi="仿宋_GB2312" w:eastAsia="仿宋_GB2312" w:cs="仿宋_GB2312"/>
                <w:kern w:val="0"/>
                <w:sz w:val="32"/>
                <w:szCs w:val="32"/>
                <w:highlight w:val="none"/>
                <w:lang w:eastAsia="zh-CN"/>
              </w:rPr>
              <w:t>与内部控制机制进行</w:t>
            </w:r>
            <w:r>
              <w:rPr>
                <w:rFonts w:hint="eastAsia" w:ascii="仿宋_GB2312" w:hAnsi="仿宋_GB2312" w:eastAsia="仿宋_GB2312" w:cs="仿宋_GB2312"/>
                <w:kern w:val="0"/>
                <w:sz w:val="32"/>
                <w:szCs w:val="32"/>
                <w:highlight w:val="none"/>
              </w:rPr>
              <w:t>综合评价：</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w:t>
            </w:r>
            <w:r>
              <w:rPr>
                <w:rFonts w:hint="eastAsia" w:ascii="仿宋_GB2312" w:hAnsi="仿宋_GB2312" w:eastAsia="仿宋_GB2312" w:cs="仿宋_GB2312"/>
                <w:kern w:val="0"/>
                <w:sz w:val="32"/>
                <w:szCs w:val="32"/>
                <w:highlight w:val="none"/>
                <w:lang w:eastAsia="zh-CN"/>
              </w:rPr>
              <w:t>机制</w:t>
            </w:r>
            <w:r>
              <w:rPr>
                <w:rFonts w:hint="eastAsia" w:ascii="仿宋_GB2312" w:hAnsi="仿宋_GB2312" w:eastAsia="仿宋_GB2312" w:cs="仿宋_GB2312"/>
                <w:kern w:val="0"/>
                <w:sz w:val="32"/>
                <w:szCs w:val="32"/>
                <w:highlight w:val="none"/>
              </w:rPr>
              <w:t>健全、风险应对措施有效得10分；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w:t>
            </w:r>
            <w:r>
              <w:rPr>
                <w:rFonts w:hint="eastAsia" w:ascii="仿宋_GB2312" w:hAnsi="仿宋_GB2312" w:eastAsia="仿宋_GB2312" w:cs="仿宋_GB2312"/>
                <w:kern w:val="0"/>
                <w:sz w:val="32"/>
                <w:szCs w:val="32"/>
                <w:highlight w:val="none"/>
                <w:lang w:eastAsia="zh-CN"/>
              </w:rPr>
              <w:t>机制</w:t>
            </w:r>
            <w:r>
              <w:rPr>
                <w:rFonts w:hint="eastAsia" w:ascii="仿宋_GB2312" w:hAnsi="仿宋_GB2312" w:eastAsia="仿宋_GB2312" w:cs="仿宋_GB2312"/>
                <w:kern w:val="0"/>
                <w:sz w:val="32"/>
                <w:szCs w:val="32"/>
                <w:highlight w:val="none"/>
              </w:rPr>
              <w:t>较健全</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风险应对措施有效得7分；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3.质量</w:t>
            </w:r>
            <w:r>
              <w:rPr>
                <w:rFonts w:hint="eastAsia" w:ascii="仿宋_GB2312" w:hAnsi="仿宋_GB2312" w:eastAsia="仿宋_GB2312" w:cs="仿宋_GB2312"/>
                <w:kern w:val="0"/>
                <w:sz w:val="32"/>
                <w:szCs w:val="32"/>
                <w:highlight w:val="none"/>
                <w:lang w:eastAsia="zh-CN"/>
              </w:rPr>
              <w:t>与内部控制机制</w:t>
            </w:r>
            <w:r>
              <w:rPr>
                <w:rFonts w:hint="eastAsia" w:ascii="仿宋_GB2312" w:hAnsi="仿宋_GB2312" w:eastAsia="仿宋_GB2312" w:cs="仿宋_GB2312"/>
                <w:kern w:val="0"/>
                <w:sz w:val="32"/>
                <w:szCs w:val="32"/>
                <w:highlight w:val="none"/>
              </w:rPr>
              <w:t>一般得</w:t>
            </w:r>
            <w:r>
              <w:rPr>
                <w:rFonts w:hint="eastAsia" w:ascii="仿宋_GB2312" w:hAnsi="仿宋_GB2312" w:eastAsia="仿宋_GB2312" w:cs="仿宋_GB2312"/>
                <w:kern w:val="0"/>
                <w:sz w:val="32"/>
                <w:szCs w:val="32"/>
                <w:highlight w:val="none"/>
                <w:lang w:val="en-US" w:eastAsia="zh-CN"/>
              </w:rPr>
              <w:t>3</w:t>
            </w:r>
            <w:r>
              <w:rPr>
                <w:rFonts w:hint="eastAsia" w:ascii="仿宋_GB2312" w:hAnsi="仿宋_GB2312" w:eastAsia="仿宋_GB2312" w:cs="仿宋_GB2312"/>
                <w:kern w:val="0"/>
                <w:sz w:val="32"/>
                <w:szCs w:val="32"/>
                <w:highlight w:val="none"/>
              </w:rPr>
              <w:t>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4.质量控制制度缺失或薄弱得</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0" w:hRule="atLeast"/>
          <w:jc w:val="center"/>
        </w:trPr>
        <w:tc>
          <w:tcPr>
            <w:tcW w:w="1594" w:type="dxa"/>
            <w:vMerge w:val="continue"/>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p>
        </w:tc>
        <w:tc>
          <w:tcPr>
            <w:tcW w:w="1539" w:type="dxa"/>
            <w:vAlign w:val="center"/>
          </w:tcPr>
          <w:p>
            <w:pPr>
              <w:keepNext w:val="0"/>
              <w:keepLines w:val="0"/>
              <w:pageBreakBefore w:val="0"/>
              <w:kinsoku/>
              <w:overflowPunct/>
              <w:autoSpaceDE/>
              <w:autoSpaceDN/>
              <w:bidi w:val="0"/>
              <w:adjustRightInd/>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服务响应与售后保障（10分）</w:t>
            </w:r>
          </w:p>
        </w:tc>
        <w:tc>
          <w:tcPr>
            <w:tcW w:w="6083" w:type="dxa"/>
          </w:tcPr>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（一）评审内容：1.服务响应时效承诺；</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2.与采购人的沟通协调机制；</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3.审计报告修改及补充服务承诺；</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4.后续跟踪服务及咨询支持。</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须提供书面服务承诺函并加盖公章。</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（二）评审依据：根据投标人提供的服务承诺进行综合评价：</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1.服务响应迅速、沟通机制完善、售后保障有力，得10分；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2.服务响应较快、沟通机制较完善，得7分；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3.服务响应一般、沟通机制一般，得4分；</w:t>
            </w:r>
          </w:p>
          <w:p>
            <w:pPr>
              <w:keepNext w:val="0"/>
              <w:keepLines w:val="0"/>
              <w:pageBreakBefore w:val="0"/>
              <w:kinsoku/>
              <w:overflowPunct/>
              <w:topLinePunct/>
              <w:autoSpaceDE/>
              <w:autoSpaceDN/>
              <w:bidi w:val="0"/>
              <w:adjustRightInd/>
              <w:snapToGrid w:val="0"/>
              <w:spacing w:line="56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4.服务响应差、缺乏售后保障，得0分。</w:t>
            </w:r>
          </w:p>
        </w:tc>
      </w:tr>
    </w:tbl>
    <w:p>
      <w:pPr>
        <w:pStyle w:val="48"/>
        <w:keepNext w:val="0"/>
        <w:keepLines w:val="0"/>
        <w:pageBreakBefore w:val="0"/>
        <w:kinsoku/>
        <w:overflowPunct/>
        <w:autoSpaceDE/>
        <w:autoSpaceDN/>
        <w:bidi w:val="0"/>
        <w:adjustRightInd/>
        <w:spacing w:line="560" w:lineRule="exact"/>
        <w:ind w:firstLine="640" w:firstLineChars="200"/>
        <w:jc w:val="both"/>
        <w:textAlignment w:val="auto"/>
        <w:rPr>
          <w:rFonts w:hint="eastAsia" w:ascii="方正黑体_GBK" w:hAnsi="方正黑体_GBK" w:eastAsia="方正黑体_GBK" w:cs="方正黑体_GBK"/>
          <w:b w:val="0"/>
          <w:bCs/>
          <w:color w:val="000000"/>
          <w:sz w:val="32"/>
          <w:szCs w:val="32"/>
          <w:highlight w:val="none"/>
        </w:rPr>
      </w:pPr>
      <w:r>
        <w:rPr>
          <w:rFonts w:hint="eastAsia" w:ascii="方正黑体_GBK" w:hAnsi="方正黑体_GBK" w:eastAsia="方正黑体_GBK" w:cs="方正黑体_GBK"/>
          <w:b w:val="0"/>
          <w:bCs/>
          <w:color w:val="000000"/>
          <w:sz w:val="32"/>
          <w:szCs w:val="32"/>
          <w:highlight w:val="none"/>
        </w:rPr>
        <w:t>八、供应商提供资料清单（每页均需加盖公章）</w:t>
      </w:r>
    </w:p>
    <w:p>
      <w:pPr>
        <w:keepNext w:val="0"/>
        <w:keepLines w:val="0"/>
        <w:pageBreakBefore w:val="0"/>
        <w:kinsoku/>
        <w:overflowPunct/>
        <w:autoSpaceDE/>
        <w:autoSpaceDN/>
        <w:bidi w:val="0"/>
        <w:adjustRightInd/>
        <w:spacing w:line="560" w:lineRule="exact"/>
        <w:ind w:firstLine="640" w:firstLineChars="20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rPr>
        <w:t>1.营业执照；</w:t>
      </w:r>
    </w:p>
    <w:p>
      <w:pPr>
        <w:keepNext w:val="0"/>
        <w:keepLines w:val="0"/>
        <w:pageBreakBefore w:val="0"/>
        <w:kinsoku/>
        <w:overflowPunct/>
        <w:autoSpaceDE/>
        <w:autoSpaceDN/>
        <w:bidi w:val="0"/>
        <w:adjustRightInd/>
        <w:spacing w:line="560" w:lineRule="exact"/>
        <w:ind w:firstLine="640" w:firstLineChars="200"/>
        <w:jc w:val="both"/>
        <w:textAlignment w:val="auto"/>
        <w:rPr>
          <w:sz w:val="32"/>
          <w:szCs w:val="32"/>
          <w:highlight w:val="none"/>
        </w:rPr>
      </w:pPr>
      <w:r>
        <w:rPr>
          <w:rFonts w:hint="eastAsia" w:ascii="仿宋_GB2312" w:hAnsi="仿宋" w:eastAsia="仿宋_GB2312"/>
          <w:sz w:val="32"/>
          <w:szCs w:val="32"/>
          <w:highlight w:val="none"/>
        </w:rPr>
        <w:t>2.法定代表人身份证复印件；</w:t>
      </w:r>
    </w:p>
    <w:p>
      <w:pPr>
        <w:pStyle w:val="15"/>
        <w:keepNext w:val="0"/>
        <w:keepLines w:val="0"/>
        <w:pageBreakBefore w:val="0"/>
        <w:kinsoku/>
        <w:overflowPunct/>
        <w:autoSpaceDE/>
        <w:autoSpaceDN/>
        <w:bidi w:val="0"/>
        <w:adjustRightInd/>
        <w:spacing w:after="0" w:line="560" w:lineRule="exact"/>
        <w:ind w:left="0" w:leftChars="0" w:right="0" w:rightChars="0" w:firstLine="640"/>
        <w:jc w:val="both"/>
        <w:textAlignment w:val="auto"/>
        <w:rPr>
          <w:rFonts w:ascii="仿宋_GB2312" w:hAnsi="仿宋" w:eastAsia="仿宋_GB2312"/>
          <w:sz w:val="32"/>
          <w:highlight w:val="none"/>
        </w:rPr>
      </w:pPr>
      <w:r>
        <w:rPr>
          <w:rFonts w:hint="eastAsia" w:ascii="仿宋_GB2312" w:hAnsi="仿宋" w:eastAsia="仿宋_GB2312"/>
          <w:sz w:val="32"/>
          <w:highlight w:val="none"/>
        </w:rPr>
        <w:t>3.项目报价表</w:t>
      </w:r>
      <w:r>
        <w:rPr>
          <w:rFonts w:hint="eastAsia" w:ascii="仿宋_GB2312" w:hAnsi="仿宋" w:eastAsia="仿宋_GB2312"/>
          <w:b/>
          <w:bCs/>
          <w:sz w:val="32"/>
          <w:highlight w:val="none"/>
        </w:rPr>
        <w:t>（需按格式提供）</w:t>
      </w:r>
      <w:r>
        <w:rPr>
          <w:rFonts w:hint="eastAsia" w:ascii="仿宋_GB2312" w:hAnsi="仿宋" w:eastAsia="仿宋_GB2312"/>
          <w:sz w:val="32"/>
          <w:highlight w:val="none"/>
        </w:rPr>
        <w:t>；</w:t>
      </w:r>
    </w:p>
    <w:p>
      <w:pPr>
        <w:pStyle w:val="15"/>
        <w:keepNext w:val="0"/>
        <w:keepLines w:val="0"/>
        <w:pageBreakBefore w:val="0"/>
        <w:kinsoku/>
        <w:overflowPunct/>
        <w:autoSpaceDE/>
        <w:autoSpaceDN/>
        <w:bidi w:val="0"/>
        <w:adjustRightInd/>
        <w:spacing w:after="0" w:line="560" w:lineRule="exact"/>
        <w:ind w:left="0" w:leftChars="0" w:right="0" w:rightChars="0" w:firstLine="64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lang w:val="en-US" w:eastAsia="zh-CN"/>
        </w:rPr>
        <w:t>4</w:t>
      </w:r>
      <w:r>
        <w:rPr>
          <w:rFonts w:hint="eastAsia" w:ascii="仿宋_GB2312" w:hAnsi="仿宋" w:eastAsia="仿宋_GB2312"/>
          <w:sz w:val="32"/>
          <w:highlight w:val="none"/>
        </w:rPr>
        <w:t>.评分规则所需资料（同类业绩证明、方案等）；</w:t>
      </w:r>
    </w:p>
    <w:p>
      <w:pPr>
        <w:pStyle w:val="15"/>
        <w:keepNext w:val="0"/>
        <w:keepLines w:val="0"/>
        <w:pageBreakBefore w:val="0"/>
        <w:kinsoku/>
        <w:overflowPunct/>
        <w:autoSpaceDE/>
        <w:autoSpaceDN/>
        <w:bidi w:val="0"/>
        <w:adjustRightInd/>
        <w:spacing w:after="0" w:line="560" w:lineRule="exact"/>
        <w:ind w:left="0" w:leftChars="0" w:right="0" w:rightChars="0" w:firstLine="64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lang w:val="en-US" w:eastAsia="zh-CN"/>
        </w:rPr>
        <w:t>5</w:t>
      </w:r>
      <w:r>
        <w:rPr>
          <w:rFonts w:hint="eastAsia" w:ascii="仿宋_GB2312" w:hAnsi="仿宋" w:eastAsia="仿宋_GB2312"/>
          <w:sz w:val="32"/>
          <w:highlight w:val="none"/>
        </w:rPr>
        <w:t>.诚信承诺书；</w:t>
      </w:r>
    </w:p>
    <w:p>
      <w:pPr>
        <w:pStyle w:val="15"/>
        <w:keepNext w:val="0"/>
        <w:keepLines w:val="0"/>
        <w:pageBreakBefore w:val="0"/>
        <w:kinsoku/>
        <w:overflowPunct/>
        <w:autoSpaceDE/>
        <w:autoSpaceDN/>
        <w:bidi w:val="0"/>
        <w:adjustRightInd/>
        <w:spacing w:after="0" w:line="560" w:lineRule="exact"/>
        <w:ind w:left="0" w:leftChars="0" w:right="0" w:rightChars="0" w:firstLine="64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lang w:val="en-US" w:eastAsia="zh-CN"/>
        </w:rPr>
        <w:t>6</w:t>
      </w:r>
      <w:r>
        <w:rPr>
          <w:rFonts w:hint="eastAsia" w:ascii="仿宋_GB2312" w:hAnsi="仿宋" w:eastAsia="仿宋_GB2312"/>
          <w:sz w:val="32"/>
          <w:highlight w:val="none"/>
        </w:rPr>
        <w:t>.填写《深圳市龙华区民政局供应商基本情况表》（加盖公章），鼓励提供表中投标（响应）供应商相关人员的近1个月社保缴纳情况，如未在投标（响应）供应商缴纳社保的人员，需提供加盖公章的情况说明或其他相关证明材料。</w:t>
      </w:r>
    </w:p>
    <w:p>
      <w:pPr>
        <w:pStyle w:val="15"/>
        <w:keepNext w:val="0"/>
        <w:keepLines w:val="0"/>
        <w:pageBreakBefore w:val="0"/>
        <w:kinsoku/>
        <w:overflowPunct/>
        <w:autoSpaceDE/>
        <w:autoSpaceDN/>
        <w:bidi w:val="0"/>
        <w:adjustRightInd/>
        <w:spacing w:after="0" w:line="560" w:lineRule="exact"/>
        <w:ind w:left="0" w:leftChars="0" w:right="0" w:rightChars="0" w:firstLine="640"/>
        <w:jc w:val="both"/>
        <w:textAlignment w:val="auto"/>
        <w:rPr>
          <w:rFonts w:hint="eastAsia" w:ascii="方正黑体_GBK" w:hAnsi="方正黑体_GBK" w:eastAsia="方正黑体_GBK" w:cs="方正黑体_GBK"/>
          <w:sz w:val="32"/>
          <w:highlight w:val="none"/>
        </w:rPr>
      </w:pPr>
      <w:r>
        <w:rPr>
          <w:rFonts w:hint="eastAsia" w:ascii="方正黑体_GBK" w:hAnsi="方正黑体_GBK" w:eastAsia="方正黑体_GBK" w:cs="方正黑体_GBK"/>
          <w:sz w:val="32"/>
          <w:highlight w:val="none"/>
        </w:rPr>
        <w:t>九、其他注意事项</w:t>
      </w:r>
    </w:p>
    <w:p>
      <w:pPr>
        <w:keepNext w:val="0"/>
        <w:keepLines w:val="0"/>
        <w:pageBreakBefore w:val="0"/>
        <w:widowControl/>
        <w:kinsoku/>
        <w:overflowPunct/>
        <w:autoSpaceDE/>
        <w:autoSpaceDN/>
        <w:bidi w:val="0"/>
        <w:adjustRightInd/>
        <w:spacing w:line="560" w:lineRule="exact"/>
        <w:ind w:firstLine="640" w:firstLineChars="20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rPr>
        <w:t>1.供应商需在</w:t>
      </w:r>
      <w:r>
        <w:rPr>
          <w:rFonts w:ascii="仿宋_GB2312" w:hAnsi="仿宋" w:eastAsia="仿宋_GB2312"/>
          <w:sz w:val="32"/>
          <w:highlight w:val="none"/>
        </w:rPr>
        <w:t>深圳政府采购自行采购系统</w:t>
      </w:r>
      <w:r>
        <w:rPr>
          <w:rFonts w:hint="eastAsia" w:ascii="仿宋_GB2312" w:hAnsi="仿宋" w:eastAsia="仿宋_GB2312"/>
          <w:sz w:val="32"/>
          <w:highlight w:val="none"/>
        </w:rPr>
        <w:t>完成供应商注册</w:t>
      </w:r>
      <w:r>
        <w:rPr>
          <w:rFonts w:hint="eastAsia" w:ascii="仿宋_GB2312" w:hAnsi="仿宋_GB2312" w:eastAsia="仿宋_GB2312" w:cs="仿宋_GB2312"/>
          <w:sz w:val="32"/>
          <w:szCs w:val="32"/>
          <w:highlight w:val="none"/>
        </w:rPr>
        <w:t>（网址：https://zxcg.szggzy.com/home/index.html）</w:t>
      </w:r>
      <w:r>
        <w:rPr>
          <w:highlight w:val="none"/>
        </w:rPr>
        <w:fldChar w:fldCharType="begin"/>
      </w:r>
      <w:r>
        <w:rPr>
          <w:highlight w:val="none"/>
        </w:rPr>
        <w:instrText xml:space="preserve"> HYPERLINK "https://zxcg.szggzy.com/home/index.html），请于本项目投标截止时间前完成注册，否则如中标/成交，可能影响采购结果的发布。" </w:instrText>
      </w:r>
      <w:r>
        <w:rPr>
          <w:highlight w:val="none"/>
        </w:rPr>
        <w:fldChar w:fldCharType="separate"/>
      </w:r>
      <w:r>
        <w:rPr>
          <w:rStyle w:val="25"/>
          <w:rFonts w:hint="eastAsia" w:ascii="仿宋_GB2312" w:hAnsi="仿宋" w:eastAsia="仿宋_GB2312"/>
          <w:color w:val="auto"/>
          <w:sz w:val="32"/>
          <w:highlight w:val="none"/>
          <w:u w:val="none"/>
        </w:rPr>
        <w:t>，</w:t>
      </w:r>
      <w:r>
        <w:rPr>
          <w:rStyle w:val="25"/>
          <w:rFonts w:hint="eastAsia" w:ascii="仿宋_GB2312" w:hAnsi="仿宋" w:eastAsia="仿宋_GB2312"/>
          <w:color w:val="auto"/>
          <w:sz w:val="32"/>
          <w:highlight w:val="none"/>
        </w:rPr>
        <w:t>请于本项目投标截止时间前完成注册，否则如中标/成交，可能影响采购结果的发布。</w:t>
      </w:r>
      <w:r>
        <w:rPr>
          <w:rStyle w:val="25"/>
          <w:rFonts w:hint="eastAsia" w:ascii="仿宋_GB2312" w:hAnsi="仿宋" w:eastAsia="仿宋_GB2312"/>
          <w:color w:val="auto"/>
          <w:sz w:val="32"/>
          <w:highlight w:val="none"/>
        </w:rPr>
        <w:fldChar w:fldCharType="end"/>
      </w:r>
    </w:p>
    <w:p>
      <w:pPr>
        <w:keepNext w:val="0"/>
        <w:keepLines w:val="0"/>
        <w:pageBreakBefore w:val="0"/>
        <w:widowControl/>
        <w:kinsoku/>
        <w:overflowPunct/>
        <w:autoSpaceDE/>
        <w:autoSpaceDN/>
        <w:bidi w:val="0"/>
        <w:adjustRightInd/>
        <w:spacing w:line="560" w:lineRule="exact"/>
        <w:ind w:firstLine="640" w:firstLineChars="200"/>
        <w:jc w:val="both"/>
        <w:textAlignment w:val="auto"/>
        <w:rPr>
          <w:rFonts w:hint="eastAsia" w:ascii="仿宋_GB2312" w:hAnsi="仿宋" w:eastAsia="仿宋_GB2312"/>
          <w:sz w:val="32"/>
          <w:highlight w:val="none"/>
        </w:rPr>
      </w:pPr>
      <w:r>
        <w:rPr>
          <w:rFonts w:hint="eastAsia" w:ascii="仿宋_GB2312" w:hAnsi="仿宋" w:eastAsia="仿宋_GB2312"/>
          <w:sz w:val="32"/>
          <w:highlight w:val="none"/>
        </w:rPr>
        <w:t>2.采购人将通过国家企业信用信息公示系统、机关赋码和事业单位登记管理网、全国社会组织信用信息公示平台、中国政府采购网等渠道查询供应商信用记录，对列入失信被执行人名单等的供应商拒绝其参与采购活动。</w:t>
      </w:r>
    </w:p>
    <w:p>
      <w:pPr>
        <w:pStyle w:val="1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3.投递方式：采用电子+纸质文件投递方式，如仅提交电子投标资料或纸质投标资料均视为无效投标。电子投标资料通过邮箱发送至：szlhmzj@szlhq.gov.cn，文件夹命名方式为“2026-2027年龙华区社会组织三项审计服务项目+公司全称+日期+联系人+联系方式”。</w:t>
      </w:r>
    </w:p>
    <w:p>
      <w:pPr>
        <w:keepNext w:val="0"/>
        <w:keepLines w:val="0"/>
        <w:pageBreakBefore w:val="0"/>
        <w:kinsoku/>
        <w:overflowPunct/>
        <w:autoSpaceDE/>
        <w:autoSpaceDN/>
        <w:bidi w:val="0"/>
        <w:adjustRightInd/>
        <w:spacing w:line="560" w:lineRule="exact"/>
        <w:ind w:firstLine="640" w:firstLineChars="200"/>
        <w:jc w:val="both"/>
        <w:textAlignment w:val="auto"/>
        <w:rPr>
          <w:rFonts w:eastAsia="仿宋_GB2312"/>
          <w:sz w:val="28"/>
          <w:szCs w:val="28"/>
          <w:highlight w:val="none"/>
        </w:rPr>
      </w:pPr>
      <w:r>
        <w:rPr>
          <w:rFonts w:hint="default" w:ascii="仿宋_GB2312" w:hAnsi="宋体" w:eastAsia="仿宋_GB2312" w:cs="Times New Roman"/>
          <w:kern w:val="2"/>
          <w:sz w:val="32"/>
          <w:szCs w:val="32"/>
          <w:highlight w:val="none"/>
          <w:lang w:val="en-US" w:eastAsia="zh-CN" w:bidi="ar-SA"/>
        </w:rPr>
        <w:t>纸质投标资料一式五份（正本一份、副本四份，正本需逐页盖章，副本可为正本盖章复印件，分别注明“正本”或“副本”，装订成册密封并在封口处加盖投标人公章，投标单位需在投标文件封面注明投标单位的名称、地址、联系人及手机号码）提交至深圳市龙华区民政局</w:t>
      </w:r>
      <w:r>
        <w:rPr>
          <w:rFonts w:hint="eastAsia" w:ascii="仿宋_GB2312" w:hAnsi="宋体" w:eastAsia="仿宋_GB2312" w:cs="Times New Roman"/>
          <w:kern w:val="2"/>
          <w:sz w:val="32"/>
          <w:szCs w:val="32"/>
          <w:highlight w:val="none"/>
          <w:lang w:val="en-US" w:eastAsia="zh-CN" w:bidi="ar-SA"/>
        </w:rPr>
        <w:t>709</w:t>
      </w:r>
      <w:r>
        <w:rPr>
          <w:rFonts w:hint="default" w:ascii="仿宋_GB2312" w:hAnsi="宋体" w:eastAsia="仿宋_GB2312" w:cs="Times New Roman"/>
          <w:kern w:val="2"/>
          <w:sz w:val="32"/>
          <w:szCs w:val="32"/>
          <w:highlight w:val="none"/>
          <w:lang w:val="en-US" w:eastAsia="zh-CN" w:bidi="ar-SA"/>
        </w:rPr>
        <w:t>室，纸质投标文件应于递交截止时间之前送达采购公告规定的地址。</w:t>
      </w:r>
    </w:p>
    <w:p>
      <w:pPr>
        <w:keepNext w:val="0"/>
        <w:keepLines w:val="0"/>
        <w:pageBreakBefore w:val="0"/>
        <w:kinsoku/>
        <w:overflowPunct/>
        <w:autoSpaceDE/>
        <w:autoSpaceDN/>
        <w:bidi w:val="0"/>
        <w:adjustRightInd/>
        <w:spacing w:line="560" w:lineRule="exact"/>
        <w:jc w:val="both"/>
        <w:textAlignment w:val="auto"/>
        <w:rPr>
          <w:highlight w:val="none"/>
        </w:rPr>
        <w:sectPr>
          <w:headerReference r:id="rId5" w:type="default"/>
          <w:footerReference r:id="rId6" w:type="default"/>
          <w:pgSz w:w="11906" w:h="16838"/>
          <w:pgMar w:top="2098" w:right="1474" w:bottom="1984" w:left="1587" w:header="851" w:footer="992" w:gutter="0"/>
          <w:cols w:space="720" w:num="1"/>
          <w:docGrid w:type="lines" w:linePitch="312" w:charSpace="0"/>
        </w:sectPr>
      </w:pPr>
    </w:p>
    <w:p>
      <w:pPr>
        <w:keepNext w:val="0"/>
        <w:keepLines w:val="0"/>
        <w:widowControl/>
        <w:suppressLineNumbers w:val="0"/>
        <w:spacing w:line="560" w:lineRule="exact"/>
        <w:jc w:val="both"/>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1</w:t>
      </w:r>
    </w:p>
    <w:p>
      <w:pPr>
        <w:pStyle w:val="7"/>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w:t>
      </w:r>
      <w:r>
        <w:rPr>
          <w:rFonts w:hint="eastAsia" w:ascii="宋体" w:hAnsi="宋体"/>
          <w:color w:val="auto"/>
          <w:sz w:val="21"/>
          <w:szCs w:val="21"/>
          <w:highlight w:val="none"/>
          <w:u w:val="single"/>
          <w:lang w:eastAsia="zh-CN"/>
        </w:rPr>
        <w:t>民政</w:t>
      </w:r>
      <w:r>
        <w:rPr>
          <w:rFonts w:hint="eastAsia" w:ascii="宋体" w:hAnsi="宋体"/>
          <w:color w:val="auto"/>
          <w:sz w:val="21"/>
          <w:szCs w:val="21"/>
          <w:highlight w:val="none"/>
          <w:u w:val="single"/>
        </w:rPr>
        <w:t>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lang w:val="en-US" w:eastAsia="zh-CN"/>
        </w:rPr>
      </w:pPr>
    </w:p>
    <w:p>
      <w:pPr>
        <w:rPr>
          <w:rFonts w:hint="default"/>
          <w:lang w:val="en-US" w:eastAsia="zh-CN"/>
        </w:rPr>
      </w:pPr>
    </w:p>
    <w:p>
      <w:pPr>
        <w:pStyle w:val="2"/>
        <w:rPr>
          <w:rFonts w:hint="default"/>
          <w:lang w:val="en-US" w:eastAsia="zh-CN"/>
        </w:rPr>
      </w:pPr>
      <w:bookmarkStart w:id="1" w:name="_GoBack"/>
      <w:bookmarkEnd w:id="1"/>
    </w:p>
    <w:p>
      <w:pPr>
        <w:pStyle w:val="50"/>
        <w:spacing w:line="56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pStyle w:val="20"/>
        <w:snapToGrid w:val="0"/>
        <w:spacing w:before="0" w:after="0" w:line="560" w:lineRule="exact"/>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深圳市龙华区民政局</w:t>
      </w:r>
      <w:r>
        <w:rPr>
          <w:rFonts w:hint="eastAsia" w:ascii="方正小标宋简体" w:hAnsi="方正小标宋简体" w:eastAsia="方正小标宋简体" w:cs="方正小标宋简体"/>
          <w:b w:val="0"/>
          <w:bCs w:val="0"/>
          <w:sz w:val="44"/>
          <w:szCs w:val="44"/>
        </w:rPr>
        <w:t>供应商基本情况表</w:t>
      </w:r>
    </w:p>
    <w:p>
      <w:pPr>
        <w:spacing w:line="560" w:lineRule="exact"/>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填表单位：（加盖单位公章）</w:t>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 xml:space="preserve">   填表日期：    年   月   日</w:t>
      </w:r>
    </w:p>
    <w:tbl>
      <w:tblPr>
        <w:tblStyle w:val="23"/>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250"/>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采购人</w:t>
            </w:r>
          </w:p>
        </w:tc>
        <w:tc>
          <w:tcPr>
            <w:tcW w:w="255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p>
        </w:tc>
        <w:tc>
          <w:tcPr>
            <w:tcW w:w="19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项目名称</w:t>
            </w:r>
          </w:p>
        </w:tc>
        <w:tc>
          <w:tcPr>
            <w:tcW w:w="36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投标（响应）供应商</w:t>
            </w:r>
          </w:p>
        </w:tc>
        <w:tc>
          <w:tcPr>
            <w:tcW w:w="255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p>
        </w:tc>
        <w:tc>
          <w:tcPr>
            <w:tcW w:w="19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供应商统一社会信用代码</w:t>
            </w:r>
          </w:p>
        </w:tc>
        <w:tc>
          <w:tcPr>
            <w:tcW w:w="364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b/>
                <w:bCs/>
                <w:sz w:val="24"/>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533"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职务</w:t>
            </w:r>
          </w:p>
        </w:tc>
        <w:tc>
          <w:tcPr>
            <w:tcW w:w="127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姓名</w:t>
            </w:r>
          </w:p>
        </w:tc>
        <w:tc>
          <w:tcPr>
            <w:tcW w:w="1991"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身份证号码</w:t>
            </w:r>
          </w:p>
        </w:tc>
        <w:tc>
          <w:tcPr>
            <w:tcW w:w="150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劳动合同</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关系单位</w:t>
            </w:r>
          </w:p>
        </w:tc>
        <w:tc>
          <w:tcPr>
            <w:tcW w:w="2145"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缴纳社会</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1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2"/>
                <w:szCs w:val="22"/>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3</w:t>
            </w:r>
          </w:p>
        </w:tc>
        <w:tc>
          <w:tcPr>
            <w:tcW w:w="2533"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项目负责人</w:t>
            </w:r>
          </w:p>
        </w:tc>
        <w:tc>
          <w:tcPr>
            <w:tcW w:w="127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991"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50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2145"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4</w:t>
            </w:r>
          </w:p>
        </w:tc>
        <w:tc>
          <w:tcPr>
            <w:tcW w:w="253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主要技术人员</w:t>
            </w:r>
          </w:p>
        </w:tc>
        <w:tc>
          <w:tcPr>
            <w:tcW w:w="1270"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9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500"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2145"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5</w:t>
            </w:r>
          </w:p>
        </w:tc>
        <w:tc>
          <w:tcPr>
            <w:tcW w:w="2533" w:type="dxa"/>
            <w:gridSpan w:val="2"/>
            <w:noWrap w:val="0"/>
            <w:vAlign w:val="center"/>
          </w:tcPr>
          <w:p>
            <w:pPr>
              <w:pStyle w:val="13"/>
              <w:keepNext w:val="0"/>
              <w:keepLines w:val="0"/>
              <w:pageBreakBefore w:val="0"/>
              <w:widowControl w:val="0"/>
              <w:kinsoku/>
              <w:wordWrap/>
              <w:overflowPunct/>
              <w:topLinePunct w:val="0"/>
              <w:autoSpaceDE/>
              <w:autoSpaceDN/>
              <w:bidi w:val="0"/>
              <w:adjustRightInd/>
              <w:snapToGrid/>
              <w:spacing w:line="480" w:lineRule="exact"/>
              <w:ind w:firstLine="0" w:firstLineChars="0"/>
              <w:jc w:val="left"/>
              <w:textAlignment w:val="auto"/>
              <w:rPr>
                <w:rFonts w:ascii="方正仿宋_GBK" w:hAnsi="方正仿宋_GBK" w:eastAsia="方正仿宋_GBK" w:cs="方正仿宋_GBK"/>
                <w:sz w:val="24"/>
              </w:rPr>
            </w:pPr>
            <w:r>
              <w:rPr>
                <w:rFonts w:hint="eastAsia" w:ascii="方正仿宋_GBK" w:hAnsi="方正仿宋_GBK" w:eastAsia="方正仿宋_GBK" w:cs="方正仿宋_GBK"/>
                <w:sz w:val="24"/>
              </w:rPr>
              <w:t>投标文件编制人员</w:t>
            </w:r>
          </w:p>
        </w:tc>
        <w:tc>
          <w:tcPr>
            <w:tcW w:w="1270"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99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1500"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c>
          <w:tcPr>
            <w:tcW w:w="2145"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545" w:type="dxa"/>
            <w:gridSpan w:val="8"/>
            <w:noWrap w:val="0"/>
            <w:vAlign w:val="center"/>
          </w:tcPr>
          <w:p>
            <w:pPr>
              <w:jc w:val="left"/>
              <w:rPr>
                <w:rFonts w:ascii="方正仿宋_GBK" w:hAnsi="方正仿宋_GBK" w:eastAsia="方正仿宋_GBK" w:cs="方正仿宋_GBK"/>
                <w:b/>
                <w:bCs/>
                <w:sz w:val="24"/>
              </w:rPr>
            </w:pPr>
            <w:r>
              <w:rPr>
                <w:rFonts w:hint="eastAsia" w:ascii="方正仿宋_GBK" w:hAnsi="方正仿宋_GBK" w:eastAsia="方正仿宋_GBK" w:cs="方正仿宋_GBK"/>
                <w:b/>
                <w:bCs/>
                <w:sz w:val="24"/>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106" w:type="dxa"/>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序号</w:t>
            </w:r>
          </w:p>
        </w:tc>
        <w:tc>
          <w:tcPr>
            <w:tcW w:w="2533"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关联关系类型</w:t>
            </w:r>
          </w:p>
        </w:tc>
        <w:tc>
          <w:tcPr>
            <w:tcW w:w="2061" w:type="dxa"/>
            <w:gridSpan w:val="2"/>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关联主体名称</w:t>
            </w:r>
          </w:p>
        </w:tc>
        <w:tc>
          <w:tcPr>
            <w:tcW w:w="4845" w:type="dxa"/>
            <w:gridSpan w:val="3"/>
            <w:tcBorders>
              <w:bottom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1</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w:t>
            </w:r>
          </w:p>
        </w:tc>
        <w:tc>
          <w:tcPr>
            <w:tcW w:w="2533"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方正仿宋_GBK" w:hAnsi="方正仿宋_GBK" w:eastAsia="方正仿宋_GBK" w:cs="方正仿宋_GBK"/>
                <w:sz w:val="24"/>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方正仿宋_GBK" w:hAnsi="方正仿宋_GBK" w:eastAsia="方正仿宋_GBK" w:cs="方正仿宋_GBK"/>
                <w:sz w:val="24"/>
              </w:rPr>
            </w:pPr>
            <w:r>
              <w:rPr>
                <w:rFonts w:hint="eastAsia" w:ascii="方正仿宋_GBK" w:hAnsi="方正仿宋_GBK" w:eastAsia="方正仿宋_GBK" w:cs="方正仿宋_GBK"/>
                <w:b/>
                <w:bCs/>
                <w:sz w:val="24"/>
              </w:rPr>
              <w:t>说明：同一关联关系类型有多个主体的，应分行填写。</w:t>
            </w:r>
          </w:p>
        </w:tc>
      </w:tr>
    </w:tbl>
    <w:p>
      <w:pPr>
        <w:keepNext w:val="0"/>
        <w:keepLines w:val="0"/>
        <w:pageBreakBefore w:val="0"/>
        <w:kinsoku/>
        <w:overflowPunct/>
        <w:autoSpaceDE/>
        <w:autoSpaceDN/>
        <w:bidi w:val="0"/>
        <w:adjustRightInd/>
        <w:spacing w:line="560" w:lineRule="exact"/>
        <w:jc w:val="both"/>
        <w:textAlignment w:val="auto"/>
        <w:rPr>
          <w:highlight w:val="none"/>
        </w:rPr>
      </w:pP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等线 Light">
    <w:altName w:val="C059"/>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 w:name="Times">
    <w:altName w:val="DejaVu Sans"/>
    <w:panose1 w:val="02020603050405020304"/>
    <w:charset w:val="00"/>
    <w:family w:val="roman"/>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8Zm0MQIAAGM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ITJsyxs9c7yCB3l8XZ1DJAzqRxF6ZRAd+IBs5f61O9JHO4/zynq8b9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hvGZtDECAABjBAAADgAAAAAAAAABACAAAAA1&#10;AQAAZHJzL2Uyb0RvYy54bWxQSwUGAAAAAAYABgBZAQAA2AUAAAAA&#10;">
              <v:fill on="f" focussize="0,0"/>
              <v:stroke on="f" weight="0.5pt"/>
              <v:imagedata o:title=""/>
              <o:lock v:ext="edit" aspectratio="f"/>
              <v:textbox inset="0mm,0mm,0mm,0mm" style="mso-fit-shape-to-text:t;">
                <w:txbxContent>
                  <w:p>
                    <w:pPr>
                      <w:snapToGrid w:val="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EFF8F"/>
    <w:multiLevelType w:val="singleLevel"/>
    <w:tmpl w:val="FCEEFF8F"/>
    <w:lvl w:ilvl="0" w:tentative="0">
      <w:start w:val="2"/>
      <w:numFmt w:val="chineseCounting"/>
      <w:suff w:val="nothing"/>
      <w:lvlText w:val="（%1）"/>
      <w:lvlJc w:val="left"/>
      <w:rPr>
        <w:rFonts w:hint="eastAsia"/>
      </w:rPr>
    </w:lvl>
  </w:abstractNum>
  <w:abstractNum w:abstractNumId="1">
    <w:nsid w:val="40FEB204"/>
    <w:multiLevelType w:val="singleLevel"/>
    <w:tmpl w:val="40FEB204"/>
    <w:lvl w:ilvl="0" w:tentative="0">
      <w:start w:val="1"/>
      <w:numFmt w:val="chineseCounting"/>
      <w:suff w:val="nothing"/>
      <w:lvlText w:val="%1、"/>
      <w:lvlJc w:val="left"/>
      <w:rPr>
        <w:rFonts w:hint="eastAsia"/>
      </w:rPr>
    </w:lvl>
  </w:abstractNum>
  <w:abstractNum w:abstractNumId="2">
    <w:nsid w:val="5F5E49FA"/>
    <w:multiLevelType w:val="singleLevel"/>
    <w:tmpl w:val="5F5E49FA"/>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DEB"/>
    <w:rsid w:val="000323A4"/>
    <w:rsid w:val="0014299B"/>
    <w:rsid w:val="001A3DEB"/>
    <w:rsid w:val="00291746"/>
    <w:rsid w:val="002E4974"/>
    <w:rsid w:val="00307BCF"/>
    <w:rsid w:val="00351392"/>
    <w:rsid w:val="00645695"/>
    <w:rsid w:val="00C148C1"/>
    <w:rsid w:val="00C23127"/>
    <w:rsid w:val="00CA2E0C"/>
    <w:rsid w:val="00CD3C9F"/>
    <w:rsid w:val="00D22681"/>
    <w:rsid w:val="00E37C99"/>
    <w:rsid w:val="00FB6A46"/>
    <w:rsid w:val="0ABC18F2"/>
    <w:rsid w:val="0B8B5BBE"/>
    <w:rsid w:val="0F7E776D"/>
    <w:rsid w:val="0FFF9859"/>
    <w:rsid w:val="12D54D85"/>
    <w:rsid w:val="16F92BE8"/>
    <w:rsid w:val="17FFDE9E"/>
    <w:rsid w:val="19CEB2A6"/>
    <w:rsid w:val="1B7FC3A5"/>
    <w:rsid w:val="1B963353"/>
    <w:rsid w:val="1BF5565E"/>
    <w:rsid w:val="1CD60607"/>
    <w:rsid w:val="1CF77DC2"/>
    <w:rsid w:val="1D1FE388"/>
    <w:rsid w:val="1DED6C0C"/>
    <w:rsid w:val="1E7E587C"/>
    <w:rsid w:val="1FFD5487"/>
    <w:rsid w:val="267DED53"/>
    <w:rsid w:val="2EFF7A1D"/>
    <w:rsid w:val="2F0F0228"/>
    <w:rsid w:val="2F5E783E"/>
    <w:rsid w:val="2FBF08A4"/>
    <w:rsid w:val="2FDB0EE0"/>
    <w:rsid w:val="2FEFE7A0"/>
    <w:rsid w:val="2FFE09FF"/>
    <w:rsid w:val="2FFF6DC3"/>
    <w:rsid w:val="319F0076"/>
    <w:rsid w:val="31DD9D65"/>
    <w:rsid w:val="339B8DB5"/>
    <w:rsid w:val="34BDB4B0"/>
    <w:rsid w:val="373DE74A"/>
    <w:rsid w:val="376387CD"/>
    <w:rsid w:val="3777FB01"/>
    <w:rsid w:val="37AA0857"/>
    <w:rsid w:val="37D53526"/>
    <w:rsid w:val="37F7FF2A"/>
    <w:rsid w:val="37FFDDFB"/>
    <w:rsid w:val="3AFFC359"/>
    <w:rsid w:val="3CBF4301"/>
    <w:rsid w:val="3CDF9CE4"/>
    <w:rsid w:val="3D3F1543"/>
    <w:rsid w:val="3F6F98CC"/>
    <w:rsid w:val="3FD70EDF"/>
    <w:rsid w:val="3FDB7425"/>
    <w:rsid w:val="3FDF71A3"/>
    <w:rsid w:val="3FE72C39"/>
    <w:rsid w:val="3FF70D5E"/>
    <w:rsid w:val="3FF9458D"/>
    <w:rsid w:val="3FFBB4F6"/>
    <w:rsid w:val="42A81D5D"/>
    <w:rsid w:val="436D2C33"/>
    <w:rsid w:val="49AFBE78"/>
    <w:rsid w:val="4B2F0790"/>
    <w:rsid w:val="4CFB9F42"/>
    <w:rsid w:val="4D74905A"/>
    <w:rsid w:val="4DCBA646"/>
    <w:rsid w:val="4DCBC2C8"/>
    <w:rsid w:val="4FC14E31"/>
    <w:rsid w:val="4FD9C35A"/>
    <w:rsid w:val="4FDB29D8"/>
    <w:rsid w:val="4FEF307D"/>
    <w:rsid w:val="4FFFF1F5"/>
    <w:rsid w:val="51F77EDA"/>
    <w:rsid w:val="533F29AB"/>
    <w:rsid w:val="5697ACBE"/>
    <w:rsid w:val="57DE61FF"/>
    <w:rsid w:val="5977DCE5"/>
    <w:rsid w:val="597DA09A"/>
    <w:rsid w:val="5B27EAA1"/>
    <w:rsid w:val="5BAEF2B7"/>
    <w:rsid w:val="5D2FF8C0"/>
    <w:rsid w:val="5D32F4C3"/>
    <w:rsid w:val="5DBD721D"/>
    <w:rsid w:val="5DFE477B"/>
    <w:rsid w:val="5E178740"/>
    <w:rsid w:val="5E69F3F6"/>
    <w:rsid w:val="5EED5D28"/>
    <w:rsid w:val="5EFCC87A"/>
    <w:rsid w:val="5EFFDB3C"/>
    <w:rsid w:val="5F5EFA8D"/>
    <w:rsid w:val="5F7B417D"/>
    <w:rsid w:val="5F7D4761"/>
    <w:rsid w:val="5FBF2BE8"/>
    <w:rsid w:val="5FDF57CB"/>
    <w:rsid w:val="5FF73DEE"/>
    <w:rsid w:val="5FFA1925"/>
    <w:rsid w:val="5FFD473C"/>
    <w:rsid w:val="61EBD4A6"/>
    <w:rsid w:val="61F90A5C"/>
    <w:rsid w:val="63F91912"/>
    <w:rsid w:val="64CF9D5E"/>
    <w:rsid w:val="65FF1C5A"/>
    <w:rsid w:val="666F33DD"/>
    <w:rsid w:val="673FD168"/>
    <w:rsid w:val="6754C84A"/>
    <w:rsid w:val="675FFF27"/>
    <w:rsid w:val="67EF93F6"/>
    <w:rsid w:val="67F7F23D"/>
    <w:rsid w:val="67FBD46A"/>
    <w:rsid w:val="69B6EC2F"/>
    <w:rsid w:val="6B7B5812"/>
    <w:rsid w:val="6BF7C34C"/>
    <w:rsid w:val="6BFBF8F1"/>
    <w:rsid w:val="6BFF4443"/>
    <w:rsid w:val="6DF4B8C1"/>
    <w:rsid w:val="6F57597E"/>
    <w:rsid w:val="6F7FE712"/>
    <w:rsid w:val="6FB46ACD"/>
    <w:rsid w:val="6FBE3A6B"/>
    <w:rsid w:val="6FCBF585"/>
    <w:rsid w:val="6FDBE87E"/>
    <w:rsid w:val="6FFB8DD4"/>
    <w:rsid w:val="6FFF7B8C"/>
    <w:rsid w:val="6FFF8D37"/>
    <w:rsid w:val="71672C41"/>
    <w:rsid w:val="737FA7EB"/>
    <w:rsid w:val="73EE74FE"/>
    <w:rsid w:val="73FF6F55"/>
    <w:rsid w:val="757625C0"/>
    <w:rsid w:val="75BD99B9"/>
    <w:rsid w:val="75DCA02D"/>
    <w:rsid w:val="76F3E88B"/>
    <w:rsid w:val="773D8BE0"/>
    <w:rsid w:val="773F47A0"/>
    <w:rsid w:val="77574BE8"/>
    <w:rsid w:val="77F6DC24"/>
    <w:rsid w:val="77F9275A"/>
    <w:rsid w:val="799E90D5"/>
    <w:rsid w:val="79F7B5FC"/>
    <w:rsid w:val="79FF2F27"/>
    <w:rsid w:val="7AFC9DDC"/>
    <w:rsid w:val="7BDF64A7"/>
    <w:rsid w:val="7BEF8C66"/>
    <w:rsid w:val="7BFF72FB"/>
    <w:rsid w:val="7CEF0548"/>
    <w:rsid w:val="7CFF4AB4"/>
    <w:rsid w:val="7D4FCDA5"/>
    <w:rsid w:val="7D5A1202"/>
    <w:rsid w:val="7D5F9C57"/>
    <w:rsid w:val="7DFF91D0"/>
    <w:rsid w:val="7E3DB3ED"/>
    <w:rsid w:val="7E7F7D1D"/>
    <w:rsid w:val="7E9F6804"/>
    <w:rsid w:val="7ED56D18"/>
    <w:rsid w:val="7EF3D9ED"/>
    <w:rsid w:val="7EF73F27"/>
    <w:rsid w:val="7F37A67D"/>
    <w:rsid w:val="7F3B1E43"/>
    <w:rsid w:val="7F3FBD01"/>
    <w:rsid w:val="7F520B52"/>
    <w:rsid w:val="7F6B1BC9"/>
    <w:rsid w:val="7F6DC67F"/>
    <w:rsid w:val="7F6FCFEC"/>
    <w:rsid w:val="7F7CAB61"/>
    <w:rsid w:val="7F7F0F37"/>
    <w:rsid w:val="7FD773C7"/>
    <w:rsid w:val="7FEB8DC7"/>
    <w:rsid w:val="7FEC5CC0"/>
    <w:rsid w:val="7FEE6FEF"/>
    <w:rsid w:val="7FF19664"/>
    <w:rsid w:val="7FF1EA56"/>
    <w:rsid w:val="7FF4C8A3"/>
    <w:rsid w:val="7FF59823"/>
    <w:rsid w:val="7FF774C3"/>
    <w:rsid w:val="7FFA33A0"/>
    <w:rsid w:val="7FFE3601"/>
    <w:rsid w:val="7FFF17FC"/>
    <w:rsid w:val="7FFF4EF9"/>
    <w:rsid w:val="8BF72DB0"/>
    <w:rsid w:val="97FB1F97"/>
    <w:rsid w:val="987C85E7"/>
    <w:rsid w:val="9CFF1296"/>
    <w:rsid w:val="9E765375"/>
    <w:rsid w:val="A6E196E1"/>
    <w:rsid w:val="A7F2D384"/>
    <w:rsid w:val="A7F7A78F"/>
    <w:rsid w:val="A7FF10E4"/>
    <w:rsid w:val="AEFFB915"/>
    <w:rsid w:val="AF38754B"/>
    <w:rsid w:val="AF6E2B44"/>
    <w:rsid w:val="AFEAC7D6"/>
    <w:rsid w:val="B1EB5BFB"/>
    <w:rsid w:val="B1EEC9D8"/>
    <w:rsid w:val="B57DE33A"/>
    <w:rsid w:val="B7BBCF5A"/>
    <w:rsid w:val="B7FB4A43"/>
    <w:rsid w:val="B97B79DA"/>
    <w:rsid w:val="B9BE2DD6"/>
    <w:rsid w:val="BBF7B8ED"/>
    <w:rsid w:val="BC5E683B"/>
    <w:rsid w:val="BC7F261B"/>
    <w:rsid w:val="BDFF6147"/>
    <w:rsid w:val="BEEECB49"/>
    <w:rsid w:val="BF4FC5B0"/>
    <w:rsid w:val="BFAB7095"/>
    <w:rsid w:val="BFF503A6"/>
    <w:rsid w:val="BFF758C5"/>
    <w:rsid w:val="CEF9B7D6"/>
    <w:rsid w:val="CFF3449A"/>
    <w:rsid w:val="CFF72838"/>
    <w:rsid w:val="CFF7CF28"/>
    <w:rsid w:val="D1FFAC43"/>
    <w:rsid w:val="D4F7A2F2"/>
    <w:rsid w:val="D6BF30C4"/>
    <w:rsid w:val="D6F5B4F5"/>
    <w:rsid w:val="D8FA41A7"/>
    <w:rsid w:val="DB9D21D3"/>
    <w:rsid w:val="DB9F2614"/>
    <w:rsid w:val="DBAF2856"/>
    <w:rsid w:val="DBBC94AA"/>
    <w:rsid w:val="DBF38DCF"/>
    <w:rsid w:val="DCD37CE4"/>
    <w:rsid w:val="DD19F797"/>
    <w:rsid w:val="DD7B8380"/>
    <w:rsid w:val="DDEEC54A"/>
    <w:rsid w:val="DDFB1E7A"/>
    <w:rsid w:val="DDFB38AF"/>
    <w:rsid w:val="DEE73894"/>
    <w:rsid w:val="DEFD1231"/>
    <w:rsid w:val="DF5F1AE7"/>
    <w:rsid w:val="DF63946D"/>
    <w:rsid w:val="DF692747"/>
    <w:rsid w:val="DF731C8D"/>
    <w:rsid w:val="DFB87DBE"/>
    <w:rsid w:val="DFF32B46"/>
    <w:rsid w:val="DFF539A8"/>
    <w:rsid w:val="E55F9C86"/>
    <w:rsid w:val="E7BF8930"/>
    <w:rsid w:val="E7F766EA"/>
    <w:rsid w:val="E7F7FAAA"/>
    <w:rsid w:val="E7FBD0BD"/>
    <w:rsid w:val="E7FF37D1"/>
    <w:rsid w:val="E93F2D70"/>
    <w:rsid w:val="E9ED1861"/>
    <w:rsid w:val="EA9B7CD6"/>
    <w:rsid w:val="EB7D8CA4"/>
    <w:rsid w:val="EB7FFF00"/>
    <w:rsid w:val="EDBB66E1"/>
    <w:rsid w:val="EDFFA853"/>
    <w:rsid w:val="EECC17EA"/>
    <w:rsid w:val="EF6E6105"/>
    <w:rsid w:val="EF941B41"/>
    <w:rsid w:val="EFECE3DE"/>
    <w:rsid w:val="EFF6CCB1"/>
    <w:rsid w:val="EFFCFDDD"/>
    <w:rsid w:val="EFFFD669"/>
    <w:rsid w:val="F17E5DEC"/>
    <w:rsid w:val="F1FD38AF"/>
    <w:rsid w:val="F41ABA00"/>
    <w:rsid w:val="F4BD043B"/>
    <w:rsid w:val="F4BFC4C3"/>
    <w:rsid w:val="F52F7F18"/>
    <w:rsid w:val="F5BFA9A5"/>
    <w:rsid w:val="F6BB279E"/>
    <w:rsid w:val="F6BF416C"/>
    <w:rsid w:val="F6F7B8D9"/>
    <w:rsid w:val="F6FFDE1E"/>
    <w:rsid w:val="F73F42A8"/>
    <w:rsid w:val="F7695491"/>
    <w:rsid w:val="F776BFB0"/>
    <w:rsid w:val="F7AF8743"/>
    <w:rsid w:val="F7DF0CE1"/>
    <w:rsid w:val="F7FF4B9E"/>
    <w:rsid w:val="F97F846D"/>
    <w:rsid w:val="F9B6B041"/>
    <w:rsid w:val="F9C8D18B"/>
    <w:rsid w:val="FA7F9C43"/>
    <w:rsid w:val="FAB2629D"/>
    <w:rsid w:val="FAED65AA"/>
    <w:rsid w:val="FAEF72BB"/>
    <w:rsid w:val="FBBFEC7B"/>
    <w:rsid w:val="FBFA6464"/>
    <w:rsid w:val="FBFF48B3"/>
    <w:rsid w:val="FCBF78EB"/>
    <w:rsid w:val="FCCBEBFF"/>
    <w:rsid w:val="FCD393F7"/>
    <w:rsid w:val="FD64BC03"/>
    <w:rsid w:val="FD7BDC65"/>
    <w:rsid w:val="FD7FD145"/>
    <w:rsid w:val="FDCF8BD2"/>
    <w:rsid w:val="FDE3635A"/>
    <w:rsid w:val="FDE900B1"/>
    <w:rsid w:val="FDFF0499"/>
    <w:rsid w:val="FE1A638B"/>
    <w:rsid w:val="FE37A102"/>
    <w:rsid w:val="FF1711CB"/>
    <w:rsid w:val="FF2E2C46"/>
    <w:rsid w:val="FF3E07C2"/>
    <w:rsid w:val="FF4A2B30"/>
    <w:rsid w:val="FF4FE5A9"/>
    <w:rsid w:val="FF5927DE"/>
    <w:rsid w:val="FF667EDF"/>
    <w:rsid w:val="FF675D03"/>
    <w:rsid w:val="FF7672EF"/>
    <w:rsid w:val="FF76D5EC"/>
    <w:rsid w:val="FF77FA76"/>
    <w:rsid w:val="FFAFE183"/>
    <w:rsid w:val="FFBBEE52"/>
    <w:rsid w:val="FFBE2579"/>
    <w:rsid w:val="FFBFA54F"/>
    <w:rsid w:val="FFDFA594"/>
    <w:rsid w:val="FFDFD66E"/>
    <w:rsid w:val="FFE5542B"/>
    <w:rsid w:val="FFE65DB4"/>
    <w:rsid w:val="FFEF235C"/>
    <w:rsid w:val="FFEFB4B0"/>
    <w:rsid w:val="FFEFD36A"/>
    <w:rsid w:val="FFF2DAA9"/>
    <w:rsid w:val="FFF76B52"/>
    <w:rsid w:val="FFF78882"/>
    <w:rsid w:val="FFF85DF7"/>
    <w:rsid w:val="FFFD950E"/>
    <w:rsid w:val="FFFDD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Calibri" w:hAnsi="Calibri" w:eastAsia="宋体" w:cs="Times New Roman"/>
      <w:kern w:val="2"/>
      <w:sz w:val="21"/>
      <w:szCs w:val="24"/>
      <w:lang w:val="en-US" w:eastAsia="zh-CN" w:bidi="ar-SA"/>
      <w14:ligatures w14:val="none"/>
    </w:rPr>
  </w:style>
  <w:style w:type="paragraph" w:styleId="4">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5">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6">
    <w:name w:val="heading 3"/>
    <w:basedOn w:val="1"/>
    <w:next w:val="1"/>
    <w:link w:val="2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7">
    <w:name w:val="heading 4"/>
    <w:basedOn w:val="1"/>
    <w:next w:val="1"/>
    <w:link w:val="3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8">
    <w:name w:val="heading 5"/>
    <w:basedOn w:val="1"/>
    <w:next w:val="1"/>
    <w:link w:val="31"/>
    <w:semiHidden/>
    <w:unhideWhenUsed/>
    <w:qFormat/>
    <w:uiPriority w:val="9"/>
    <w:pPr>
      <w:keepNext/>
      <w:keepLines/>
      <w:spacing w:before="80" w:after="40"/>
      <w:outlineLvl w:val="4"/>
    </w:pPr>
    <w:rPr>
      <w:rFonts w:cstheme="majorBidi"/>
      <w:color w:val="2F5597" w:themeColor="accent1" w:themeShade="BF"/>
      <w:sz w:val="24"/>
    </w:rPr>
  </w:style>
  <w:style w:type="paragraph" w:styleId="9">
    <w:name w:val="heading 6"/>
    <w:basedOn w:val="1"/>
    <w:next w:val="1"/>
    <w:link w:val="32"/>
    <w:semiHidden/>
    <w:unhideWhenUsed/>
    <w:qFormat/>
    <w:uiPriority w:val="9"/>
    <w:pPr>
      <w:keepNext/>
      <w:keepLines/>
      <w:spacing w:before="40"/>
      <w:outlineLvl w:val="5"/>
    </w:pPr>
    <w:rPr>
      <w:rFonts w:cstheme="majorBidi"/>
      <w:b/>
      <w:bCs/>
      <w:color w:val="2F5597" w:themeColor="accent1" w:themeShade="BF"/>
    </w:rPr>
  </w:style>
  <w:style w:type="paragraph" w:styleId="10">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4">
    <w:name w:val="Default Paragraph Font"/>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7"/>
    <w:unhideWhenUsed/>
    <w:qFormat/>
    <w:uiPriority w:val="99"/>
    <w:pPr>
      <w:spacing w:line="600" w:lineRule="exact"/>
      <w:jc w:val="left"/>
    </w:pPr>
    <w:rPr>
      <w:rFonts w:hint="eastAsia" w:eastAsia="CESI仿宋-GB2312"/>
      <w:spacing w:val="10"/>
      <w:sz w:val="32"/>
      <w:szCs w:val="22"/>
    </w:rPr>
  </w:style>
  <w:style w:type="paragraph" w:styleId="3">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paragraph" w:styleId="13">
    <w:name w:val="Normal Indent"/>
    <w:basedOn w:val="1"/>
    <w:qFormat/>
    <w:uiPriority w:val="0"/>
    <w:pPr>
      <w:ind w:firstLine="420"/>
    </w:pPr>
    <w:rPr>
      <w:szCs w:val="20"/>
    </w:rPr>
  </w:style>
  <w:style w:type="paragraph" w:styleId="14">
    <w:name w:val="annotation text"/>
    <w:basedOn w:val="1"/>
    <w:link w:val="46"/>
    <w:qFormat/>
    <w:uiPriority w:val="0"/>
    <w:pPr>
      <w:jc w:val="left"/>
    </w:pPr>
  </w:style>
  <w:style w:type="paragraph" w:styleId="15">
    <w:name w:val="Block Text"/>
    <w:qFormat/>
    <w:uiPriority w:val="0"/>
    <w:pPr>
      <w:widowControl w:val="0"/>
      <w:tabs>
        <w:tab w:val="left" w:pos="426"/>
      </w:tabs>
      <w:spacing w:after="120" w:line="240" w:lineRule="auto"/>
      <w:ind w:left="1440" w:leftChars="700" w:right="1440" w:rightChars="700"/>
      <w:jc w:val="both"/>
    </w:pPr>
    <w:rPr>
      <w:rFonts w:ascii="Calibri" w:hAnsi="Calibri" w:eastAsia="宋体" w:cs="Times New Roman"/>
      <w:kern w:val="2"/>
      <w:sz w:val="21"/>
      <w:szCs w:val="24"/>
      <w:lang w:val="en-US" w:eastAsia="zh-CN" w:bidi="ar-SA"/>
      <w14:ligatures w14:val="none"/>
    </w:rPr>
  </w:style>
  <w:style w:type="paragraph" w:styleId="16">
    <w:name w:val="footer"/>
    <w:basedOn w:val="1"/>
    <w:link w:val="45"/>
    <w:unhideWhenUsed/>
    <w:qFormat/>
    <w:uiPriority w:val="99"/>
    <w:pPr>
      <w:tabs>
        <w:tab w:val="center" w:pos="4153"/>
        <w:tab w:val="right" w:pos="8306"/>
      </w:tabs>
      <w:snapToGrid w:val="0"/>
    </w:pPr>
    <w:rPr>
      <w:sz w:val="18"/>
      <w:szCs w:val="18"/>
    </w:rPr>
  </w:style>
  <w:style w:type="paragraph" w:styleId="17">
    <w:name w:val="header"/>
    <w:basedOn w:val="1"/>
    <w:link w:val="44"/>
    <w:unhideWhenUsed/>
    <w:qFormat/>
    <w:uiPriority w:val="99"/>
    <w:pPr>
      <w:tabs>
        <w:tab w:val="center" w:pos="4153"/>
        <w:tab w:val="right" w:pos="8306"/>
      </w:tabs>
      <w:snapToGrid w:val="0"/>
      <w:jc w:val="center"/>
    </w:pPr>
    <w:rPr>
      <w:sz w:val="18"/>
      <w:szCs w:val="18"/>
    </w:rPr>
  </w:style>
  <w:style w:type="paragraph" w:styleId="18">
    <w:name w:val="Subtitle"/>
    <w:basedOn w:val="1"/>
    <w:next w:val="1"/>
    <w:link w:val="3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0">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1">
    <w:name w:val="annotation subject"/>
    <w:basedOn w:val="14"/>
    <w:next w:val="14"/>
    <w:link w:val="49"/>
    <w:semiHidden/>
    <w:unhideWhenUsed/>
    <w:qFormat/>
    <w:uiPriority w:val="99"/>
    <w:rPr>
      <w:b/>
      <w:bCs/>
    </w:rPr>
  </w:style>
  <w:style w:type="table" w:styleId="23">
    <w:name w:val="Table Grid"/>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5">
    <w:name w:val="Hyperlink"/>
    <w:qFormat/>
    <w:uiPriority w:val="0"/>
    <w:rPr>
      <w:color w:val="0000FF"/>
      <w:u w:val="single"/>
    </w:rPr>
  </w:style>
  <w:style w:type="character" w:styleId="26">
    <w:name w:val="annotation reference"/>
    <w:basedOn w:val="24"/>
    <w:qFormat/>
    <w:uiPriority w:val="0"/>
    <w:rPr>
      <w:sz w:val="21"/>
      <w:szCs w:val="21"/>
    </w:rPr>
  </w:style>
  <w:style w:type="character" w:customStyle="1" w:styleId="27">
    <w:name w:val="标题 1 字符"/>
    <w:basedOn w:val="24"/>
    <w:link w:val="4"/>
    <w:qFormat/>
    <w:uiPriority w:val="9"/>
    <w:rPr>
      <w:rFonts w:asciiTheme="majorHAnsi" w:hAnsiTheme="majorHAnsi" w:eastAsiaTheme="majorEastAsia" w:cstheme="majorBidi"/>
      <w:color w:val="2F5597" w:themeColor="accent1" w:themeShade="BF"/>
      <w:sz w:val="48"/>
      <w:szCs w:val="48"/>
    </w:rPr>
  </w:style>
  <w:style w:type="character" w:customStyle="1" w:styleId="28">
    <w:name w:val="标题 2 字符"/>
    <w:basedOn w:val="24"/>
    <w:link w:val="5"/>
    <w:semiHidden/>
    <w:qFormat/>
    <w:uiPriority w:val="9"/>
    <w:rPr>
      <w:rFonts w:asciiTheme="majorHAnsi" w:hAnsiTheme="majorHAnsi" w:eastAsiaTheme="majorEastAsia" w:cstheme="majorBidi"/>
      <w:color w:val="2F5597" w:themeColor="accent1" w:themeShade="BF"/>
      <w:sz w:val="40"/>
      <w:szCs w:val="40"/>
    </w:rPr>
  </w:style>
  <w:style w:type="character" w:customStyle="1" w:styleId="29">
    <w:name w:val="标题 3 字符"/>
    <w:basedOn w:val="24"/>
    <w:link w:val="6"/>
    <w:semiHidden/>
    <w:qFormat/>
    <w:uiPriority w:val="9"/>
    <w:rPr>
      <w:rFonts w:asciiTheme="majorHAnsi" w:hAnsiTheme="majorHAnsi" w:eastAsiaTheme="majorEastAsia" w:cstheme="majorBidi"/>
      <w:color w:val="2F5597" w:themeColor="accent1" w:themeShade="BF"/>
      <w:sz w:val="32"/>
      <w:szCs w:val="32"/>
    </w:rPr>
  </w:style>
  <w:style w:type="character" w:customStyle="1" w:styleId="30">
    <w:name w:val="标题 4 字符"/>
    <w:basedOn w:val="24"/>
    <w:link w:val="7"/>
    <w:semiHidden/>
    <w:qFormat/>
    <w:uiPriority w:val="9"/>
    <w:rPr>
      <w:rFonts w:cstheme="majorBidi"/>
      <w:color w:val="2F5597" w:themeColor="accent1" w:themeShade="BF"/>
      <w:sz w:val="28"/>
      <w:szCs w:val="28"/>
    </w:rPr>
  </w:style>
  <w:style w:type="character" w:customStyle="1" w:styleId="31">
    <w:name w:val="标题 5 字符"/>
    <w:basedOn w:val="24"/>
    <w:link w:val="8"/>
    <w:semiHidden/>
    <w:qFormat/>
    <w:uiPriority w:val="9"/>
    <w:rPr>
      <w:rFonts w:cstheme="majorBidi"/>
      <w:color w:val="2F5597" w:themeColor="accent1" w:themeShade="BF"/>
      <w:sz w:val="24"/>
    </w:rPr>
  </w:style>
  <w:style w:type="character" w:customStyle="1" w:styleId="32">
    <w:name w:val="标题 6 字符"/>
    <w:basedOn w:val="24"/>
    <w:link w:val="9"/>
    <w:semiHidden/>
    <w:qFormat/>
    <w:uiPriority w:val="9"/>
    <w:rPr>
      <w:rFonts w:cstheme="majorBidi"/>
      <w:b/>
      <w:bCs/>
      <w:color w:val="2F5597" w:themeColor="accent1" w:themeShade="BF"/>
    </w:rPr>
  </w:style>
  <w:style w:type="character" w:customStyle="1" w:styleId="33">
    <w:name w:val="标题 7 字符"/>
    <w:basedOn w:val="24"/>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4"/>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4"/>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4"/>
    <w:link w:val="20"/>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4"/>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38">
    <w:name w:val="引用 字符"/>
    <w:basedOn w:val="24"/>
    <w:link w:val="3"/>
    <w:qFormat/>
    <w:uiPriority w:val="29"/>
    <w:rPr>
      <w:i/>
      <w:iCs/>
      <w:color w:val="404040" w:themeColor="text1" w:themeTint="BF"/>
      <w14:textFill>
        <w14:solidFill>
          <w14:schemeClr w14:val="tx1">
            <w14:lumMod w14:val="75000"/>
            <w14:lumOff w14:val="25000"/>
          </w14:schemeClr>
        </w14:solidFill>
      </w14:textFill>
    </w:rPr>
  </w:style>
  <w:style w:type="paragraph" w:styleId="39">
    <w:name w:val="List Paragraph"/>
    <w:basedOn w:val="1"/>
    <w:qFormat/>
    <w:uiPriority w:val="34"/>
    <w:pPr>
      <w:ind w:left="720"/>
      <w:contextualSpacing/>
    </w:pPr>
  </w:style>
  <w:style w:type="character" w:customStyle="1" w:styleId="40">
    <w:name w:val="Intense Emphasis"/>
    <w:basedOn w:val="24"/>
    <w:qFormat/>
    <w:uiPriority w:val="21"/>
    <w:rPr>
      <w:i/>
      <w:iCs/>
      <w:color w:val="2F5597" w:themeColor="accent1" w:themeShade="BF"/>
    </w:rPr>
  </w:style>
  <w:style w:type="paragraph" w:styleId="41">
    <w:name w:val="Intense Quote"/>
    <w:basedOn w:val="1"/>
    <w:next w:val="1"/>
    <w:link w:val="4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2">
    <w:name w:val="明显引用 字符"/>
    <w:basedOn w:val="24"/>
    <w:link w:val="41"/>
    <w:qFormat/>
    <w:uiPriority w:val="30"/>
    <w:rPr>
      <w:i/>
      <w:iCs/>
      <w:color w:val="2F5597" w:themeColor="accent1" w:themeShade="BF"/>
    </w:rPr>
  </w:style>
  <w:style w:type="character" w:customStyle="1" w:styleId="43">
    <w:name w:val="Intense Reference"/>
    <w:basedOn w:val="24"/>
    <w:qFormat/>
    <w:uiPriority w:val="32"/>
    <w:rPr>
      <w:b/>
      <w:bCs/>
      <w:smallCaps/>
      <w:color w:val="2F5597" w:themeColor="accent1" w:themeShade="BF"/>
      <w:spacing w:val="5"/>
    </w:rPr>
  </w:style>
  <w:style w:type="character" w:customStyle="1" w:styleId="44">
    <w:name w:val="页眉 字符"/>
    <w:basedOn w:val="24"/>
    <w:link w:val="17"/>
    <w:qFormat/>
    <w:uiPriority w:val="99"/>
    <w:rPr>
      <w:sz w:val="18"/>
      <w:szCs w:val="18"/>
    </w:rPr>
  </w:style>
  <w:style w:type="character" w:customStyle="1" w:styleId="45">
    <w:name w:val="页脚 字符"/>
    <w:basedOn w:val="24"/>
    <w:link w:val="16"/>
    <w:qFormat/>
    <w:uiPriority w:val="99"/>
    <w:rPr>
      <w:sz w:val="18"/>
      <w:szCs w:val="18"/>
    </w:rPr>
  </w:style>
  <w:style w:type="character" w:customStyle="1" w:styleId="46">
    <w:name w:val="批注文字 字符"/>
    <w:basedOn w:val="24"/>
    <w:link w:val="14"/>
    <w:qFormat/>
    <w:uiPriority w:val="0"/>
    <w:rPr>
      <w:rFonts w:ascii="Calibri" w:hAnsi="Calibri" w:eastAsia="宋体" w:cs="Times New Roman"/>
      <w:sz w:val="21"/>
      <w14:ligatures w14:val="none"/>
    </w:rPr>
  </w:style>
  <w:style w:type="character" w:customStyle="1" w:styleId="47">
    <w:name w:val="正文文本 字符"/>
    <w:basedOn w:val="24"/>
    <w:link w:val="2"/>
    <w:qFormat/>
    <w:uiPriority w:val="99"/>
    <w:rPr>
      <w:rFonts w:ascii="Calibri" w:hAnsi="Calibri" w:eastAsia="CESI仿宋-GB2312" w:cs="Times New Roman"/>
      <w:spacing w:val="10"/>
      <w:sz w:val="32"/>
      <w:szCs w:val="22"/>
      <w14:ligatures w14:val="none"/>
    </w:rPr>
  </w:style>
  <w:style w:type="paragraph" w:customStyle="1" w:styleId="48">
    <w:name w:val="USE 1"/>
    <w:qFormat/>
    <w:uiPriority w:val="0"/>
    <w:pPr>
      <w:widowControl w:val="0"/>
      <w:spacing w:after="0" w:line="200" w:lineRule="atLeast"/>
    </w:pPr>
    <w:rPr>
      <w:rFonts w:ascii="宋体" w:hAnsi="宋体" w:eastAsia="宋体" w:cs="Times New Roman"/>
      <w:b/>
      <w:kern w:val="2"/>
      <w:sz w:val="24"/>
      <w:szCs w:val="28"/>
      <w:lang w:val="en-US" w:eastAsia="zh-CN" w:bidi="ar-SA"/>
      <w14:ligatures w14:val="none"/>
    </w:rPr>
  </w:style>
  <w:style w:type="character" w:customStyle="1" w:styleId="49">
    <w:name w:val="批注主题 字符"/>
    <w:basedOn w:val="46"/>
    <w:link w:val="21"/>
    <w:semiHidden/>
    <w:qFormat/>
    <w:uiPriority w:val="99"/>
    <w:rPr>
      <w:rFonts w:ascii="Calibri" w:hAnsi="Calibri" w:eastAsia="宋体" w:cs="Times New Roman"/>
      <w:b/>
      <w:bCs/>
      <w:sz w:val="21"/>
      <w14:ligatures w14:val="none"/>
    </w:rPr>
  </w:style>
  <w:style w:type="paragraph" w:customStyle="1" w:styleId="50">
    <w:name w:val="l正文"/>
    <w:basedOn w:val="1"/>
    <w:qFormat/>
    <w:uiPriority w:val="0"/>
    <w:pPr>
      <w:spacing w:line="300" w:lineRule="auto"/>
      <w:ind w:firstLine="200" w:firstLineChars="200"/>
      <w:jc w:val="left"/>
    </w:pPr>
    <w:rPr>
      <w:rFonts w:ascii="楷体_GB2312" w:hAnsi="Times" w:eastAsia="楷体_GB2312" w:cs="等线"/>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3386</Words>
  <Characters>3524</Characters>
  <Lines>45</Lines>
  <Paragraphs>12</Paragraphs>
  <TotalTime>1</TotalTime>
  <ScaleCrop>false</ScaleCrop>
  <LinksUpToDate>false</LinksUpToDate>
  <CharactersWithSpaces>3528</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2026-06-25T02:19:00Z</dcterms:created>
  <dc:creator>Administrator</dc:creator>
  <cp:lastModifiedBy>user</cp:lastModifiedBy>
  <cp:lastPrinted>2026-10-14T06:07:00Z</cp:lastPrinted>
  <dcterms:modified xsi:type="dcterms:W3CDTF">2026-10-15T11:06:04Z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DE78DE723AB039116478CC6A315F36A5</vt:lpwstr>
  </property>
  <property fmtid="{D5CDD505-2E9C-101B-9397-08002B2CF9AE}" pid="4" name="KSOTemplateDocerSaveRecord">
    <vt:lpwstr>eyJoZGlkIjoiN2YzNjBkOTgyNWQ1YTMxYzM3MzMwNWFiODNmOWIzYWMiLCJ1c2VySWQiOiIyNjkyMjE1MzUifQ==</vt:lpwstr>
  </property>
</Properties>
</file>