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方正小标宋简体" w:hAnsi="方正小标宋简体" w:eastAsia="方正小标宋简体" w:cs="方正小标宋简体"/>
          <w:b w:val="0"/>
          <w:bCs w:val="0"/>
          <w:color w:val="auto"/>
          <w:kern w:val="0"/>
          <w:sz w:val="44"/>
          <w:szCs w:val="44"/>
          <w:highlight w:val="none"/>
          <w:lang w:val="en" w:eastAsia="zh-CN" w:bidi="ar-SA"/>
        </w:rPr>
      </w:pPr>
      <w:r>
        <w:rPr>
          <w:rFonts w:hint="eastAsia" w:ascii="方正小标宋简体" w:hAnsi="方正小标宋简体" w:eastAsia="方正小标宋简体" w:cs="方正小标宋简体"/>
          <w:b w:val="0"/>
          <w:bCs w:val="0"/>
          <w:color w:val="auto"/>
          <w:kern w:val="0"/>
          <w:sz w:val="44"/>
          <w:szCs w:val="44"/>
          <w:highlight w:val="none"/>
          <w:lang w:val="en" w:eastAsia="zh-CN" w:bidi="ar-SA"/>
        </w:rPr>
        <w:t>龙华文旅年度重大节点视觉设计制作</w:t>
      </w:r>
    </w:p>
    <w:p>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项目需求书</w:t>
      </w:r>
    </w:p>
    <w:p>
      <w:pPr>
        <w:pStyle w:val="2"/>
      </w:pPr>
    </w:p>
    <w:p>
      <w:pPr>
        <w:numPr>
          <w:ilvl w:val="0"/>
          <w:numId w:val="1"/>
        </w:numPr>
        <w:tabs>
          <w:tab w:val="left" w:pos="1820"/>
        </w:tabs>
        <w:snapToGrid w:val="0"/>
        <w:spacing w:line="560" w:lineRule="exact"/>
        <w:ind w:firstLine="640" w:firstLineChars="200"/>
        <w:jc w:val="left"/>
        <w:rPr>
          <w:rFonts w:hint="eastAsia" w:ascii="黑体" w:hAnsi="黑体" w:eastAsia="黑体" w:cs="黑体"/>
          <w:bCs/>
          <w:sz w:val="32"/>
          <w:szCs w:val="32"/>
        </w:rPr>
      </w:pPr>
      <w:r>
        <w:rPr>
          <w:rFonts w:hint="eastAsia" w:ascii="黑体" w:hAnsi="黑体" w:eastAsia="黑体" w:cs="黑体"/>
          <w:bCs/>
          <w:sz w:val="32"/>
          <w:szCs w:val="32"/>
        </w:rPr>
        <w:t>项目目标</w:t>
      </w:r>
    </w:p>
    <w:p>
      <w:pPr>
        <w:pStyle w:val="2"/>
        <w:ind w:left="0" w:leftChars="0" w:firstLine="640" w:firstLineChars="200"/>
        <w:rPr>
          <w:rFonts w:hint="eastAsia" w:ascii="仿宋_GB2312" w:hAnsi="仿宋" w:eastAsia="仿宋_GB2312" w:cs="仿宋"/>
          <w:b w:val="0"/>
          <w:bCs w:val="0"/>
          <w:kern w:val="0"/>
          <w:sz w:val="32"/>
          <w:szCs w:val="32"/>
          <w:highlight w:val="none"/>
          <w:shd w:val="clear" w:color="auto" w:fill="FFFFFF"/>
          <w:lang w:val="en-US" w:eastAsia="zh-CN" w:bidi="ar-SA"/>
        </w:rPr>
      </w:pPr>
      <w:r>
        <w:rPr>
          <w:rFonts w:hint="eastAsia" w:ascii="仿宋_GB2312" w:hAnsi="仿宋" w:eastAsia="仿宋_GB2312" w:cs="仿宋"/>
          <w:b w:val="0"/>
          <w:bCs w:val="0"/>
          <w:kern w:val="0"/>
          <w:sz w:val="32"/>
          <w:szCs w:val="32"/>
          <w:highlight w:val="none"/>
          <w:shd w:val="clear" w:color="auto" w:fill="FFFFFF"/>
          <w:lang w:val="en-US" w:eastAsia="zh-CN" w:bidi="ar-SA"/>
        </w:rPr>
        <w:t>为进一步提升龙华文体旅品牌辨识度与传播力，通过规范化、系列化的年度视觉设计产出，集中、系统呈现龙华区重大文旅节庆、品牌体育赛事、艺术展演活动、惠民文旅服务等全品类文旅活动信息，方便市民游客一站式获取文化活动资讯，引导全域广泛参与，助力龙华文旅城市新名片打造。</w:t>
      </w:r>
    </w:p>
    <w:p>
      <w:pPr>
        <w:keepNext w:val="0"/>
        <w:keepLines w:val="0"/>
        <w:pageBreakBefore w:val="0"/>
        <w:widowControl w:val="0"/>
        <w:tabs>
          <w:tab w:val="left" w:pos="1820"/>
        </w:tabs>
        <w:kinsoku/>
        <w:wordWrap/>
        <w:overflowPunct/>
        <w:topLinePunct w:val="0"/>
        <w:autoSpaceDE/>
        <w:autoSpaceDN/>
        <w:bidi w:val="0"/>
        <w:adjustRightInd/>
        <w:snapToGrid w:val="0"/>
        <w:spacing w:line="560" w:lineRule="exact"/>
        <w:ind w:firstLine="640" w:firstLineChars="200"/>
        <w:jc w:val="left"/>
        <w:textAlignment w:val="auto"/>
        <w:rPr>
          <w:rFonts w:hint="eastAsia" w:ascii="黑体" w:hAnsi="黑体" w:eastAsia="黑体" w:cs="黑体"/>
          <w:bCs/>
          <w:sz w:val="32"/>
          <w:szCs w:val="32"/>
          <w:lang w:eastAsia="zh-CN"/>
        </w:rPr>
      </w:pPr>
      <w:r>
        <w:rPr>
          <w:rFonts w:hint="eastAsia" w:ascii="黑体" w:hAnsi="黑体" w:eastAsia="黑体" w:cs="黑体"/>
          <w:bCs/>
          <w:sz w:val="32"/>
          <w:szCs w:val="32"/>
        </w:rPr>
        <w:t>二、</w:t>
      </w:r>
      <w:r>
        <w:rPr>
          <w:rFonts w:hint="eastAsia" w:ascii="黑体" w:hAnsi="黑体" w:eastAsia="黑体" w:cs="黑体"/>
          <w:bCs/>
          <w:sz w:val="32"/>
          <w:szCs w:val="32"/>
          <w:lang w:eastAsia="zh-CN"/>
        </w:rPr>
        <w:t>服务时间</w:t>
      </w:r>
    </w:p>
    <w:p>
      <w:pPr>
        <w:keepNext w:val="0"/>
        <w:keepLines w:val="0"/>
        <w:pageBreakBefore w:val="0"/>
        <w:widowControl w:val="0"/>
        <w:tabs>
          <w:tab w:val="left" w:pos="1820"/>
        </w:tabs>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 w:eastAsia="仿宋_GB2312" w:cs="仿宋"/>
          <w:kern w:val="0"/>
          <w:sz w:val="32"/>
          <w:szCs w:val="32"/>
          <w:highlight w:val="none"/>
          <w:shd w:val="clear" w:color="auto" w:fill="FFFFFF"/>
        </w:rPr>
      </w:pPr>
      <w:r>
        <w:rPr>
          <w:rFonts w:hint="eastAsia" w:ascii="仿宋_GB2312" w:hAnsi="仿宋" w:eastAsia="仿宋_GB2312" w:cs="仿宋"/>
          <w:kern w:val="0"/>
          <w:sz w:val="32"/>
          <w:szCs w:val="32"/>
          <w:highlight w:val="none"/>
          <w:shd w:val="clear" w:color="auto" w:fill="FFFFFF"/>
          <w:lang w:val="en-US" w:eastAsia="zh-CN"/>
        </w:rPr>
        <w:t>2026</w:t>
      </w:r>
      <w:r>
        <w:rPr>
          <w:rFonts w:hint="eastAsia" w:ascii="仿宋_GB2312" w:hAnsi="仿宋" w:eastAsia="仿宋_GB2312" w:cs="仿宋"/>
          <w:kern w:val="0"/>
          <w:sz w:val="32"/>
          <w:szCs w:val="32"/>
          <w:highlight w:val="none"/>
          <w:shd w:val="clear" w:color="auto" w:fill="FFFFFF"/>
        </w:rPr>
        <w:t>年</w:t>
      </w:r>
      <w:r>
        <w:rPr>
          <w:rFonts w:hint="eastAsia" w:ascii="仿宋_GB2312" w:hAnsi="仿宋" w:eastAsia="仿宋_GB2312" w:cs="仿宋"/>
          <w:kern w:val="0"/>
          <w:sz w:val="32"/>
          <w:szCs w:val="32"/>
          <w:highlight w:val="none"/>
          <w:shd w:val="clear" w:color="auto" w:fill="FFFFFF"/>
          <w:lang w:val="en-US" w:eastAsia="zh-CN"/>
        </w:rPr>
        <w:t>10</w:t>
      </w:r>
      <w:r>
        <w:rPr>
          <w:rFonts w:hint="eastAsia" w:ascii="仿宋_GB2312" w:hAnsi="仿宋" w:eastAsia="仿宋_GB2312" w:cs="仿宋"/>
          <w:kern w:val="0"/>
          <w:sz w:val="32"/>
          <w:szCs w:val="32"/>
          <w:highlight w:val="none"/>
          <w:shd w:val="clear" w:color="auto" w:fill="FFFFFF"/>
        </w:rPr>
        <w:t>月</w:t>
      </w:r>
      <w:r>
        <w:rPr>
          <w:rFonts w:hint="eastAsia" w:ascii="仿宋_GB2312" w:hAnsi="仿宋" w:eastAsia="仿宋_GB2312" w:cs="仿宋"/>
          <w:kern w:val="0"/>
          <w:sz w:val="32"/>
          <w:szCs w:val="32"/>
          <w:highlight w:val="none"/>
          <w:shd w:val="clear" w:color="auto" w:fill="FFFFFF"/>
          <w:lang w:eastAsia="zh-CN"/>
        </w:rPr>
        <w:t>—</w:t>
      </w:r>
      <w:r>
        <w:rPr>
          <w:rFonts w:hint="eastAsia" w:ascii="仿宋_GB2312" w:hAnsi="仿宋" w:eastAsia="仿宋_GB2312" w:cs="仿宋"/>
          <w:kern w:val="0"/>
          <w:sz w:val="32"/>
          <w:szCs w:val="32"/>
          <w:highlight w:val="none"/>
          <w:shd w:val="clear" w:color="auto" w:fill="FFFFFF"/>
          <w:lang w:val="en-US" w:eastAsia="zh-CN"/>
        </w:rPr>
        <w:t>2027年10</w:t>
      </w:r>
      <w:r>
        <w:rPr>
          <w:rFonts w:hint="eastAsia" w:ascii="仿宋_GB2312" w:hAnsi="仿宋" w:eastAsia="仿宋_GB2312" w:cs="仿宋"/>
          <w:kern w:val="0"/>
          <w:sz w:val="32"/>
          <w:szCs w:val="32"/>
          <w:highlight w:val="none"/>
          <w:shd w:val="clear" w:color="auto" w:fill="FFFFFF"/>
        </w:rPr>
        <w:t>月</w:t>
      </w:r>
    </w:p>
    <w:p>
      <w:pPr>
        <w:keepNext w:val="0"/>
        <w:keepLines w:val="0"/>
        <w:pageBreakBefore w:val="0"/>
        <w:widowControl w:val="0"/>
        <w:tabs>
          <w:tab w:val="left" w:pos="1820"/>
        </w:tabs>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 w:eastAsia="仿宋_GB2312" w:cs="仿宋"/>
          <w:kern w:val="0"/>
          <w:sz w:val="32"/>
          <w:szCs w:val="32"/>
          <w:highlight w:val="none"/>
          <w:shd w:val="clear" w:color="auto" w:fill="FFFFFF"/>
        </w:rPr>
      </w:pPr>
      <w:r>
        <w:rPr>
          <w:rFonts w:hint="eastAsia" w:ascii="黑体" w:hAnsi="黑体" w:eastAsia="黑体" w:cs="黑体"/>
          <w:bCs/>
          <w:sz w:val="32"/>
          <w:szCs w:val="32"/>
        </w:rPr>
        <w:t>三、</w:t>
      </w:r>
      <w:bookmarkStart w:id="0" w:name="OLE_LINK2"/>
      <w:r>
        <w:rPr>
          <w:rFonts w:hint="eastAsia" w:ascii="黑体" w:hAnsi="黑体" w:eastAsia="黑体" w:cs="黑体"/>
          <w:bCs/>
          <w:sz w:val="32"/>
          <w:szCs w:val="32"/>
        </w:rPr>
        <w:t>项目内容及要求</w:t>
      </w:r>
      <w:bookmarkEnd w:id="0"/>
    </w:p>
    <w:p>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楷体_GB2312" w:hAnsi="仿宋" w:eastAsia="楷体_GB2312" w:cs="宋体"/>
          <w:bCs/>
          <w:color w:val="000000"/>
          <w:kern w:val="0"/>
          <w:sz w:val="32"/>
          <w:szCs w:val="32"/>
          <w:highlight w:val="none"/>
        </w:rPr>
      </w:pPr>
      <w:r>
        <w:rPr>
          <w:rFonts w:hint="eastAsia" w:ascii="楷体_GB2312" w:hAnsi="仿宋" w:eastAsia="楷体_GB2312" w:cs="宋体"/>
          <w:bCs/>
          <w:color w:val="000000"/>
          <w:kern w:val="0"/>
          <w:sz w:val="32"/>
          <w:szCs w:val="32"/>
          <w:highlight w:val="none"/>
        </w:rPr>
        <w:t>（一）项目内容</w:t>
      </w:r>
    </w:p>
    <w:p>
      <w:pPr>
        <w:keepNext w:val="0"/>
        <w:keepLines w:val="0"/>
        <w:pageBreakBefore w:val="0"/>
        <w:kinsoku/>
        <w:wordWrap/>
        <w:overflowPunct/>
        <w:topLinePunct w:val="0"/>
        <w:autoSpaceDE/>
        <w:autoSpaceDN/>
        <w:bidi w:val="0"/>
        <w:adjustRightInd/>
        <w:snapToGrid/>
        <w:spacing w:line="560" w:lineRule="exact"/>
        <w:ind w:firstLine="652" w:firstLineChars="200"/>
        <w:jc w:val="both"/>
        <w:textAlignment w:val="auto"/>
        <w:rPr>
          <w:rFonts w:hint="eastAsia" w:ascii="仿宋_GB2312" w:hAnsi="仿宋_GB2312" w:eastAsia="仿宋_GB2312" w:cs="仿宋_GB2312"/>
          <w:b w:val="0"/>
          <w:color w:val="auto"/>
          <w:spacing w:val="3"/>
          <w:kern w:val="2"/>
          <w:sz w:val="32"/>
          <w:szCs w:val="32"/>
          <w:u w:val="none"/>
          <w:lang w:val="en-US" w:eastAsia="zh-CN" w:bidi="ar-SA"/>
        </w:rPr>
      </w:pPr>
      <w:r>
        <w:rPr>
          <w:rFonts w:hint="eastAsia" w:ascii="仿宋_GB2312" w:hAnsi="仿宋_GB2312" w:eastAsia="仿宋_GB2312" w:cs="仿宋_GB2312"/>
          <w:b w:val="0"/>
          <w:color w:val="auto"/>
          <w:spacing w:val="3"/>
          <w:kern w:val="2"/>
          <w:sz w:val="32"/>
          <w:szCs w:val="32"/>
          <w:u w:val="none"/>
          <w:lang w:val="en-US" w:eastAsia="zh-CN" w:bidi="ar-SA"/>
        </w:rPr>
        <w:t>1.年度主视觉画面设计：结合龙华区文化、体育、旅游核心资源特色，贴合各类文体旅主题活动、公益宣传、场馆运营、文旅推广等不同应用场景，定制化设计12套专属主视觉，其中包含12张静态主视觉和12期动态主视觉。设计过程包含前期风格定位、素材甄选、创意构图、色彩适配、字体排版、细节精修等全流程工作，严格贴合龙华文体旅整体品牌视觉体系，兼顾美观性、专业性与传播性。</w:t>
      </w:r>
    </w:p>
    <w:p>
      <w:pPr>
        <w:keepNext w:val="0"/>
        <w:keepLines w:val="0"/>
        <w:pageBreakBefore w:val="0"/>
        <w:kinsoku/>
        <w:wordWrap/>
        <w:overflowPunct/>
        <w:topLinePunct w:val="0"/>
        <w:autoSpaceDE/>
        <w:autoSpaceDN/>
        <w:bidi w:val="0"/>
        <w:adjustRightInd/>
        <w:snapToGrid/>
        <w:spacing w:line="560" w:lineRule="exact"/>
        <w:ind w:firstLine="652" w:firstLineChars="200"/>
        <w:jc w:val="both"/>
        <w:textAlignment w:val="auto"/>
        <w:rPr>
          <w:rFonts w:hint="eastAsia" w:ascii="仿宋_GB2312" w:hAnsi="仿宋_GB2312" w:eastAsia="仿宋_GB2312" w:cs="仿宋_GB2312"/>
          <w:b w:val="0"/>
          <w:color w:val="auto"/>
          <w:spacing w:val="3"/>
          <w:kern w:val="2"/>
          <w:sz w:val="32"/>
          <w:szCs w:val="32"/>
          <w:u w:val="none"/>
          <w:lang w:val="en-US" w:eastAsia="zh-CN" w:bidi="ar-SA"/>
        </w:rPr>
      </w:pPr>
      <w:r>
        <w:rPr>
          <w:rFonts w:hint="eastAsia" w:ascii="仿宋_GB2312" w:hAnsi="仿宋_GB2312" w:eastAsia="仿宋_GB2312" w:cs="仿宋_GB2312"/>
          <w:b w:val="0"/>
          <w:color w:val="auto"/>
          <w:spacing w:val="3"/>
          <w:kern w:val="2"/>
          <w:sz w:val="32"/>
          <w:szCs w:val="32"/>
          <w:u w:val="none"/>
          <w:lang w:val="en-US" w:eastAsia="zh-CN" w:bidi="ar-SA"/>
        </w:rPr>
        <w:t>2.年度主视觉物料印刷：根据设计定稿及投放需求，完成12套主视觉物料的印刷制作，每期100张，共1200张。印刷材料及工艺需符合户外及室内场馆展示标准，色彩还原准确、画面清晰，确保成品质量满足实际投放要求。</w:t>
      </w:r>
    </w:p>
    <w:p>
      <w:pPr>
        <w:keepNext w:val="0"/>
        <w:keepLines w:val="0"/>
        <w:pageBreakBefore w:val="0"/>
        <w:kinsoku/>
        <w:wordWrap/>
        <w:overflowPunct/>
        <w:topLinePunct w:val="0"/>
        <w:autoSpaceDE/>
        <w:autoSpaceDN/>
        <w:bidi w:val="0"/>
        <w:adjustRightInd/>
        <w:snapToGrid/>
        <w:spacing w:line="560" w:lineRule="exact"/>
        <w:ind w:firstLine="652" w:firstLineChars="200"/>
        <w:jc w:val="both"/>
        <w:textAlignment w:val="auto"/>
        <w:rPr>
          <w:rFonts w:hint="eastAsia" w:ascii="仿宋_GB2312" w:hAnsi="仿宋_GB2312" w:eastAsia="仿宋_GB2312" w:cs="仿宋_GB2312"/>
          <w:b w:val="0"/>
          <w:color w:val="auto"/>
          <w:spacing w:val="3"/>
          <w:kern w:val="2"/>
          <w:sz w:val="32"/>
          <w:szCs w:val="32"/>
          <w:u w:val="none"/>
          <w:lang w:val="en-US" w:eastAsia="zh-CN" w:bidi="ar-SA"/>
        </w:rPr>
      </w:pPr>
      <w:r>
        <w:rPr>
          <w:rFonts w:hint="eastAsia" w:ascii="仿宋_GB2312" w:hAnsi="仿宋_GB2312" w:eastAsia="仿宋_GB2312" w:cs="仿宋_GB2312"/>
          <w:b w:val="0"/>
          <w:color w:val="auto"/>
          <w:spacing w:val="3"/>
          <w:kern w:val="2"/>
          <w:sz w:val="32"/>
          <w:szCs w:val="32"/>
          <w:u w:val="none"/>
          <w:lang w:val="en-US" w:eastAsia="zh-CN" w:bidi="ar-SA"/>
        </w:rPr>
        <w:t>3.主视觉物料配送与安装：将印刷完成的物料配送至龙华文体中心、九龙山体育公园、简上体育综合体、龙华图书馆等文体场所。</w:t>
      </w:r>
    </w:p>
    <w:p>
      <w:pPr>
        <w:keepNext w:val="0"/>
        <w:keepLines w:val="0"/>
        <w:pageBreakBefore w:val="0"/>
        <w:kinsoku/>
        <w:wordWrap/>
        <w:overflowPunct/>
        <w:topLinePunct w:val="0"/>
        <w:autoSpaceDE/>
        <w:autoSpaceDN/>
        <w:bidi w:val="0"/>
        <w:adjustRightInd/>
        <w:snapToGrid/>
        <w:spacing w:line="560" w:lineRule="exact"/>
        <w:ind w:firstLine="652" w:firstLineChars="200"/>
        <w:jc w:val="both"/>
        <w:textAlignment w:val="auto"/>
        <w:rPr>
          <w:rFonts w:hint="eastAsia" w:ascii="仿宋_GB2312" w:hAnsi="仿宋_GB2312" w:eastAsia="仿宋_GB2312" w:cs="仿宋_GB2312"/>
          <w:b w:val="0"/>
          <w:color w:val="auto"/>
          <w:spacing w:val="3"/>
          <w:kern w:val="2"/>
          <w:sz w:val="32"/>
          <w:szCs w:val="32"/>
          <w:u w:val="none"/>
          <w:lang w:val="en-US" w:eastAsia="zh-CN" w:bidi="ar-SA"/>
        </w:rPr>
      </w:pPr>
      <w:r>
        <w:rPr>
          <w:rFonts w:hint="eastAsia" w:ascii="仿宋_GB2312" w:hAnsi="仿宋_GB2312" w:eastAsia="仿宋_GB2312" w:cs="仿宋_GB2312"/>
          <w:b w:val="0"/>
          <w:color w:val="auto"/>
          <w:spacing w:val="3"/>
          <w:kern w:val="2"/>
          <w:sz w:val="32"/>
          <w:szCs w:val="32"/>
          <w:u w:val="none"/>
          <w:lang w:val="en-US" w:eastAsia="zh-CN" w:bidi="ar-SA"/>
        </w:rPr>
        <w:t>（二）服务要求</w:t>
      </w:r>
    </w:p>
    <w:p>
      <w:pPr>
        <w:keepNext w:val="0"/>
        <w:keepLines w:val="0"/>
        <w:pageBreakBefore w:val="0"/>
        <w:kinsoku/>
        <w:wordWrap/>
        <w:overflowPunct/>
        <w:topLinePunct w:val="0"/>
        <w:autoSpaceDE/>
        <w:autoSpaceDN/>
        <w:bidi w:val="0"/>
        <w:adjustRightInd/>
        <w:snapToGrid/>
        <w:spacing w:line="560" w:lineRule="exact"/>
        <w:ind w:firstLine="652" w:firstLineChars="200"/>
        <w:jc w:val="both"/>
        <w:textAlignment w:val="auto"/>
        <w:rPr>
          <w:rFonts w:hint="eastAsia" w:ascii="仿宋_GB2312" w:hAnsi="仿宋_GB2312" w:eastAsia="仿宋_GB2312" w:cs="仿宋_GB2312"/>
          <w:b w:val="0"/>
          <w:color w:val="auto"/>
          <w:spacing w:val="3"/>
          <w:kern w:val="2"/>
          <w:sz w:val="32"/>
          <w:szCs w:val="32"/>
          <w:u w:val="none"/>
          <w:lang w:val="en-US" w:eastAsia="zh-CN" w:bidi="ar-SA"/>
        </w:rPr>
      </w:pPr>
      <w:r>
        <w:rPr>
          <w:rFonts w:hint="eastAsia" w:ascii="仿宋_GB2312" w:hAnsi="仿宋_GB2312" w:eastAsia="仿宋_GB2312" w:cs="仿宋_GB2312"/>
          <w:b w:val="0"/>
          <w:color w:val="auto"/>
          <w:spacing w:val="3"/>
          <w:kern w:val="2"/>
          <w:sz w:val="32"/>
          <w:szCs w:val="32"/>
          <w:u w:val="none"/>
          <w:lang w:val="en-US" w:eastAsia="zh-CN" w:bidi="ar-SA"/>
        </w:rPr>
        <w:t>1.服务期内，项目负责人及核心成员应保持稳定；</w:t>
      </w:r>
    </w:p>
    <w:p>
      <w:pPr>
        <w:keepNext w:val="0"/>
        <w:keepLines w:val="0"/>
        <w:pageBreakBefore w:val="0"/>
        <w:kinsoku/>
        <w:wordWrap/>
        <w:overflowPunct/>
        <w:topLinePunct w:val="0"/>
        <w:autoSpaceDE/>
        <w:autoSpaceDN/>
        <w:bidi w:val="0"/>
        <w:adjustRightInd/>
        <w:snapToGrid/>
        <w:spacing w:line="560" w:lineRule="exact"/>
        <w:ind w:firstLine="652" w:firstLineChars="200"/>
        <w:jc w:val="both"/>
        <w:textAlignment w:val="auto"/>
        <w:rPr>
          <w:rFonts w:hint="eastAsia" w:ascii="仿宋_GB2312" w:hAnsi="仿宋_GB2312" w:eastAsia="仿宋_GB2312" w:cs="仿宋_GB2312"/>
          <w:b w:val="0"/>
          <w:color w:val="auto"/>
          <w:spacing w:val="3"/>
          <w:kern w:val="2"/>
          <w:sz w:val="32"/>
          <w:szCs w:val="32"/>
          <w:u w:val="none"/>
          <w:lang w:val="en-US" w:eastAsia="zh-CN" w:bidi="ar-SA"/>
        </w:rPr>
      </w:pPr>
      <w:r>
        <w:rPr>
          <w:rFonts w:hint="eastAsia" w:ascii="仿宋_GB2312" w:hAnsi="仿宋_GB2312" w:eastAsia="仿宋_GB2312" w:cs="仿宋_GB2312"/>
          <w:b w:val="0"/>
          <w:color w:val="auto"/>
          <w:spacing w:val="3"/>
          <w:kern w:val="2"/>
          <w:sz w:val="32"/>
          <w:szCs w:val="32"/>
          <w:u w:val="none"/>
          <w:lang w:val="en-US" w:eastAsia="zh-CN" w:bidi="ar-SA"/>
        </w:rPr>
        <w:t>2.团队须建立规范的项目推进机制，定期向采购方汇报设计进度、印刷进度及安装情况；</w:t>
      </w:r>
    </w:p>
    <w:p>
      <w:pPr>
        <w:keepNext w:val="0"/>
        <w:keepLines w:val="0"/>
        <w:pageBreakBefore w:val="0"/>
        <w:kinsoku/>
        <w:wordWrap/>
        <w:overflowPunct/>
        <w:topLinePunct w:val="0"/>
        <w:autoSpaceDE/>
        <w:autoSpaceDN/>
        <w:bidi w:val="0"/>
        <w:adjustRightInd/>
        <w:snapToGrid/>
        <w:spacing w:line="560" w:lineRule="exact"/>
        <w:ind w:firstLine="652" w:firstLineChars="200"/>
        <w:jc w:val="both"/>
        <w:textAlignment w:val="auto"/>
        <w:rPr>
          <w:rFonts w:hint="eastAsia" w:ascii="仿宋_GB2312" w:hAnsi="仿宋_GB2312" w:eastAsia="仿宋_GB2312" w:cs="仿宋_GB2312"/>
          <w:b w:val="0"/>
          <w:color w:val="auto"/>
          <w:spacing w:val="3"/>
          <w:kern w:val="2"/>
          <w:sz w:val="32"/>
          <w:szCs w:val="32"/>
          <w:u w:val="none"/>
          <w:lang w:val="en-US" w:eastAsia="zh-CN" w:bidi="ar-SA"/>
        </w:rPr>
      </w:pPr>
      <w:r>
        <w:rPr>
          <w:rFonts w:hint="eastAsia" w:ascii="仿宋_GB2312" w:hAnsi="仿宋_GB2312" w:eastAsia="仿宋_GB2312" w:cs="仿宋_GB2312"/>
          <w:b w:val="0"/>
          <w:color w:val="auto"/>
          <w:spacing w:val="3"/>
          <w:kern w:val="2"/>
          <w:sz w:val="32"/>
          <w:szCs w:val="32"/>
          <w:u w:val="none"/>
          <w:lang w:val="en-US" w:eastAsia="zh-CN" w:bidi="ar-SA"/>
        </w:rPr>
        <w:t>3.采购方提出设计修改或临时调整需求时，主创设计师须在1个工作日内响应并提交修改稿；</w:t>
      </w:r>
    </w:p>
    <w:p>
      <w:pPr>
        <w:keepNext w:val="0"/>
        <w:keepLines w:val="0"/>
        <w:pageBreakBefore w:val="0"/>
        <w:kinsoku/>
        <w:wordWrap/>
        <w:overflowPunct/>
        <w:topLinePunct w:val="0"/>
        <w:autoSpaceDE/>
        <w:autoSpaceDN/>
        <w:bidi w:val="0"/>
        <w:adjustRightInd/>
        <w:snapToGrid/>
        <w:spacing w:line="560" w:lineRule="exact"/>
        <w:ind w:firstLine="652" w:firstLineChars="200"/>
        <w:jc w:val="both"/>
        <w:textAlignment w:val="auto"/>
        <w:rPr>
          <w:rFonts w:hint="eastAsia"/>
          <w:lang w:val="en-US" w:eastAsia="zh-CN"/>
        </w:rPr>
      </w:pPr>
      <w:r>
        <w:rPr>
          <w:rFonts w:hint="eastAsia" w:ascii="仿宋_GB2312" w:hAnsi="仿宋_GB2312" w:eastAsia="仿宋_GB2312" w:cs="仿宋_GB2312"/>
          <w:b w:val="0"/>
          <w:color w:val="auto"/>
          <w:spacing w:val="3"/>
          <w:kern w:val="2"/>
          <w:sz w:val="32"/>
          <w:szCs w:val="32"/>
          <w:u w:val="none"/>
          <w:lang w:val="en-US" w:eastAsia="zh-CN" w:bidi="ar-SA"/>
        </w:rPr>
        <w:t>4.服务期内，团队须保持通讯畅通，遇紧急任务须在24小时内响应处理。</w:t>
      </w:r>
    </w:p>
    <w:p>
      <w:pPr>
        <w:tabs>
          <w:tab w:val="left" w:pos="1820"/>
        </w:tabs>
        <w:snapToGrid w:val="0"/>
        <w:spacing w:line="560" w:lineRule="exact"/>
        <w:ind w:firstLine="640" w:firstLineChars="200"/>
        <w:jc w:val="left"/>
        <w:rPr>
          <w:rFonts w:hint="eastAsia" w:ascii="黑体" w:hAnsi="黑体" w:eastAsia="黑体" w:cs="黑体"/>
          <w:bCs/>
          <w:sz w:val="32"/>
          <w:szCs w:val="32"/>
          <w:lang w:eastAsia="zh-CN"/>
        </w:rPr>
      </w:pPr>
      <w:r>
        <w:rPr>
          <w:rFonts w:hint="eastAsia" w:ascii="黑体" w:hAnsi="黑体" w:eastAsia="黑体" w:cs="黑体"/>
          <w:bCs/>
          <w:sz w:val="32"/>
          <w:szCs w:val="32"/>
          <w:lang w:eastAsia="zh-CN"/>
        </w:rPr>
        <w:t>四、报价限额</w:t>
      </w:r>
    </w:p>
    <w:p>
      <w:pPr>
        <w:spacing w:line="560" w:lineRule="exact"/>
        <w:ind w:firstLine="640" w:firstLineChars="200"/>
        <w:jc w:val="left"/>
        <w:rPr>
          <w:rFonts w:hint="eastAsia" w:ascii="黑体" w:hAnsi="黑体" w:eastAsia="黑体" w:cs="黑体"/>
          <w:bCs/>
          <w:sz w:val="32"/>
          <w:szCs w:val="32"/>
        </w:rPr>
      </w:pPr>
      <w:r>
        <w:rPr>
          <w:rFonts w:hint="eastAsia" w:ascii="仿宋_GB2312" w:hAnsi="仿宋_GB2312" w:eastAsia="仿宋_GB2312" w:cs="仿宋_GB2312"/>
          <w:sz w:val="32"/>
          <w:szCs w:val="36"/>
          <w:highlight w:val="none"/>
          <w:lang w:val="en-US" w:eastAsia="zh-CN"/>
        </w:rPr>
        <w:t>17.04万</w:t>
      </w:r>
      <w:r>
        <w:rPr>
          <w:rFonts w:hint="eastAsia" w:ascii="仿宋_GB2312" w:hAnsi="仿宋_GB2312" w:eastAsia="仿宋_GB2312" w:cs="仿宋_GB2312"/>
          <w:sz w:val="32"/>
          <w:szCs w:val="36"/>
          <w:lang w:eastAsia="zh-CN"/>
        </w:rPr>
        <w:t>，</w:t>
      </w:r>
      <w:r>
        <w:rPr>
          <w:rFonts w:hint="eastAsia" w:ascii="仿宋_GB2312" w:hAnsi="仿宋_GB2312" w:eastAsia="仿宋_GB2312" w:cs="仿宋_GB2312"/>
          <w:b/>
          <w:bCs/>
          <w:sz w:val="32"/>
          <w:szCs w:val="32"/>
          <w:lang w:eastAsia="zh-CN"/>
        </w:rPr>
        <w:t>项目报价表</w:t>
      </w:r>
      <w:r>
        <w:rPr>
          <w:rFonts w:hint="eastAsia" w:ascii="仿宋_GB2312" w:hAnsi="仿宋_GB2312" w:eastAsia="仿宋_GB2312" w:cs="仿宋_GB2312"/>
          <w:sz w:val="32"/>
          <w:szCs w:val="32"/>
        </w:rPr>
        <w:t>需</w:t>
      </w:r>
      <w:r>
        <w:rPr>
          <w:rFonts w:hint="eastAsia" w:ascii="仿宋_GB2312" w:hAnsi="仿宋_GB2312" w:eastAsia="仿宋_GB2312" w:cs="仿宋_GB2312"/>
          <w:sz w:val="32"/>
          <w:szCs w:val="32"/>
          <w:lang w:eastAsia="zh-CN"/>
        </w:rPr>
        <w:t>与下表</w:t>
      </w:r>
      <w:r>
        <w:rPr>
          <w:rFonts w:hint="eastAsia" w:ascii="仿宋_GB2312" w:hAnsi="仿宋_GB2312" w:eastAsia="仿宋_GB2312" w:cs="仿宋_GB2312"/>
          <w:sz w:val="32"/>
          <w:szCs w:val="32"/>
        </w:rPr>
        <w:t>保持一致</w:t>
      </w:r>
      <w:r>
        <w:rPr>
          <w:rFonts w:hint="eastAsia" w:ascii="仿宋_GB2312" w:hAnsi="仿宋_GB2312" w:eastAsia="仿宋_GB2312" w:cs="仿宋_GB2312"/>
          <w:sz w:val="32"/>
          <w:szCs w:val="32"/>
          <w:lang w:eastAsia="zh-CN"/>
        </w:rPr>
        <w:t>：</w:t>
      </w:r>
    </w:p>
    <w:tbl>
      <w:tblPr>
        <w:tblStyle w:val="13"/>
        <w:tblW w:w="5019" w:type="pct"/>
        <w:tblInd w:w="0" w:type="dxa"/>
        <w:tblLayout w:type="autofit"/>
        <w:tblCellMar>
          <w:top w:w="0" w:type="dxa"/>
          <w:left w:w="108" w:type="dxa"/>
          <w:bottom w:w="0" w:type="dxa"/>
          <w:right w:w="108" w:type="dxa"/>
        </w:tblCellMar>
      </w:tblPr>
      <w:tblGrid>
        <w:gridCol w:w="1730"/>
        <w:gridCol w:w="1731"/>
        <w:gridCol w:w="1032"/>
        <w:gridCol w:w="934"/>
        <w:gridCol w:w="3127"/>
      </w:tblGrid>
      <w:tr>
        <w:trPr>
          <w:trHeight w:val="602" w:hRule="atLeast"/>
        </w:trPr>
        <w:tc>
          <w:tcPr>
            <w:tcW w:w="101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黑体" w:hAnsi="黑体" w:eastAsia="黑体" w:cs="黑体"/>
                <w:b w:val="0"/>
                <w:bCs w:val="0"/>
                <w:color w:val="000000"/>
                <w:kern w:val="0"/>
                <w:sz w:val="24"/>
                <w:szCs w:val="24"/>
                <w:lang w:val="en-US" w:eastAsia="zh-CN"/>
              </w:rPr>
            </w:pPr>
            <w:r>
              <w:rPr>
                <w:rFonts w:hint="eastAsia" w:ascii="黑体" w:hAnsi="黑体" w:eastAsia="黑体" w:cs="黑体"/>
                <w:b w:val="0"/>
                <w:bCs w:val="0"/>
                <w:color w:val="000000"/>
                <w:kern w:val="0"/>
                <w:sz w:val="24"/>
                <w:szCs w:val="24"/>
                <w:lang w:val="en-US" w:eastAsia="zh-CN"/>
              </w:rPr>
              <w:t>项目</w:t>
            </w:r>
          </w:p>
        </w:tc>
        <w:tc>
          <w:tcPr>
            <w:tcW w:w="1012"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黑体" w:hAnsi="黑体" w:eastAsia="黑体" w:cs="黑体"/>
                <w:b w:val="0"/>
                <w:bCs w:val="0"/>
                <w:color w:val="000000"/>
                <w:kern w:val="0"/>
                <w:sz w:val="24"/>
                <w:szCs w:val="24"/>
                <w:lang w:eastAsia="zh-CN"/>
              </w:rPr>
            </w:pPr>
            <w:r>
              <w:rPr>
                <w:rFonts w:hint="eastAsia" w:ascii="黑体" w:hAnsi="黑体" w:eastAsia="黑体" w:cs="黑体"/>
                <w:b w:val="0"/>
                <w:bCs w:val="0"/>
                <w:color w:val="000000"/>
                <w:kern w:val="0"/>
                <w:sz w:val="24"/>
                <w:szCs w:val="24"/>
                <w:lang w:eastAsia="zh-CN"/>
              </w:rPr>
              <w:t>内容</w:t>
            </w: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黑体" w:hAnsi="黑体" w:eastAsia="黑体" w:cs="黑体"/>
                <w:b w:val="0"/>
                <w:bCs w:val="0"/>
                <w:color w:val="000000"/>
                <w:kern w:val="0"/>
                <w:sz w:val="24"/>
                <w:szCs w:val="24"/>
              </w:rPr>
            </w:pPr>
            <w:r>
              <w:rPr>
                <w:rFonts w:hint="eastAsia" w:ascii="黑体" w:hAnsi="黑体" w:eastAsia="黑体" w:cs="黑体"/>
                <w:b w:val="0"/>
                <w:bCs w:val="0"/>
                <w:color w:val="000000"/>
                <w:kern w:val="0"/>
                <w:sz w:val="24"/>
                <w:szCs w:val="24"/>
              </w:rPr>
              <w:t>单位</w:t>
            </w:r>
          </w:p>
        </w:tc>
        <w:tc>
          <w:tcPr>
            <w:tcW w:w="54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黑体" w:hAnsi="黑体" w:eastAsia="黑体" w:cs="黑体"/>
                <w:b w:val="0"/>
                <w:bCs w:val="0"/>
                <w:color w:val="000000"/>
                <w:kern w:val="0"/>
                <w:sz w:val="24"/>
                <w:szCs w:val="24"/>
              </w:rPr>
            </w:pPr>
            <w:r>
              <w:rPr>
                <w:rFonts w:hint="eastAsia" w:ascii="黑体" w:hAnsi="黑体" w:eastAsia="黑体" w:cs="黑体"/>
                <w:b w:val="0"/>
                <w:bCs w:val="0"/>
                <w:color w:val="000000"/>
                <w:kern w:val="0"/>
                <w:sz w:val="24"/>
                <w:szCs w:val="24"/>
              </w:rPr>
              <w:t>数量</w:t>
            </w:r>
          </w:p>
        </w:tc>
        <w:tc>
          <w:tcPr>
            <w:tcW w:w="182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黑体" w:hAnsi="黑体" w:eastAsia="黑体" w:cs="黑体"/>
                <w:b w:val="0"/>
                <w:bCs w:val="0"/>
                <w:color w:val="000000"/>
                <w:kern w:val="0"/>
                <w:sz w:val="24"/>
                <w:szCs w:val="24"/>
              </w:rPr>
            </w:pPr>
            <w:r>
              <w:rPr>
                <w:rFonts w:hint="eastAsia" w:ascii="黑体" w:hAnsi="黑体" w:eastAsia="黑体" w:cs="黑体"/>
                <w:b w:val="0"/>
                <w:bCs w:val="0"/>
                <w:color w:val="000000"/>
                <w:kern w:val="0"/>
                <w:sz w:val="24"/>
                <w:szCs w:val="24"/>
              </w:rPr>
              <w:t>备注</w:t>
            </w:r>
          </w:p>
        </w:tc>
      </w:tr>
      <w:tr>
        <w:tblPrEx>
          <w:tblCellMar>
            <w:top w:w="0" w:type="dxa"/>
            <w:left w:w="108" w:type="dxa"/>
            <w:bottom w:w="0" w:type="dxa"/>
            <w:right w:w="108" w:type="dxa"/>
          </w:tblCellMar>
        </w:tblPrEx>
        <w:trPr>
          <w:trHeight w:val="1384" w:hRule="atLeast"/>
        </w:trPr>
        <w:tc>
          <w:tcPr>
            <w:tcW w:w="1011" w:type="pct"/>
            <w:vMerge w:val="restart"/>
            <w:tcBorders>
              <w:top w:val="single" w:color="auto" w:sz="4" w:space="0"/>
              <w:left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eastAsia" w:ascii="方正仿宋_GB2312" w:hAnsi="方正仿宋_GB2312" w:eastAsia="方正仿宋_GB2312" w:cs="方正仿宋_GB2312"/>
                <w:color w:val="000000"/>
                <w:sz w:val="22"/>
                <w:lang w:eastAsia="zh-CN"/>
              </w:rPr>
            </w:pPr>
            <w:r>
              <w:rPr>
                <w:rFonts w:hint="eastAsia" w:ascii="方正仿宋_GB2312" w:hAnsi="方正仿宋_GB2312" w:eastAsia="方正仿宋_GB2312" w:cs="方正仿宋_GB2312"/>
                <w:color w:val="000000"/>
                <w:sz w:val="22"/>
                <w:lang w:val="en-US" w:eastAsia="zh-CN"/>
              </w:rPr>
              <w:t>年度主视觉画面设计</w:t>
            </w:r>
          </w:p>
        </w:tc>
        <w:tc>
          <w:tcPr>
            <w:tcW w:w="101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eastAsia" w:ascii="方正仿宋_GB2312" w:hAnsi="方正仿宋_GB2312" w:eastAsia="方正仿宋_GB2312" w:cs="方正仿宋_GB2312"/>
                <w:color w:val="000000"/>
                <w:kern w:val="0"/>
                <w:sz w:val="22"/>
              </w:rPr>
            </w:pPr>
            <w:r>
              <w:rPr>
                <w:rFonts w:hint="eastAsia" w:ascii="方正仿宋_GB2312" w:hAnsi="方正仿宋_GB2312" w:eastAsia="方正仿宋_GB2312" w:cs="方正仿宋_GB2312"/>
                <w:color w:val="000000"/>
                <w:sz w:val="22"/>
                <w:lang w:eastAsia="zh-CN"/>
              </w:rPr>
              <w:t>静态主视觉</w:t>
            </w:r>
            <w:r>
              <w:rPr>
                <w:rFonts w:hint="eastAsia" w:ascii="方正仿宋_GB2312" w:hAnsi="方正仿宋_GB2312" w:eastAsia="方正仿宋_GB2312" w:cs="方正仿宋_GB2312"/>
                <w:color w:val="000000"/>
                <w:sz w:val="22"/>
              </w:rPr>
              <w:t>设计</w:t>
            </w: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eastAsia" w:ascii="方正仿宋_GB2312" w:hAnsi="方正仿宋_GB2312" w:eastAsia="方正仿宋_GB2312" w:cs="方正仿宋_GB2312"/>
                <w:color w:val="000000"/>
                <w:kern w:val="0"/>
                <w:sz w:val="22"/>
              </w:rPr>
            </w:pPr>
            <w:r>
              <w:rPr>
                <w:rFonts w:hint="eastAsia" w:ascii="方正仿宋_GB2312" w:hAnsi="方正仿宋_GB2312" w:eastAsia="方正仿宋_GB2312" w:cs="方正仿宋_GB2312"/>
                <w:color w:val="000000"/>
                <w:sz w:val="22"/>
              </w:rPr>
              <w:t>张</w:t>
            </w:r>
          </w:p>
        </w:tc>
        <w:tc>
          <w:tcPr>
            <w:tcW w:w="54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default" w:ascii="方正仿宋_GB2312" w:hAnsi="方正仿宋_GB2312" w:eastAsia="方正仿宋_GB2312" w:cs="方正仿宋_GB2312"/>
                <w:color w:val="000000"/>
                <w:kern w:val="0"/>
                <w:sz w:val="22"/>
                <w:lang w:val="en-US" w:eastAsia="zh-CN"/>
              </w:rPr>
            </w:pPr>
            <w:r>
              <w:rPr>
                <w:rFonts w:hint="eastAsia" w:ascii="方正仿宋_GB2312" w:hAnsi="方正仿宋_GB2312" w:eastAsia="方正仿宋_GB2312" w:cs="方正仿宋_GB2312"/>
                <w:color w:val="000000"/>
                <w:kern w:val="0"/>
                <w:sz w:val="22"/>
                <w:lang w:val="en-US" w:eastAsia="zh-CN"/>
              </w:rPr>
              <w:t>12</w:t>
            </w:r>
          </w:p>
        </w:tc>
        <w:tc>
          <w:tcPr>
            <w:tcW w:w="18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textAlignment w:val="auto"/>
              <w:rPr>
                <w:rFonts w:hint="default" w:ascii="方正仿宋_GB2312" w:hAnsi="方正仿宋_GB2312" w:eastAsia="方正仿宋_GB2312" w:cs="方正仿宋_GB2312"/>
                <w:color w:val="000000"/>
                <w:kern w:val="0"/>
                <w:sz w:val="22"/>
                <w:lang w:val="en-US" w:eastAsia="zh-CN"/>
              </w:rPr>
            </w:pPr>
          </w:p>
        </w:tc>
      </w:tr>
      <w:tr>
        <w:tblPrEx>
          <w:tblCellMar>
            <w:top w:w="0" w:type="dxa"/>
            <w:left w:w="108" w:type="dxa"/>
            <w:bottom w:w="0" w:type="dxa"/>
            <w:right w:w="108" w:type="dxa"/>
          </w:tblCellMar>
        </w:tblPrEx>
        <w:trPr>
          <w:trHeight w:val="1191" w:hRule="atLeast"/>
        </w:trPr>
        <w:tc>
          <w:tcPr>
            <w:tcW w:w="1011" w:type="pct"/>
            <w:vMerge w:val="continue"/>
            <w:tcBorders>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eastAsia" w:ascii="方正仿宋_GB2312" w:hAnsi="方正仿宋_GB2312" w:eastAsia="方正仿宋_GB2312" w:cs="方正仿宋_GB2312"/>
                <w:color w:val="000000"/>
                <w:sz w:val="22"/>
                <w:lang w:eastAsia="zh-CN"/>
              </w:rPr>
            </w:pPr>
          </w:p>
        </w:tc>
        <w:tc>
          <w:tcPr>
            <w:tcW w:w="101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eastAsia" w:ascii="方正仿宋_GB2312" w:hAnsi="方正仿宋_GB2312" w:eastAsia="方正仿宋_GB2312" w:cs="方正仿宋_GB2312"/>
                <w:color w:val="000000"/>
                <w:kern w:val="0"/>
                <w:sz w:val="22"/>
                <w:lang w:eastAsia="zh-CN"/>
              </w:rPr>
            </w:pPr>
            <w:r>
              <w:rPr>
                <w:rFonts w:hint="eastAsia" w:ascii="方正仿宋_GB2312" w:hAnsi="方正仿宋_GB2312" w:eastAsia="方正仿宋_GB2312" w:cs="方正仿宋_GB2312"/>
                <w:color w:val="000000"/>
                <w:sz w:val="22"/>
                <w:lang w:eastAsia="zh-CN"/>
              </w:rPr>
              <w:t>动态主视觉设计</w:t>
            </w: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eastAsia" w:ascii="方正仿宋_GB2312" w:hAnsi="方正仿宋_GB2312" w:eastAsia="方正仿宋_GB2312" w:cs="方正仿宋_GB2312"/>
                <w:color w:val="000000"/>
                <w:kern w:val="0"/>
                <w:sz w:val="22"/>
                <w:lang w:eastAsia="zh-CN"/>
              </w:rPr>
            </w:pPr>
            <w:r>
              <w:rPr>
                <w:rFonts w:hint="eastAsia" w:ascii="方正仿宋_GB2312" w:hAnsi="方正仿宋_GB2312" w:eastAsia="方正仿宋_GB2312" w:cs="方正仿宋_GB2312"/>
                <w:color w:val="000000"/>
                <w:sz w:val="22"/>
                <w:lang w:eastAsia="zh-CN"/>
              </w:rPr>
              <w:t>期</w:t>
            </w:r>
          </w:p>
        </w:tc>
        <w:tc>
          <w:tcPr>
            <w:tcW w:w="54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default" w:ascii="方正仿宋_GB2312" w:hAnsi="方正仿宋_GB2312" w:eastAsia="方正仿宋_GB2312" w:cs="方正仿宋_GB2312"/>
                <w:color w:val="000000"/>
                <w:kern w:val="0"/>
                <w:sz w:val="22"/>
                <w:lang w:val="en-US" w:eastAsia="zh-CN"/>
              </w:rPr>
            </w:pPr>
            <w:r>
              <w:rPr>
                <w:rFonts w:hint="eastAsia" w:ascii="方正仿宋_GB2312" w:hAnsi="方正仿宋_GB2312" w:eastAsia="方正仿宋_GB2312" w:cs="方正仿宋_GB2312"/>
                <w:color w:val="000000"/>
                <w:kern w:val="0"/>
                <w:sz w:val="22"/>
                <w:lang w:val="en-US" w:eastAsia="zh-CN"/>
              </w:rPr>
              <w:t>12</w:t>
            </w:r>
          </w:p>
        </w:tc>
        <w:tc>
          <w:tcPr>
            <w:tcW w:w="18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textAlignment w:val="auto"/>
              <w:rPr>
                <w:rFonts w:hint="eastAsia" w:ascii="方正仿宋_GB2312" w:hAnsi="方正仿宋_GB2312" w:eastAsia="方正仿宋_GB2312" w:cs="方正仿宋_GB2312"/>
                <w:color w:val="000000"/>
                <w:kern w:val="0"/>
                <w:sz w:val="22"/>
                <w:lang w:val="en" w:eastAsia="zh-CN"/>
              </w:rPr>
            </w:pPr>
          </w:p>
        </w:tc>
      </w:tr>
      <w:tr>
        <w:tblPrEx>
          <w:tblCellMar>
            <w:top w:w="0" w:type="dxa"/>
            <w:left w:w="108" w:type="dxa"/>
            <w:bottom w:w="0" w:type="dxa"/>
            <w:right w:w="108" w:type="dxa"/>
          </w:tblCellMar>
        </w:tblPrEx>
        <w:trPr>
          <w:trHeight w:val="1305" w:hRule="atLeast"/>
        </w:trPr>
        <w:tc>
          <w:tcPr>
            <w:tcW w:w="101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eastAsia" w:ascii="方正仿宋_GB2312" w:hAnsi="方正仿宋_GB2312" w:eastAsia="方正仿宋_GB2312" w:cs="方正仿宋_GB2312"/>
                <w:b w:val="0"/>
                <w:bCs w:val="0"/>
                <w:color w:val="000000"/>
                <w:sz w:val="22"/>
                <w:lang w:eastAsia="zh-CN"/>
              </w:rPr>
            </w:pPr>
            <w:r>
              <w:rPr>
                <w:rFonts w:hint="eastAsia" w:ascii="方正仿宋_GB2312" w:hAnsi="方正仿宋_GB2312" w:eastAsia="方正仿宋_GB2312" w:cs="方正仿宋_GB2312"/>
                <w:b w:val="0"/>
                <w:bCs w:val="0"/>
                <w:color w:val="000000"/>
                <w:sz w:val="22"/>
                <w:lang w:val="en-US" w:eastAsia="zh-CN"/>
              </w:rPr>
              <w:t>年度主视觉物料印刷</w:t>
            </w:r>
          </w:p>
        </w:tc>
        <w:tc>
          <w:tcPr>
            <w:tcW w:w="101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eastAsia" w:ascii="方正仿宋_GB2312" w:hAnsi="方正仿宋_GB2312" w:eastAsia="方正仿宋_GB2312" w:cs="方正仿宋_GB2312"/>
                <w:b w:val="0"/>
                <w:bCs w:val="0"/>
                <w:color w:val="000000"/>
                <w:sz w:val="22"/>
                <w:lang w:eastAsia="zh-CN"/>
              </w:rPr>
            </w:pPr>
            <w:r>
              <w:rPr>
                <w:rFonts w:hint="eastAsia" w:ascii="方正仿宋_GB2312" w:hAnsi="方正仿宋_GB2312" w:eastAsia="方正仿宋_GB2312" w:cs="方正仿宋_GB2312"/>
                <w:b w:val="0"/>
                <w:bCs w:val="0"/>
                <w:color w:val="000000"/>
                <w:sz w:val="22"/>
                <w:lang w:eastAsia="zh-CN"/>
              </w:rPr>
              <w:t>物料印刷</w:t>
            </w: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eastAsia" w:ascii="方正仿宋_GB2312" w:hAnsi="方正仿宋_GB2312" w:eastAsia="方正仿宋_GB2312" w:cs="方正仿宋_GB2312"/>
                <w:b w:val="0"/>
                <w:bCs w:val="0"/>
                <w:color w:val="000000"/>
                <w:sz w:val="22"/>
                <w:lang w:eastAsia="zh-CN"/>
              </w:rPr>
            </w:pPr>
            <w:r>
              <w:rPr>
                <w:rFonts w:hint="eastAsia" w:ascii="方正仿宋_GB2312" w:hAnsi="方正仿宋_GB2312" w:eastAsia="方正仿宋_GB2312" w:cs="方正仿宋_GB2312"/>
                <w:b w:val="0"/>
                <w:bCs w:val="0"/>
                <w:color w:val="000000"/>
                <w:sz w:val="22"/>
                <w:lang w:eastAsia="zh-CN"/>
              </w:rPr>
              <w:t>张</w:t>
            </w:r>
          </w:p>
        </w:tc>
        <w:tc>
          <w:tcPr>
            <w:tcW w:w="54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default" w:ascii="方正仿宋_GB2312" w:hAnsi="方正仿宋_GB2312" w:eastAsia="方正仿宋_GB2312" w:cs="方正仿宋_GB2312"/>
                <w:b w:val="0"/>
                <w:bCs w:val="0"/>
                <w:color w:val="000000"/>
                <w:kern w:val="0"/>
                <w:sz w:val="22"/>
                <w:lang w:val="en-US" w:eastAsia="zh-CN"/>
              </w:rPr>
            </w:pPr>
            <w:r>
              <w:rPr>
                <w:rFonts w:hint="eastAsia" w:ascii="方正仿宋_GB2312" w:hAnsi="方正仿宋_GB2312" w:eastAsia="方正仿宋_GB2312" w:cs="方正仿宋_GB2312"/>
                <w:b w:val="0"/>
                <w:bCs w:val="0"/>
                <w:color w:val="000000"/>
                <w:kern w:val="0"/>
                <w:sz w:val="22"/>
                <w:lang w:val="en-US" w:eastAsia="zh-CN"/>
              </w:rPr>
              <w:t>1200</w:t>
            </w:r>
          </w:p>
        </w:tc>
        <w:tc>
          <w:tcPr>
            <w:tcW w:w="18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textAlignment w:val="auto"/>
              <w:rPr>
                <w:rFonts w:hint="default" w:ascii="方正仿宋_GB2312" w:hAnsi="方正仿宋_GB2312" w:eastAsia="方正仿宋_GB2312" w:cs="方正仿宋_GB2312"/>
                <w:b w:val="0"/>
                <w:bCs w:val="0"/>
                <w:color w:val="000000"/>
                <w:kern w:val="0"/>
                <w:sz w:val="22"/>
                <w:lang w:val="en-US" w:eastAsia="zh-CN"/>
              </w:rPr>
            </w:pPr>
            <w:r>
              <w:rPr>
                <w:rFonts w:hint="eastAsia" w:ascii="方正仿宋_GB2312" w:hAnsi="方正仿宋_GB2312" w:eastAsia="方正仿宋_GB2312" w:cs="方正仿宋_GB2312"/>
                <w:b w:val="0"/>
                <w:bCs w:val="0"/>
                <w:color w:val="000000"/>
                <w:kern w:val="0"/>
                <w:sz w:val="22"/>
                <w:lang w:val="en" w:eastAsia="zh-CN"/>
              </w:rPr>
              <w:t>每期</w:t>
            </w:r>
            <w:r>
              <w:rPr>
                <w:rFonts w:hint="eastAsia" w:ascii="方正仿宋_GB2312" w:hAnsi="方正仿宋_GB2312" w:eastAsia="方正仿宋_GB2312" w:cs="方正仿宋_GB2312"/>
                <w:b w:val="0"/>
                <w:bCs w:val="0"/>
                <w:color w:val="000000"/>
                <w:kern w:val="0"/>
                <w:sz w:val="22"/>
                <w:lang w:val="en-US" w:eastAsia="zh-CN"/>
              </w:rPr>
              <w:t>100张，12期共1200张。</w:t>
            </w:r>
          </w:p>
        </w:tc>
      </w:tr>
      <w:tr>
        <w:tblPrEx>
          <w:tblCellMar>
            <w:top w:w="0" w:type="dxa"/>
            <w:left w:w="108" w:type="dxa"/>
            <w:bottom w:w="0" w:type="dxa"/>
            <w:right w:w="108" w:type="dxa"/>
          </w:tblCellMar>
        </w:tblPrEx>
        <w:trPr>
          <w:trHeight w:val="1843" w:hRule="atLeast"/>
        </w:trPr>
        <w:tc>
          <w:tcPr>
            <w:tcW w:w="101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eastAsia" w:ascii="方正仿宋_GB2312" w:hAnsi="方正仿宋_GB2312" w:eastAsia="方正仿宋_GB2312" w:cs="方正仿宋_GB2312"/>
                <w:color w:val="000000"/>
                <w:sz w:val="22"/>
                <w:lang w:eastAsia="zh-CN"/>
              </w:rPr>
            </w:pPr>
            <w:r>
              <w:rPr>
                <w:rFonts w:hint="eastAsia" w:ascii="方正仿宋_GB2312" w:hAnsi="方正仿宋_GB2312" w:eastAsia="方正仿宋_GB2312" w:cs="方正仿宋_GB2312"/>
                <w:color w:val="000000"/>
                <w:sz w:val="22"/>
                <w:lang w:eastAsia="zh-CN"/>
              </w:rPr>
              <w:t>主视觉物料配送与安装</w:t>
            </w:r>
          </w:p>
        </w:tc>
        <w:tc>
          <w:tcPr>
            <w:tcW w:w="101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eastAsia" w:ascii="方正仿宋_GB2312" w:hAnsi="方正仿宋_GB2312" w:eastAsia="方正仿宋_GB2312" w:cs="方正仿宋_GB2312"/>
                <w:color w:val="000000"/>
                <w:sz w:val="22"/>
                <w:lang w:eastAsia="zh-CN"/>
              </w:rPr>
            </w:pPr>
            <w:r>
              <w:rPr>
                <w:rFonts w:hint="eastAsia" w:ascii="方正仿宋_GB2312" w:hAnsi="方正仿宋_GB2312" w:eastAsia="方正仿宋_GB2312" w:cs="方正仿宋_GB2312"/>
                <w:color w:val="000000"/>
                <w:sz w:val="22"/>
                <w:lang w:eastAsia="zh-CN"/>
              </w:rPr>
              <w:t>物料配送</w:t>
            </w: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eastAsia" w:ascii="方正仿宋_GB2312" w:hAnsi="方正仿宋_GB2312" w:eastAsia="方正仿宋_GB2312" w:cs="方正仿宋_GB2312"/>
                <w:color w:val="000000"/>
                <w:sz w:val="22"/>
                <w:lang w:eastAsia="zh-CN"/>
              </w:rPr>
            </w:pPr>
            <w:r>
              <w:rPr>
                <w:rFonts w:hint="eastAsia" w:ascii="方正仿宋_GB2312" w:hAnsi="方正仿宋_GB2312" w:eastAsia="方正仿宋_GB2312" w:cs="方正仿宋_GB2312"/>
                <w:color w:val="000000"/>
                <w:sz w:val="22"/>
                <w:lang w:eastAsia="zh-CN"/>
              </w:rPr>
              <w:t>次</w:t>
            </w:r>
          </w:p>
        </w:tc>
        <w:tc>
          <w:tcPr>
            <w:tcW w:w="54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default" w:ascii="方正仿宋_GB2312" w:hAnsi="方正仿宋_GB2312" w:eastAsia="方正仿宋_GB2312" w:cs="方正仿宋_GB2312"/>
                <w:color w:val="000000"/>
                <w:kern w:val="0"/>
                <w:sz w:val="22"/>
                <w:lang w:val="en-US" w:eastAsia="zh-CN"/>
              </w:rPr>
            </w:pPr>
            <w:r>
              <w:rPr>
                <w:rFonts w:hint="eastAsia" w:ascii="方正仿宋_GB2312" w:hAnsi="方正仿宋_GB2312" w:eastAsia="方正仿宋_GB2312" w:cs="方正仿宋_GB2312"/>
                <w:color w:val="000000"/>
                <w:kern w:val="0"/>
                <w:sz w:val="22"/>
                <w:lang w:val="en-US" w:eastAsia="zh-CN"/>
              </w:rPr>
              <w:t>12</w:t>
            </w:r>
          </w:p>
        </w:tc>
        <w:tc>
          <w:tcPr>
            <w:tcW w:w="18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textAlignment w:val="auto"/>
              <w:rPr>
                <w:rFonts w:hint="eastAsia" w:ascii="方正仿宋_GB2312" w:hAnsi="方正仿宋_GB2312" w:eastAsia="方正仿宋_GB2312" w:cs="方正仿宋_GB2312"/>
                <w:color w:val="000000"/>
                <w:kern w:val="0"/>
                <w:sz w:val="22"/>
                <w:lang w:val="en" w:eastAsia="zh-CN"/>
              </w:rPr>
            </w:pPr>
            <w:r>
              <w:rPr>
                <w:rFonts w:hint="eastAsia" w:ascii="方正仿宋_GB2312" w:hAnsi="方正仿宋_GB2312" w:eastAsia="方正仿宋_GB2312" w:cs="方正仿宋_GB2312"/>
                <w:color w:val="000000"/>
                <w:kern w:val="0"/>
                <w:sz w:val="22"/>
                <w:lang w:val="en-US" w:eastAsia="zh-CN"/>
              </w:rPr>
              <w:t>龙华文体中心、九龙山体育公园、简上体育综合体、龙华图书馆、大浪体育中心等文体场所。</w:t>
            </w:r>
          </w:p>
        </w:tc>
      </w:tr>
      <w:tr>
        <w:tblPrEx>
          <w:tblCellMar>
            <w:top w:w="0" w:type="dxa"/>
            <w:left w:w="108" w:type="dxa"/>
            <w:bottom w:w="0" w:type="dxa"/>
            <w:right w:w="108" w:type="dxa"/>
          </w:tblCellMar>
        </w:tblPrEx>
        <w:trPr>
          <w:trHeight w:val="529" w:hRule="atLeast"/>
        </w:trPr>
        <w:tc>
          <w:tcPr>
            <w:tcW w:w="5000" w:type="pct"/>
            <w:gridSpan w:val="5"/>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textAlignment w:val="auto"/>
              <w:rPr>
                <w:rFonts w:hint="eastAsia" w:ascii="方正仿宋_GB2312" w:hAnsi="方正仿宋_GB2312" w:eastAsia="方正仿宋_GB2312" w:cs="方正仿宋_GB2312"/>
                <w:color w:val="000000"/>
                <w:kern w:val="0"/>
                <w:sz w:val="22"/>
                <w:lang w:val="en-US" w:eastAsia="zh-CN"/>
              </w:rPr>
            </w:pPr>
            <w:r>
              <w:rPr>
                <w:rFonts w:hint="eastAsia" w:ascii="宋体" w:hAnsi="宋体" w:eastAsia="宋体" w:cs="宋体"/>
                <w:i w:val="0"/>
                <w:iCs w:val="0"/>
                <w:color w:val="000000"/>
                <w:kern w:val="0"/>
                <w:sz w:val="22"/>
                <w:szCs w:val="22"/>
                <w:u w:val="none"/>
                <w:lang w:val="en-US" w:eastAsia="zh-CN" w:bidi="ar"/>
              </w:rPr>
              <w:t>投标价格（万元）：______ （以万元为单位，最多保留两位小数）</w:t>
            </w:r>
          </w:p>
        </w:tc>
      </w:tr>
    </w:tbl>
    <w:p>
      <w:pPr>
        <w:spacing w:line="560" w:lineRule="exact"/>
        <w:ind w:firstLine="640" w:firstLineChars="200"/>
        <w:jc w:val="left"/>
        <w:rPr>
          <w:rFonts w:ascii="仿宋_GB2312" w:hAnsi="仿宋_GB2312" w:eastAsia="仿宋_GB2312" w:cs="仿宋_GB2312"/>
          <w:sz w:val="32"/>
          <w:szCs w:val="32"/>
        </w:rPr>
      </w:pPr>
      <w:r>
        <w:rPr>
          <w:rFonts w:hint="eastAsia" w:ascii="黑体" w:hAnsi="黑体" w:eastAsia="黑体" w:cs="黑体"/>
          <w:bCs/>
          <w:sz w:val="32"/>
          <w:szCs w:val="32"/>
        </w:rPr>
        <w:t>五、</w:t>
      </w:r>
      <w:r>
        <w:rPr>
          <w:rFonts w:hint="eastAsia" w:ascii="黑体" w:hAnsi="黑体" w:eastAsia="黑体" w:cs="黑体"/>
          <w:sz w:val="32"/>
          <w:szCs w:val="32"/>
        </w:rPr>
        <w:t>供应商的资质要求</w:t>
      </w:r>
    </w:p>
    <w:p>
      <w:pPr>
        <w:pStyle w:val="16"/>
        <w:spacing w:line="560" w:lineRule="exact"/>
        <w:ind w:firstLine="640"/>
        <w:jc w:val="left"/>
        <w:rPr>
          <w:rFonts w:ascii="仿宋_GB2312" w:hAnsi="仿宋" w:eastAsia="仿宋_GB2312" w:cs="仿宋"/>
          <w:sz w:val="32"/>
          <w:szCs w:val="32"/>
          <w:highlight w:val="yellow"/>
        </w:rPr>
      </w:pPr>
      <w:r>
        <w:rPr>
          <w:rFonts w:hint="eastAsia" w:ascii="仿宋_GB2312" w:hAnsi="仿宋" w:eastAsia="仿宋_GB2312" w:cs="仿宋"/>
          <w:sz w:val="32"/>
          <w:szCs w:val="32"/>
        </w:rPr>
        <w:t>（一）在中国境内注册的独立法人或其他组织（提供营业执照、事业法人证书、社会团体法人登记证书等扫描件）</w:t>
      </w:r>
      <w:r>
        <w:rPr>
          <w:rFonts w:hint="eastAsia" w:ascii="仿宋_GB2312" w:hAnsi="仿宋" w:cs="仿宋"/>
          <w:sz w:val="32"/>
          <w:szCs w:val="32"/>
          <w:lang w:eastAsia="zh-CN"/>
        </w:rPr>
        <w:t>，</w:t>
      </w:r>
      <w:r>
        <w:rPr>
          <w:rFonts w:hint="eastAsia" w:ascii="仿宋_GB2312" w:hAnsi="仿宋" w:eastAsia="仿宋_GB2312" w:cs="仿宋"/>
          <w:color w:val="auto"/>
          <w:sz w:val="32"/>
          <w:szCs w:val="32"/>
          <w:highlight w:val="none"/>
        </w:rPr>
        <w:t>总公司或者分公司只允许一家投标，不允许同时参与本项目投标，分公司参与投标的，须提供总公司或具有独立法人的上一级公司出具的愿为其参与本项目投标的行为以及履约等行为承担民事责任的加盖总公司公章的授权函，以及提供总、分公司的营业执照扫描件；</w:t>
      </w:r>
    </w:p>
    <w:p>
      <w:pPr>
        <w:pStyle w:val="16"/>
        <w:spacing w:line="560" w:lineRule="exact"/>
        <w:ind w:firstLine="640"/>
        <w:jc w:val="left"/>
        <w:rPr>
          <w:rFonts w:ascii="仿宋_GB2312" w:hAnsi="仿宋" w:eastAsia="仿宋_GB2312" w:cs="仿宋"/>
          <w:sz w:val="32"/>
          <w:szCs w:val="32"/>
        </w:rPr>
      </w:pPr>
      <w:r>
        <w:rPr>
          <w:rFonts w:hint="eastAsia" w:ascii="仿宋_GB2312" w:hAnsi="仿宋" w:eastAsia="仿宋_GB2312" w:cs="仿宋"/>
          <w:sz w:val="32"/>
          <w:szCs w:val="32"/>
        </w:rPr>
        <w:t>（二）参与本项目投标近三年内（供应商成立不足三年的可从成立之日起算），在经营活动中没有重大违法记录</w:t>
      </w:r>
      <w:r>
        <w:rPr>
          <w:rFonts w:hint="eastAsia" w:ascii="仿宋_GB2312" w:hAnsi="仿宋" w:cs="仿宋"/>
          <w:sz w:val="32"/>
          <w:szCs w:val="32"/>
          <w:lang w:eastAsia="zh-CN"/>
        </w:rPr>
        <w:t>以及</w:t>
      </w:r>
      <w:r>
        <w:rPr>
          <w:rFonts w:hint="eastAsia" w:ascii="仿宋_GB2312" w:hAnsi="仿宋" w:eastAsia="仿宋_GB2312" w:cs="仿宋"/>
          <w:sz w:val="32"/>
          <w:szCs w:val="32"/>
        </w:rPr>
        <w:t>不存在被有关部门禁止参与政府采购活动且在有效期内的情况</w:t>
      </w:r>
      <w:r>
        <w:rPr>
          <w:rFonts w:hint="eastAsia" w:ascii="仿宋_GB2312" w:hAnsi="仿宋" w:cs="仿宋"/>
          <w:sz w:val="32"/>
          <w:szCs w:val="32"/>
          <w:lang w:eastAsia="zh-CN"/>
        </w:rPr>
        <w:t>；</w:t>
      </w:r>
    </w:p>
    <w:p>
      <w:pPr>
        <w:pStyle w:val="16"/>
        <w:spacing w:line="560" w:lineRule="exact"/>
        <w:ind w:firstLine="640"/>
        <w:jc w:val="left"/>
        <w:rPr>
          <w:rFonts w:hint="eastAsia" w:ascii="仿宋_GB2312" w:hAnsi="仿宋" w:eastAsia="仿宋_GB2312" w:cs="仿宋"/>
          <w:sz w:val="32"/>
          <w:szCs w:val="32"/>
          <w:highlight w:val="none"/>
          <w:lang w:eastAsia="zh-CN"/>
        </w:rPr>
      </w:pPr>
      <w:r>
        <w:rPr>
          <w:rFonts w:hint="eastAsia" w:ascii="仿宋_GB2312" w:hAnsi="仿宋" w:eastAsia="仿宋_GB2312" w:cs="仿宋"/>
          <w:sz w:val="32"/>
          <w:szCs w:val="32"/>
          <w:highlight w:val="none"/>
        </w:rPr>
        <w:t>（三）</w:t>
      </w:r>
      <w:r>
        <w:rPr>
          <w:rFonts w:hint="eastAsia" w:ascii="仿宋_GB2312" w:hAnsi="仿宋" w:eastAsia="仿宋_GB2312" w:cs="仿宋"/>
          <w:bCs/>
          <w:kern w:val="2"/>
          <w:sz w:val="32"/>
          <w:szCs w:val="32"/>
          <w:highlight w:val="none"/>
          <w:lang w:val="en-US" w:eastAsia="zh-CN" w:bidi="ar-SA"/>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w:t>
      </w:r>
      <w:r>
        <w:rPr>
          <w:rFonts w:hint="eastAsia" w:ascii="仿宋_GB2312" w:hAnsi="仿宋" w:eastAsia="仿宋_GB2312" w:cs="仿宋"/>
          <w:sz w:val="32"/>
          <w:szCs w:val="32"/>
          <w:highlight w:val="none"/>
        </w:rPr>
        <w:t>，不得同时参加本项目的采购活动</w:t>
      </w:r>
      <w:r>
        <w:rPr>
          <w:rFonts w:hint="eastAsia" w:ascii="仿宋_GB2312" w:hAnsi="仿宋" w:cs="仿宋"/>
          <w:sz w:val="32"/>
          <w:szCs w:val="32"/>
          <w:highlight w:val="none"/>
          <w:lang w:eastAsia="zh-CN"/>
        </w:rPr>
        <w:t>。</w:t>
      </w:r>
      <w:bookmarkStart w:id="2" w:name="_GoBack"/>
      <w:bookmarkEnd w:id="2"/>
    </w:p>
    <w:p>
      <w:pPr>
        <w:spacing w:line="560" w:lineRule="exact"/>
        <w:ind w:firstLine="640" w:firstLineChars="200"/>
        <w:jc w:val="left"/>
        <w:rPr>
          <w:rFonts w:ascii="黑体" w:hAnsi="黑体" w:eastAsia="黑体" w:cs="黑体"/>
          <w:sz w:val="32"/>
          <w:szCs w:val="32"/>
          <w:highlight w:val="none"/>
        </w:rPr>
      </w:pPr>
      <w:r>
        <w:rPr>
          <w:rFonts w:hint="eastAsia" w:ascii="黑体" w:hAnsi="黑体" w:eastAsia="黑体" w:cs="黑体"/>
          <w:sz w:val="32"/>
          <w:szCs w:val="32"/>
        </w:rPr>
        <w:t>六</w:t>
      </w:r>
      <w:r>
        <w:rPr>
          <w:rFonts w:hint="eastAsia" w:ascii="黑体" w:hAnsi="黑体" w:eastAsia="黑体" w:cs="黑体"/>
          <w:sz w:val="32"/>
          <w:szCs w:val="32"/>
          <w:highlight w:val="none"/>
        </w:rPr>
        <w:t>、选定供应商方法</w:t>
      </w:r>
    </w:p>
    <w:p>
      <w:pPr>
        <w:spacing w:line="560" w:lineRule="exact"/>
        <w:ind w:firstLine="640" w:firstLineChars="200"/>
        <w:jc w:val="left"/>
        <w:rPr>
          <w:rFonts w:hint="eastAsia" w:ascii="仿宋_GB2312" w:hAnsi="仿宋" w:eastAsia="仿宋_GB2312"/>
          <w:sz w:val="32"/>
          <w:highlight w:val="none"/>
          <w:lang w:val="en-US" w:eastAsia="zh-CN"/>
        </w:rPr>
      </w:pPr>
      <w:r>
        <w:rPr>
          <w:rFonts w:hint="eastAsia" w:ascii="仿宋_GB2312" w:hAnsi="仿宋" w:eastAsia="仿宋_GB2312"/>
          <w:sz w:val="32"/>
          <w:highlight w:val="none"/>
        </w:rPr>
        <w:t>综合评分法</w:t>
      </w:r>
    </w:p>
    <w:p>
      <w:pPr>
        <w:keepNext w:val="0"/>
        <w:keepLines w:val="0"/>
        <w:pageBreakBefore w:val="0"/>
        <w:widowControl w:val="0"/>
        <w:snapToGrid/>
        <w:spacing w:line="560" w:lineRule="exact"/>
        <w:ind w:firstLine="640" w:firstLineChars="200"/>
        <w:jc w:val="left"/>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rPr>
        <w:t>七、评分要求</w:t>
      </w:r>
      <w:r>
        <w:rPr>
          <w:rFonts w:hint="eastAsia" w:ascii="黑体" w:hAnsi="黑体" w:eastAsia="黑体" w:cs="黑体"/>
          <w:sz w:val="32"/>
          <w:szCs w:val="32"/>
          <w:highlight w:val="none"/>
          <w:lang w:eastAsia="zh-CN"/>
        </w:rPr>
        <w:t>（采取综合评分法适用）</w:t>
      </w:r>
    </w:p>
    <w:p>
      <w:pPr>
        <w:pStyle w:val="18"/>
        <w:spacing w:line="560" w:lineRule="exact"/>
        <w:ind w:firstLine="640" w:firstLineChars="200"/>
        <w:rPr>
          <w:rFonts w:ascii="楷体_GB2312" w:hAnsi="楷体_GB2312" w:eastAsia="楷体_GB2312" w:cs="楷体_GB2312"/>
          <w:b w:val="0"/>
          <w:bCs/>
          <w:color w:val="000000"/>
          <w:sz w:val="32"/>
          <w:szCs w:val="32"/>
        </w:rPr>
      </w:pPr>
      <w:r>
        <w:rPr>
          <w:rFonts w:hint="eastAsia" w:ascii="楷体_GB2312" w:hAnsi="楷体_GB2312" w:eastAsia="楷体_GB2312" w:cs="楷体_GB2312"/>
          <w:b w:val="0"/>
          <w:bCs/>
          <w:color w:val="000000"/>
          <w:sz w:val="32"/>
          <w:szCs w:val="32"/>
        </w:rPr>
        <w:t>（一）评分规则</w:t>
      </w:r>
    </w:p>
    <w:p>
      <w:pPr>
        <w:spacing w:line="560" w:lineRule="exact"/>
        <w:ind w:firstLine="640" w:firstLineChars="200"/>
        <w:jc w:val="left"/>
        <w:rPr>
          <w:rFonts w:ascii="楷体_GB2312" w:hAnsi="楷体_GB2312" w:eastAsia="楷体_GB2312" w:cs="楷体_GB2312"/>
          <w:bCs/>
          <w:color w:val="000000"/>
          <w:sz w:val="32"/>
          <w:szCs w:val="32"/>
        </w:rPr>
      </w:pPr>
      <w:r>
        <w:rPr>
          <w:rFonts w:hint="eastAsia" w:ascii="仿宋_GB2312" w:eastAsia="仿宋_GB2312"/>
          <w:color w:val="000000"/>
          <w:sz w:val="32"/>
          <w:szCs w:val="32"/>
        </w:rPr>
        <w:t>采取综合评分标准，平均分最高的投标人为本项目中标人。</w:t>
      </w:r>
    </w:p>
    <w:p>
      <w:pPr>
        <w:pStyle w:val="18"/>
        <w:spacing w:line="560" w:lineRule="exact"/>
        <w:ind w:firstLine="640" w:firstLineChars="200"/>
        <w:rPr>
          <w:rFonts w:hint="eastAsia" w:ascii="楷体_GB2312" w:hAnsi="楷体_GB2312" w:eastAsia="楷体_GB2312" w:cs="楷体_GB2312"/>
          <w:b w:val="0"/>
          <w:bCs/>
          <w:color w:val="000000"/>
          <w:sz w:val="32"/>
          <w:szCs w:val="32"/>
          <w:lang w:eastAsia="zh-CN"/>
        </w:rPr>
      </w:pPr>
      <w:r>
        <w:rPr>
          <w:rFonts w:hint="eastAsia" w:ascii="楷体_GB2312" w:hAnsi="楷体_GB2312" w:eastAsia="楷体_GB2312" w:cs="楷体_GB2312"/>
          <w:b w:val="0"/>
          <w:bCs/>
          <w:color w:val="000000"/>
          <w:sz w:val="32"/>
          <w:szCs w:val="32"/>
        </w:rPr>
        <w:t>（二）评分权重</w:t>
      </w:r>
    </w:p>
    <w:tbl>
      <w:tblPr>
        <w:tblStyle w:val="13"/>
        <w:tblW w:w="8355" w:type="dxa"/>
        <w:tblInd w:w="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8"/>
        <w:gridCol w:w="2089"/>
        <w:gridCol w:w="2089"/>
        <w:gridCol w:w="20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8" w:type="dxa"/>
            <w:tcBorders>
              <w:top w:val="single" w:color="auto" w:sz="4" w:space="0"/>
              <w:left w:val="single" w:color="auto" w:sz="4" w:space="0"/>
              <w:bottom w:val="single" w:color="auto" w:sz="4" w:space="0"/>
              <w:right w:val="single" w:color="auto" w:sz="4" w:space="0"/>
            </w:tcBorders>
            <w:noWrap w:val="0"/>
            <w:vAlign w:val="top"/>
          </w:tcPr>
          <w:p>
            <w:pPr>
              <w:pStyle w:val="18"/>
              <w:spacing w:line="560" w:lineRule="exact"/>
              <w:jc w:val="left"/>
              <w:rPr>
                <w:rFonts w:ascii="仿宋_GB2312" w:hAnsi="仿宋_GB2312" w:eastAsia="仿宋_GB2312" w:cs="仿宋_GB2312"/>
                <w:b w:val="0"/>
                <w:bCs/>
                <w:szCs w:val="24"/>
              </w:rPr>
            </w:pPr>
            <w:r>
              <w:rPr>
                <w:rFonts w:hint="eastAsia" w:ascii="仿宋_GB2312" w:hAnsi="仿宋_GB2312" w:eastAsia="仿宋_GB2312" w:cs="仿宋_GB2312"/>
                <w:b w:val="0"/>
                <w:bCs/>
                <w:szCs w:val="24"/>
              </w:rPr>
              <w:t>评分内容</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8"/>
              <w:spacing w:line="560" w:lineRule="exact"/>
              <w:jc w:val="left"/>
              <w:rPr>
                <w:rFonts w:hint="eastAsia" w:ascii="仿宋_GB2312" w:hAnsi="仿宋_GB2312" w:eastAsia="仿宋_GB2312" w:cs="仿宋_GB2312"/>
                <w:b w:val="0"/>
                <w:bCs/>
                <w:szCs w:val="24"/>
                <w:lang w:eastAsia="zh-CN"/>
              </w:rPr>
            </w:pPr>
            <w:r>
              <w:rPr>
                <w:rFonts w:hint="eastAsia" w:ascii="仿宋_GB2312" w:hAnsi="仿宋_GB2312" w:eastAsia="仿宋_GB2312" w:cs="仿宋_GB2312"/>
                <w:b w:val="0"/>
                <w:bCs/>
                <w:szCs w:val="24"/>
              </w:rPr>
              <w:t>报价</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8"/>
              <w:spacing w:line="560" w:lineRule="exact"/>
              <w:jc w:val="left"/>
              <w:rPr>
                <w:rFonts w:hint="eastAsia" w:ascii="仿宋_GB2312" w:hAnsi="仿宋_GB2312" w:eastAsia="仿宋_GB2312" w:cs="仿宋_GB2312"/>
                <w:b w:val="0"/>
                <w:bCs/>
                <w:kern w:val="2"/>
                <w:sz w:val="24"/>
                <w:szCs w:val="24"/>
                <w:lang w:val="en-US" w:eastAsia="zh-CN" w:bidi="ar-SA"/>
              </w:rPr>
            </w:pPr>
            <w:r>
              <w:rPr>
                <w:rFonts w:hint="eastAsia" w:ascii="仿宋_GB2312" w:hAnsi="仿宋_GB2312" w:eastAsia="仿宋_GB2312" w:cs="仿宋_GB2312"/>
                <w:b w:val="0"/>
                <w:bCs/>
                <w:szCs w:val="24"/>
              </w:rPr>
              <w:t>商务</w:t>
            </w:r>
            <w:r>
              <w:rPr>
                <w:rFonts w:hint="eastAsia" w:ascii="仿宋_GB2312" w:hAnsi="仿宋_GB2312" w:eastAsia="仿宋_GB2312" w:cs="仿宋_GB2312"/>
                <w:b w:val="0"/>
                <w:bCs/>
                <w:szCs w:val="24"/>
                <w:lang w:eastAsia="zh-CN"/>
              </w:rPr>
              <w:t>部分</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8"/>
              <w:spacing w:line="560" w:lineRule="exact"/>
              <w:jc w:val="left"/>
              <w:rPr>
                <w:rFonts w:hint="eastAsia" w:ascii="仿宋_GB2312" w:hAnsi="仿宋_GB2312" w:eastAsia="仿宋_GB2312" w:cs="仿宋_GB2312"/>
                <w:b w:val="0"/>
                <w:bCs/>
                <w:szCs w:val="24"/>
                <w:lang w:eastAsia="zh-CN"/>
              </w:rPr>
            </w:pPr>
            <w:r>
              <w:rPr>
                <w:rFonts w:hint="eastAsia" w:ascii="仿宋_GB2312" w:hAnsi="仿宋_GB2312" w:eastAsia="仿宋_GB2312" w:cs="仿宋_GB2312"/>
                <w:b w:val="0"/>
                <w:bCs/>
                <w:szCs w:val="24"/>
              </w:rPr>
              <w:t>技术</w:t>
            </w:r>
            <w:r>
              <w:rPr>
                <w:rFonts w:hint="eastAsia" w:ascii="仿宋_GB2312" w:hAnsi="仿宋_GB2312" w:eastAsia="仿宋_GB2312" w:cs="仿宋_GB2312"/>
                <w:b w:val="0"/>
                <w:bCs/>
                <w:szCs w:val="24"/>
                <w:lang w:eastAsia="zh-CN"/>
              </w:rPr>
              <w:t>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8" w:type="dxa"/>
            <w:tcBorders>
              <w:top w:val="single" w:color="auto" w:sz="4" w:space="0"/>
              <w:left w:val="single" w:color="auto" w:sz="4" w:space="0"/>
              <w:bottom w:val="single" w:color="auto" w:sz="4" w:space="0"/>
              <w:right w:val="single" w:color="auto" w:sz="4" w:space="0"/>
            </w:tcBorders>
            <w:noWrap w:val="0"/>
            <w:vAlign w:val="top"/>
          </w:tcPr>
          <w:p>
            <w:pPr>
              <w:pStyle w:val="18"/>
              <w:spacing w:line="560" w:lineRule="exact"/>
              <w:jc w:val="left"/>
              <w:rPr>
                <w:rFonts w:ascii="仿宋_GB2312" w:hAnsi="仿宋_GB2312" w:eastAsia="仿宋_GB2312" w:cs="仿宋_GB2312"/>
                <w:b w:val="0"/>
                <w:bCs/>
                <w:szCs w:val="24"/>
              </w:rPr>
            </w:pPr>
            <w:r>
              <w:rPr>
                <w:rFonts w:hint="eastAsia" w:ascii="仿宋_GB2312" w:hAnsi="仿宋_GB2312" w:eastAsia="仿宋_GB2312" w:cs="仿宋_GB2312"/>
                <w:b w:val="0"/>
                <w:bCs/>
                <w:szCs w:val="24"/>
              </w:rPr>
              <w:t>分值</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8"/>
              <w:spacing w:line="560" w:lineRule="exact"/>
              <w:jc w:val="left"/>
              <w:rPr>
                <w:rFonts w:ascii="仿宋_GB2312" w:hAnsi="仿宋_GB2312" w:eastAsia="仿宋_GB2312" w:cs="仿宋_GB2312"/>
                <w:b w:val="0"/>
                <w:bCs/>
                <w:szCs w:val="24"/>
              </w:rPr>
            </w:pPr>
            <w:r>
              <w:rPr>
                <w:rFonts w:hint="eastAsia" w:ascii="仿宋_GB2312" w:hAnsi="仿宋_GB2312" w:eastAsia="仿宋_GB2312" w:cs="仿宋_GB2312"/>
                <w:b w:val="0"/>
                <w:bCs/>
                <w:szCs w:val="24"/>
                <w:lang w:val="en-US" w:eastAsia="zh-CN"/>
              </w:rPr>
              <w:t>20</w:t>
            </w:r>
            <w:r>
              <w:rPr>
                <w:rFonts w:hint="eastAsia" w:ascii="仿宋_GB2312" w:hAnsi="仿宋_GB2312" w:eastAsia="仿宋_GB2312" w:cs="仿宋_GB2312"/>
                <w:b w:val="0"/>
                <w:bCs/>
                <w:szCs w:val="24"/>
              </w:rPr>
              <w:t>分</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8"/>
              <w:spacing w:line="560" w:lineRule="exact"/>
              <w:jc w:val="left"/>
              <w:rPr>
                <w:rFonts w:hint="eastAsia" w:ascii="仿宋_GB2312" w:hAnsi="仿宋_GB2312" w:eastAsia="仿宋_GB2312" w:cs="仿宋_GB2312"/>
                <w:b w:val="0"/>
                <w:bCs/>
                <w:kern w:val="2"/>
                <w:sz w:val="24"/>
                <w:szCs w:val="24"/>
                <w:lang w:val="en-US" w:eastAsia="zh-CN" w:bidi="ar-SA"/>
              </w:rPr>
            </w:pPr>
            <w:r>
              <w:rPr>
                <w:rFonts w:hint="eastAsia" w:ascii="仿宋_GB2312" w:hAnsi="仿宋_GB2312" w:eastAsia="仿宋_GB2312" w:cs="仿宋_GB2312"/>
                <w:b w:val="0"/>
                <w:bCs/>
                <w:szCs w:val="24"/>
                <w:lang w:val="en-US" w:eastAsia="zh-CN"/>
              </w:rPr>
              <w:t>25</w:t>
            </w:r>
            <w:r>
              <w:rPr>
                <w:rFonts w:hint="eastAsia" w:ascii="仿宋_GB2312" w:hAnsi="仿宋_GB2312" w:eastAsia="仿宋_GB2312" w:cs="仿宋_GB2312"/>
                <w:b w:val="0"/>
                <w:bCs/>
                <w:szCs w:val="24"/>
              </w:rPr>
              <w:t>分</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8"/>
              <w:spacing w:line="560" w:lineRule="exact"/>
              <w:jc w:val="left"/>
              <w:rPr>
                <w:rFonts w:ascii="仿宋_GB2312" w:hAnsi="仿宋_GB2312" w:eastAsia="仿宋_GB2312" w:cs="仿宋_GB2312"/>
                <w:b w:val="0"/>
                <w:bCs/>
                <w:szCs w:val="24"/>
              </w:rPr>
            </w:pPr>
            <w:r>
              <w:rPr>
                <w:rFonts w:hint="default" w:ascii="仿宋_GB2312" w:hAnsi="仿宋_GB2312" w:eastAsia="仿宋_GB2312" w:cs="仿宋_GB2312"/>
                <w:b w:val="0"/>
                <w:bCs/>
                <w:szCs w:val="24"/>
                <w:lang w:val="en" w:eastAsia="zh-CN"/>
              </w:rPr>
              <w:t>5</w:t>
            </w:r>
            <w:r>
              <w:rPr>
                <w:rFonts w:hint="eastAsia" w:ascii="仿宋_GB2312" w:hAnsi="仿宋_GB2312" w:eastAsia="仿宋_GB2312" w:cs="仿宋_GB2312"/>
                <w:b w:val="0"/>
                <w:bCs/>
                <w:szCs w:val="24"/>
                <w:lang w:val="en-US" w:eastAsia="zh-CN"/>
              </w:rPr>
              <w:t>5</w:t>
            </w:r>
            <w:r>
              <w:rPr>
                <w:rFonts w:hint="eastAsia" w:ascii="仿宋_GB2312" w:hAnsi="仿宋_GB2312" w:eastAsia="仿宋_GB2312" w:cs="仿宋_GB2312"/>
                <w:b w:val="0"/>
                <w:bCs/>
                <w:szCs w:val="24"/>
              </w:rPr>
              <w:t>分</w:t>
            </w:r>
          </w:p>
        </w:tc>
      </w:tr>
    </w:tbl>
    <w:p>
      <w:pPr>
        <w:pStyle w:val="18"/>
        <w:spacing w:line="560" w:lineRule="exact"/>
        <w:ind w:firstLine="640" w:firstLineChars="200"/>
        <w:rPr>
          <w:rFonts w:ascii="仿宋_GB2312" w:eastAsia="仿宋_GB2312"/>
          <w:sz w:val="32"/>
          <w:szCs w:val="32"/>
        </w:rPr>
      </w:pPr>
      <w:r>
        <w:rPr>
          <w:rFonts w:hint="eastAsia" w:ascii="楷体_GB2312" w:hAnsi="楷体_GB2312" w:eastAsia="楷体_GB2312" w:cs="楷体_GB2312"/>
          <w:b w:val="0"/>
          <w:bCs/>
          <w:color w:val="000000"/>
          <w:sz w:val="32"/>
          <w:szCs w:val="32"/>
        </w:rPr>
        <w:t>（三）评分标准</w:t>
      </w:r>
    </w:p>
    <w:tbl>
      <w:tblPr>
        <w:tblStyle w:val="14"/>
        <w:tblW w:w="0" w:type="auto"/>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8"/>
        <w:gridCol w:w="1170"/>
        <w:gridCol w:w="6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restart"/>
            <w:noWrap w:val="0"/>
            <w:vAlign w:val="center"/>
          </w:tcPr>
          <w:p>
            <w:pPr>
              <w:spacing w:line="560" w:lineRule="exact"/>
              <w:jc w:val="left"/>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vertAlign w:val="baseline"/>
                <w:lang w:eastAsia="zh-CN"/>
              </w:rPr>
              <w:t>报价</w:t>
            </w:r>
          </w:p>
          <w:p>
            <w:pPr>
              <w:spacing w:line="560" w:lineRule="exact"/>
              <w:jc w:val="left"/>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eastAsia="zh-CN"/>
              </w:rPr>
              <w:t>（</w:t>
            </w:r>
            <w:r>
              <w:rPr>
                <w:rFonts w:hint="eastAsia" w:ascii="仿宋_GB2312" w:hAnsi="仿宋_GB2312" w:eastAsia="仿宋_GB2312" w:cs="仿宋_GB2312"/>
                <w:sz w:val="24"/>
                <w:szCs w:val="24"/>
                <w:vertAlign w:val="baseline"/>
                <w:lang w:val="en-US" w:eastAsia="zh-CN"/>
              </w:rPr>
              <w:t>20分</w:t>
            </w:r>
            <w:r>
              <w:rPr>
                <w:rFonts w:hint="eastAsia" w:ascii="仿宋_GB2312" w:hAnsi="仿宋_GB2312" w:eastAsia="仿宋_GB2312" w:cs="仿宋_GB2312"/>
                <w:sz w:val="24"/>
                <w:szCs w:val="24"/>
                <w:vertAlign w:val="baseline"/>
                <w:lang w:eastAsia="zh-CN"/>
              </w:rPr>
              <w:t>）</w:t>
            </w:r>
          </w:p>
        </w:tc>
        <w:tc>
          <w:tcPr>
            <w:tcW w:w="1170" w:type="dxa"/>
            <w:noWrap w:val="0"/>
            <w:vAlign w:val="top"/>
          </w:tcPr>
          <w:p>
            <w:pPr>
              <w:spacing w:line="560" w:lineRule="exact"/>
              <w:jc w:val="left"/>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vertAlign w:val="baseline"/>
                <w:lang w:eastAsia="zh-CN"/>
              </w:rPr>
              <w:t>评分</w:t>
            </w:r>
          </w:p>
          <w:p>
            <w:pPr>
              <w:spacing w:line="560" w:lineRule="exact"/>
              <w:jc w:val="left"/>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vertAlign w:val="baseline"/>
                <w:lang w:eastAsia="zh-CN"/>
              </w:rPr>
              <w:t>因素</w:t>
            </w:r>
          </w:p>
        </w:tc>
        <w:tc>
          <w:tcPr>
            <w:tcW w:w="6143" w:type="dxa"/>
            <w:noWrap w:val="0"/>
            <w:vAlign w:val="center"/>
          </w:tcPr>
          <w:p>
            <w:pPr>
              <w:spacing w:line="560" w:lineRule="exact"/>
              <w:jc w:val="left"/>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vertAlign w:val="baseline"/>
                <w:lang w:eastAsia="zh-CN"/>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continue"/>
            <w:noWrap w:val="0"/>
            <w:vAlign w:val="top"/>
          </w:tcPr>
          <w:p>
            <w:pPr>
              <w:spacing w:line="560" w:lineRule="exact"/>
              <w:jc w:val="left"/>
              <w:rPr>
                <w:rFonts w:hint="eastAsia" w:ascii="仿宋_GB2312" w:hAnsi="仿宋_GB2312" w:eastAsia="仿宋_GB2312" w:cs="仿宋_GB2312"/>
                <w:sz w:val="24"/>
                <w:szCs w:val="24"/>
                <w:vertAlign w:val="baseline"/>
                <w:lang w:val="en-US" w:eastAsia="zh-CN"/>
              </w:rPr>
            </w:pPr>
          </w:p>
        </w:tc>
        <w:tc>
          <w:tcPr>
            <w:tcW w:w="1170" w:type="dxa"/>
            <w:noWrap w:val="0"/>
            <w:vAlign w:val="center"/>
          </w:tcPr>
          <w:p>
            <w:pPr>
              <w:topLinePunct/>
              <w:snapToGrid w:val="0"/>
              <w:spacing w:line="560" w:lineRule="exact"/>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价格</w:t>
            </w:r>
          </w:p>
        </w:tc>
        <w:tc>
          <w:tcPr>
            <w:tcW w:w="6143" w:type="dxa"/>
            <w:noWrap w:val="0"/>
            <w:vAlign w:val="center"/>
          </w:tcPr>
          <w:p>
            <w:pPr>
              <w:topLinePunct/>
              <w:snapToGrid w:val="0"/>
              <w:spacing w:line="560" w:lineRule="exact"/>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以本次报价或投标人所报的有效报价中的最低价作为基准报价。投标人报价得分=（基准价/投标人报价）*</w:t>
            </w:r>
            <w:r>
              <w:rPr>
                <w:rFonts w:hint="eastAsia" w:ascii="仿宋_GB2312" w:hAnsi="仿宋_GB2312" w:eastAsia="仿宋_GB2312" w:cs="仿宋_GB2312"/>
                <w:sz w:val="24"/>
                <w:szCs w:val="24"/>
                <w:lang w:val="en-US" w:eastAsia="zh-CN"/>
              </w:rPr>
              <w:t>20</w:t>
            </w:r>
            <w:r>
              <w:rPr>
                <w:rFonts w:hint="eastAsia" w:ascii="仿宋_GB2312" w:hAnsi="仿宋_GB2312" w:eastAsia="仿宋_GB2312" w:cs="仿宋_GB2312"/>
                <w:sz w:val="24"/>
                <w:szCs w:val="24"/>
                <w:lang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restart"/>
            <w:noWrap w:val="0"/>
            <w:vAlign w:val="center"/>
          </w:tcPr>
          <w:p>
            <w:pPr>
              <w:spacing w:line="560" w:lineRule="exact"/>
              <w:jc w:val="left"/>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vertAlign w:val="baseline"/>
                <w:lang w:eastAsia="zh-CN"/>
              </w:rPr>
              <w:t>商务</w:t>
            </w:r>
          </w:p>
          <w:p>
            <w:pPr>
              <w:pStyle w:val="3"/>
              <w:spacing w:line="560" w:lineRule="exact"/>
              <w:jc w:val="left"/>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vertAlign w:val="baseline"/>
                <w:lang w:eastAsia="zh-CN"/>
              </w:rPr>
              <w:t>部分</w:t>
            </w:r>
          </w:p>
          <w:p>
            <w:pPr>
              <w:pStyle w:val="3"/>
              <w:spacing w:line="560" w:lineRule="exact"/>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vertAlign w:val="baseline"/>
                <w:lang w:eastAsia="zh-CN"/>
              </w:rPr>
              <w:t>（</w:t>
            </w:r>
            <w:r>
              <w:rPr>
                <w:rFonts w:hint="eastAsia" w:ascii="仿宋_GB2312" w:hAnsi="仿宋_GB2312" w:eastAsia="仿宋_GB2312" w:cs="仿宋_GB2312"/>
                <w:color w:val="auto"/>
                <w:sz w:val="24"/>
                <w:szCs w:val="24"/>
                <w:highlight w:val="none"/>
                <w:lang w:val="en-US" w:eastAsia="zh-CN"/>
              </w:rPr>
              <w:t>25</w:t>
            </w:r>
            <w:r>
              <w:rPr>
                <w:rFonts w:hint="eastAsia" w:ascii="仿宋_GB2312" w:hAnsi="仿宋_GB2312" w:eastAsia="仿宋_GB2312" w:cs="仿宋_GB2312"/>
                <w:sz w:val="24"/>
                <w:szCs w:val="24"/>
                <w:vertAlign w:val="baseline"/>
                <w:lang w:val="en-US" w:eastAsia="zh-CN"/>
              </w:rPr>
              <w:t>分</w:t>
            </w:r>
            <w:r>
              <w:rPr>
                <w:rFonts w:hint="eastAsia" w:ascii="仿宋_GB2312" w:hAnsi="仿宋_GB2312" w:eastAsia="仿宋_GB2312" w:cs="仿宋_GB2312"/>
                <w:sz w:val="24"/>
                <w:szCs w:val="24"/>
                <w:vertAlign w:val="baseline"/>
                <w:lang w:eastAsia="zh-CN"/>
              </w:rPr>
              <w:t>）</w:t>
            </w:r>
          </w:p>
        </w:tc>
        <w:tc>
          <w:tcPr>
            <w:tcW w:w="1170" w:type="dxa"/>
            <w:noWrap w:val="0"/>
            <w:vAlign w:val="top"/>
          </w:tcPr>
          <w:p>
            <w:pPr>
              <w:spacing w:line="560" w:lineRule="exact"/>
              <w:jc w:val="left"/>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vertAlign w:val="baseline"/>
                <w:lang w:eastAsia="zh-CN"/>
              </w:rPr>
              <w:t>评分</w:t>
            </w:r>
          </w:p>
          <w:p>
            <w:pPr>
              <w:spacing w:line="560" w:lineRule="exact"/>
              <w:jc w:val="left"/>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vertAlign w:val="baseline"/>
                <w:lang w:eastAsia="zh-CN"/>
              </w:rPr>
              <w:t>因素</w:t>
            </w:r>
          </w:p>
        </w:tc>
        <w:tc>
          <w:tcPr>
            <w:tcW w:w="6143" w:type="dxa"/>
            <w:noWrap w:val="0"/>
            <w:vAlign w:val="center"/>
          </w:tcPr>
          <w:p>
            <w:pPr>
              <w:spacing w:line="560" w:lineRule="exact"/>
              <w:jc w:val="left"/>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eastAsia="zh-CN"/>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continue"/>
            <w:noWrap w:val="0"/>
            <w:vAlign w:val="top"/>
          </w:tcPr>
          <w:p>
            <w:pPr>
              <w:spacing w:line="560" w:lineRule="exact"/>
              <w:jc w:val="left"/>
              <w:rPr>
                <w:rFonts w:hint="eastAsia" w:ascii="仿宋_GB2312" w:hAnsi="仿宋_GB2312" w:eastAsia="仿宋_GB2312" w:cs="仿宋_GB2312"/>
                <w:sz w:val="24"/>
                <w:szCs w:val="24"/>
                <w:vertAlign w:val="baseline"/>
                <w:lang w:val="en-US" w:eastAsia="zh-CN"/>
              </w:rPr>
            </w:pPr>
          </w:p>
        </w:tc>
        <w:tc>
          <w:tcPr>
            <w:tcW w:w="1170" w:type="dxa"/>
            <w:noWrap w:val="0"/>
            <w:vAlign w:val="center"/>
          </w:tcPr>
          <w:p>
            <w:pPr>
              <w:spacing w:line="560" w:lineRule="exact"/>
              <w:jc w:val="left"/>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lang w:eastAsia="zh-CN"/>
              </w:rPr>
              <w:t>同类项目经验（</w:t>
            </w:r>
            <w:r>
              <w:rPr>
                <w:rFonts w:hint="eastAsia" w:ascii="仿宋_GB2312" w:hAnsi="仿宋_GB2312" w:eastAsia="仿宋_GB2312" w:cs="仿宋_GB2312"/>
                <w:color w:val="auto"/>
                <w:sz w:val="24"/>
                <w:szCs w:val="24"/>
                <w:highlight w:val="none"/>
                <w:lang w:val="en-US" w:eastAsia="zh-CN"/>
              </w:rPr>
              <w:t>10</w:t>
            </w:r>
            <w:r>
              <w:rPr>
                <w:rFonts w:hint="eastAsia" w:ascii="仿宋_GB2312" w:hAnsi="仿宋_GB2312" w:eastAsia="仿宋_GB2312" w:cs="仿宋_GB2312"/>
                <w:sz w:val="24"/>
                <w:szCs w:val="24"/>
                <w:lang w:val="en-US" w:eastAsia="zh-CN"/>
              </w:rPr>
              <w:t>分</w:t>
            </w:r>
            <w:r>
              <w:rPr>
                <w:rFonts w:hint="eastAsia" w:ascii="仿宋_GB2312" w:hAnsi="仿宋_GB2312" w:eastAsia="仿宋_GB2312" w:cs="仿宋_GB2312"/>
                <w:sz w:val="24"/>
                <w:szCs w:val="24"/>
                <w:lang w:eastAsia="zh-CN"/>
              </w:rPr>
              <w:t>）</w:t>
            </w:r>
          </w:p>
        </w:tc>
        <w:tc>
          <w:tcPr>
            <w:tcW w:w="6143" w:type="dxa"/>
            <w:noWrap w:val="0"/>
            <w:vAlign w:val="top"/>
          </w:tcPr>
          <w:p>
            <w:pPr>
              <w:topLinePunct/>
              <w:snapToGrid w:val="0"/>
              <w:spacing w:line="560" w:lineRule="exact"/>
              <w:jc w:val="left"/>
              <w:rPr>
                <w:rFonts w:hint="eastAsia" w:ascii="仿宋_GB2312" w:hAnsi="仿宋_GB2312" w:eastAsia="仿宋_GB2312" w:cs="仿宋_GB2312"/>
                <w:b/>
                <w:bCs/>
                <w:sz w:val="24"/>
                <w:szCs w:val="24"/>
                <w:lang w:eastAsia="zh-CN"/>
              </w:rPr>
            </w:pPr>
            <w:r>
              <w:rPr>
                <w:rFonts w:hint="eastAsia" w:ascii="仿宋_GB2312" w:hAnsi="仿宋_GB2312" w:eastAsia="仿宋_GB2312" w:cs="仿宋_GB2312"/>
                <w:b/>
                <w:bCs/>
                <w:sz w:val="24"/>
                <w:szCs w:val="24"/>
                <w:lang w:eastAsia="zh-CN"/>
              </w:rPr>
              <w:t>（一）评审内容：</w:t>
            </w:r>
          </w:p>
          <w:p>
            <w:pPr>
              <w:topLinePunct/>
              <w:snapToGrid w:val="0"/>
              <w:spacing w:line="560" w:lineRule="exact"/>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投标人自202</w:t>
            </w: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lang w:eastAsia="zh-CN"/>
              </w:rPr>
              <w:t>年1月1日至本项目投标截止日（以合同签订日期为准），</w:t>
            </w:r>
            <w:r>
              <w:rPr>
                <w:rFonts w:hint="eastAsia" w:ascii="仿宋_GB2312" w:hAnsi="仿宋_GB2312" w:eastAsia="仿宋_GB2312" w:cs="仿宋_GB2312"/>
                <w:sz w:val="24"/>
                <w:szCs w:val="24"/>
                <w:lang w:val="en-US" w:eastAsia="zh-CN"/>
              </w:rPr>
              <w:t>每提供一项视觉/平面设计</w:t>
            </w:r>
            <w:r>
              <w:rPr>
                <w:rFonts w:hint="eastAsia" w:ascii="仿宋_GB2312" w:hAnsi="仿宋_GB2312" w:eastAsia="仿宋_GB2312" w:cs="仿宋_GB2312"/>
                <w:sz w:val="24"/>
                <w:szCs w:val="24"/>
                <w:lang w:eastAsia="zh-CN"/>
              </w:rPr>
              <w:t>类</w:t>
            </w:r>
            <w:r>
              <w:rPr>
                <w:rFonts w:hint="eastAsia" w:ascii="仿宋_GB2312" w:hAnsi="仿宋_GB2312" w:eastAsia="仿宋_GB2312" w:cs="仿宋_GB2312"/>
                <w:sz w:val="24"/>
                <w:szCs w:val="24"/>
                <w:lang w:val="en-US" w:eastAsia="zh-CN"/>
              </w:rPr>
              <w:t>项目</w:t>
            </w:r>
            <w:r>
              <w:rPr>
                <w:rFonts w:hint="eastAsia" w:ascii="仿宋_GB2312" w:hAnsi="仿宋_GB2312" w:eastAsia="仿宋_GB2312" w:cs="仿宋_GB2312"/>
                <w:sz w:val="24"/>
                <w:szCs w:val="24"/>
                <w:lang w:eastAsia="zh-CN"/>
              </w:rPr>
              <w:t>业绩得</w:t>
            </w: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lang w:eastAsia="zh-CN"/>
              </w:rPr>
              <w:t>分，最高得</w:t>
            </w:r>
            <w:r>
              <w:rPr>
                <w:rFonts w:hint="eastAsia" w:ascii="仿宋_GB2312" w:hAnsi="仿宋_GB2312" w:eastAsia="仿宋_GB2312" w:cs="仿宋_GB2312"/>
                <w:sz w:val="24"/>
                <w:szCs w:val="24"/>
                <w:lang w:val="en-US" w:eastAsia="zh-CN"/>
              </w:rPr>
              <w:t>10</w:t>
            </w:r>
            <w:r>
              <w:rPr>
                <w:rFonts w:hint="eastAsia" w:ascii="仿宋_GB2312" w:hAnsi="仿宋_GB2312" w:eastAsia="仿宋_GB2312" w:cs="仿宋_GB2312"/>
                <w:sz w:val="24"/>
                <w:szCs w:val="24"/>
                <w:lang w:eastAsia="zh-CN"/>
              </w:rPr>
              <w:t>分</w:t>
            </w:r>
            <w:r>
              <w:rPr>
                <w:rFonts w:hint="eastAsia" w:ascii="仿宋_GB2312" w:hAnsi="仿宋_GB2312" w:eastAsia="仿宋_GB2312" w:cs="仿宋_GB2312"/>
                <w:sz w:val="24"/>
                <w:szCs w:val="24"/>
                <w:lang w:val="en-US" w:eastAsia="zh-CN"/>
              </w:rPr>
              <w:t>。</w:t>
            </w:r>
          </w:p>
          <w:p>
            <w:pPr>
              <w:topLinePunct/>
              <w:snapToGrid w:val="0"/>
              <w:spacing w:line="560" w:lineRule="exact"/>
              <w:jc w:val="left"/>
              <w:rPr>
                <w:rFonts w:hint="eastAsia" w:ascii="仿宋_GB2312" w:hAnsi="仿宋_GB2312" w:eastAsia="仿宋_GB2312" w:cs="仿宋_GB2312"/>
                <w:b/>
                <w:bCs/>
                <w:sz w:val="24"/>
                <w:szCs w:val="24"/>
                <w:lang w:eastAsia="zh-CN"/>
              </w:rPr>
            </w:pPr>
            <w:r>
              <w:rPr>
                <w:rFonts w:hint="eastAsia" w:ascii="仿宋_GB2312" w:hAnsi="仿宋_GB2312" w:eastAsia="仿宋_GB2312" w:cs="仿宋_GB2312"/>
                <w:b/>
                <w:bCs/>
                <w:sz w:val="24"/>
                <w:szCs w:val="24"/>
                <w:lang w:eastAsia="zh-CN"/>
              </w:rPr>
              <w:t>（</w:t>
            </w:r>
            <w:r>
              <w:rPr>
                <w:rFonts w:hint="eastAsia" w:ascii="仿宋_GB2312" w:hAnsi="仿宋_GB2312" w:eastAsia="仿宋_GB2312" w:cs="仿宋_GB2312"/>
                <w:b/>
                <w:bCs/>
                <w:sz w:val="24"/>
                <w:szCs w:val="24"/>
                <w:lang w:val="en-US" w:eastAsia="zh-CN"/>
              </w:rPr>
              <w:t>二</w:t>
            </w:r>
            <w:r>
              <w:rPr>
                <w:rFonts w:hint="eastAsia" w:ascii="仿宋_GB2312" w:hAnsi="仿宋_GB2312" w:eastAsia="仿宋_GB2312" w:cs="仿宋_GB2312"/>
                <w:b/>
                <w:bCs/>
                <w:sz w:val="24"/>
                <w:szCs w:val="24"/>
                <w:lang w:eastAsia="zh-CN"/>
              </w:rPr>
              <w:t>）评审依据：</w:t>
            </w:r>
          </w:p>
          <w:p>
            <w:pPr>
              <w:topLinePunct/>
              <w:snapToGrid w:val="0"/>
              <w:spacing w:line="560" w:lineRule="exact"/>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1</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lang w:eastAsia="zh-CN"/>
              </w:rPr>
              <w:t>每项业绩按以下要求提供完整准确的证明文件，一个合同计算一个业绩，一年一签的续签合同只计算一个业绩：</w:t>
            </w:r>
          </w:p>
          <w:p>
            <w:pPr>
              <w:topLinePunct/>
              <w:snapToGrid w:val="0"/>
              <w:spacing w:line="560" w:lineRule="exact"/>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合同关键页（关键信息包括但不仅限于合同的项目名称、服务内容、合同服务的起止时间、合同双方的盖章、签订日期等）；</w:t>
            </w:r>
          </w:p>
          <w:p>
            <w:pPr>
              <w:topLinePunct/>
              <w:snapToGrid w:val="0"/>
              <w:spacing w:line="560" w:lineRule="exact"/>
              <w:jc w:val="left"/>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2</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lang w:eastAsia="zh-CN"/>
              </w:rPr>
              <w:t>未提供证明材料或者提供的证明材料不符合要求或提供的证明材料不清晰导致采购小组无法辨认的，不得分。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continue"/>
            <w:noWrap w:val="0"/>
            <w:vAlign w:val="top"/>
          </w:tcPr>
          <w:p>
            <w:pPr>
              <w:spacing w:line="560" w:lineRule="exact"/>
              <w:jc w:val="left"/>
              <w:rPr>
                <w:rFonts w:hint="eastAsia" w:ascii="仿宋_GB2312" w:hAnsi="仿宋_GB2312" w:eastAsia="仿宋_GB2312" w:cs="仿宋_GB2312"/>
                <w:sz w:val="24"/>
                <w:szCs w:val="24"/>
                <w:vertAlign w:val="baseline"/>
                <w:lang w:val="en-US" w:eastAsia="zh-CN"/>
              </w:rPr>
            </w:pPr>
          </w:p>
        </w:tc>
        <w:tc>
          <w:tcPr>
            <w:tcW w:w="1170" w:type="dxa"/>
            <w:noWrap w:val="0"/>
            <w:vAlign w:val="center"/>
          </w:tcPr>
          <w:p>
            <w:pPr>
              <w:spacing w:line="560" w:lineRule="exact"/>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拟安排项目团队成员</w:t>
            </w:r>
          </w:p>
          <w:p>
            <w:pPr>
              <w:spacing w:line="560" w:lineRule="exact"/>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color w:val="auto"/>
                <w:sz w:val="24"/>
                <w:szCs w:val="24"/>
                <w:highlight w:val="none"/>
                <w:lang w:val="en-US" w:eastAsia="zh-CN"/>
              </w:rPr>
              <w:t>10</w:t>
            </w:r>
            <w:r>
              <w:rPr>
                <w:rFonts w:hint="eastAsia" w:ascii="仿宋_GB2312" w:hAnsi="仿宋_GB2312" w:eastAsia="仿宋_GB2312" w:cs="仿宋_GB2312"/>
                <w:sz w:val="24"/>
                <w:szCs w:val="24"/>
                <w:lang w:val="en-US" w:eastAsia="zh-CN"/>
              </w:rPr>
              <w:t>分）</w:t>
            </w:r>
          </w:p>
        </w:tc>
        <w:tc>
          <w:tcPr>
            <w:tcW w:w="6143" w:type="dxa"/>
            <w:noWrap w:val="0"/>
            <w:vAlign w:val="center"/>
          </w:tcPr>
          <w:p>
            <w:pPr>
              <w:pStyle w:val="11"/>
              <w:widowControl/>
              <w:topLinePunct w:val="0"/>
              <w:snapToGrid w:val="0"/>
              <w:spacing w:line="360" w:lineRule="exact"/>
              <w:jc w:val="left"/>
              <w:rPr>
                <w:rFonts w:hint="eastAsia" w:ascii="仿宋_GB2312" w:hAnsi="仿宋_GB2312" w:eastAsia="仿宋_GB2312" w:cs="仿宋_GB2312"/>
                <w:b/>
                <w:bCs/>
                <w:sz w:val="24"/>
                <w:szCs w:val="24"/>
                <w:lang w:eastAsia="zh-CN"/>
              </w:rPr>
            </w:pPr>
            <w:r>
              <w:rPr>
                <w:rFonts w:hint="eastAsia" w:ascii="仿宋_GB2312" w:hAnsi="仿宋_GB2312" w:eastAsia="仿宋_GB2312" w:cs="仿宋_GB2312"/>
                <w:b/>
                <w:bCs/>
                <w:sz w:val="24"/>
                <w:szCs w:val="24"/>
                <w:lang w:eastAsia="zh-CN"/>
              </w:rPr>
              <w:t>（一）评审内容</w:t>
            </w:r>
          </w:p>
          <w:p>
            <w:pPr>
              <w:pStyle w:val="11"/>
              <w:widowControl/>
              <w:topLinePunct w:val="0"/>
              <w:snapToGrid w:val="0"/>
              <w:spacing w:line="360" w:lineRule="exact"/>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拟安排的项目团队成员情况：</w:t>
            </w:r>
          </w:p>
          <w:p>
            <w:pPr>
              <w:widowControl/>
              <w:topLinePunct/>
              <w:snapToGrid w:val="0"/>
              <w:spacing w:line="560" w:lineRule="exact"/>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1</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lang w:eastAsia="zh-CN"/>
              </w:rPr>
              <w:t>具有本科（或以上）学历，每提供</w:t>
            </w:r>
            <w:r>
              <w:rPr>
                <w:rFonts w:hint="eastAsia" w:ascii="仿宋_GB2312" w:hAnsi="仿宋_GB2312" w:eastAsia="仿宋_GB2312" w:cs="仿宋_GB2312"/>
                <w:sz w:val="24"/>
                <w:szCs w:val="24"/>
                <w:lang w:val="en-US" w:eastAsia="zh-CN"/>
              </w:rPr>
              <w:t>一份</w:t>
            </w:r>
            <w:r>
              <w:rPr>
                <w:rFonts w:hint="eastAsia" w:ascii="仿宋_GB2312" w:hAnsi="仿宋_GB2312" w:eastAsia="仿宋_GB2312" w:cs="仿宋_GB2312"/>
                <w:sz w:val="24"/>
                <w:szCs w:val="24"/>
                <w:lang w:eastAsia="zh-CN"/>
              </w:rPr>
              <w:t>学历</w:t>
            </w:r>
            <w:r>
              <w:rPr>
                <w:rFonts w:hint="eastAsia" w:ascii="仿宋_GB2312" w:hAnsi="仿宋_GB2312" w:eastAsia="仿宋_GB2312" w:cs="仿宋_GB2312"/>
                <w:sz w:val="24"/>
                <w:szCs w:val="24"/>
                <w:lang w:val="en-US" w:eastAsia="zh-CN"/>
              </w:rPr>
              <w:t>证明</w:t>
            </w:r>
            <w:r>
              <w:rPr>
                <w:rFonts w:hint="eastAsia" w:ascii="仿宋_GB2312" w:hAnsi="仿宋_GB2312" w:eastAsia="仿宋_GB2312" w:cs="仿宋_GB2312"/>
                <w:sz w:val="24"/>
                <w:szCs w:val="24"/>
                <w:lang w:eastAsia="zh-CN"/>
              </w:rPr>
              <w:t>的得</w:t>
            </w: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lang w:eastAsia="zh-CN"/>
              </w:rPr>
              <w:t>分，最高得</w:t>
            </w: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lang w:eastAsia="zh-CN"/>
              </w:rPr>
              <w:t>分（注：同一人不同学历不累计分值）；</w:t>
            </w:r>
          </w:p>
          <w:p>
            <w:pPr>
              <w:widowControl/>
              <w:topLinePunct/>
              <w:snapToGrid w:val="0"/>
              <w:spacing w:line="560" w:lineRule="exact"/>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2</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lang w:eastAsia="zh-CN"/>
              </w:rPr>
              <w:t>具有视觉传达设计、平面设计、艺术设计学、数字媒体艺术、广告学、美术学等相关专业，每提供一人得</w:t>
            </w:r>
            <w:r>
              <w:rPr>
                <w:rFonts w:hint="default" w:ascii="仿宋_GB2312" w:hAnsi="仿宋_GB2312" w:eastAsia="仿宋_GB2312" w:cs="仿宋_GB2312"/>
                <w:sz w:val="24"/>
                <w:szCs w:val="24"/>
                <w:lang w:val="en" w:eastAsia="zh-CN"/>
              </w:rPr>
              <w:t>2</w:t>
            </w:r>
            <w:r>
              <w:rPr>
                <w:rFonts w:hint="eastAsia" w:ascii="仿宋_GB2312" w:hAnsi="仿宋_GB2312" w:eastAsia="仿宋_GB2312" w:cs="仿宋_GB2312"/>
                <w:sz w:val="24"/>
                <w:szCs w:val="24"/>
                <w:lang w:eastAsia="zh-CN"/>
              </w:rPr>
              <w:t>分，最高得</w:t>
            </w: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lang w:eastAsia="zh-CN"/>
              </w:rPr>
              <w:t>分；</w:t>
            </w:r>
          </w:p>
          <w:p>
            <w:pPr>
              <w:widowControl/>
              <w:topLinePunct/>
              <w:snapToGrid w:val="0"/>
              <w:spacing w:line="560" w:lineRule="exact"/>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同一人具备1至</w:t>
            </w: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lang w:eastAsia="zh-CN"/>
              </w:rPr>
              <w:t>项情况的可</w:t>
            </w:r>
            <w:r>
              <w:rPr>
                <w:rFonts w:hint="eastAsia" w:ascii="仿宋_GB2312" w:hAnsi="仿宋_GB2312" w:eastAsia="仿宋_GB2312" w:cs="仿宋_GB2312"/>
                <w:sz w:val="24"/>
                <w:szCs w:val="24"/>
                <w:lang w:val="en-US" w:eastAsia="zh-CN"/>
              </w:rPr>
              <w:t>重复得</w:t>
            </w:r>
            <w:r>
              <w:rPr>
                <w:rFonts w:hint="eastAsia" w:ascii="仿宋_GB2312" w:hAnsi="仿宋_GB2312" w:eastAsia="仿宋_GB2312" w:cs="仿宋_GB2312"/>
                <w:sz w:val="24"/>
                <w:szCs w:val="24"/>
                <w:lang w:eastAsia="zh-CN"/>
              </w:rPr>
              <w:t>分，本项最高得</w:t>
            </w:r>
            <w:r>
              <w:rPr>
                <w:rFonts w:hint="eastAsia" w:ascii="仿宋_GB2312" w:hAnsi="仿宋_GB2312" w:eastAsia="仿宋_GB2312" w:cs="仿宋_GB2312"/>
                <w:sz w:val="24"/>
                <w:szCs w:val="24"/>
                <w:lang w:val="en-US" w:eastAsia="zh-CN"/>
              </w:rPr>
              <w:t>10</w:t>
            </w:r>
            <w:r>
              <w:rPr>
                <w:rFonts w:hint="eastAsia" w:ascii="仿宋_GB2312" w:hAnsi="仿宋_GB2312" w:eastAsia="仿宋_GB2312" w:cs="仿宋_GB2312"/>
                <w:sz w:val="24"/>
                <w:szCs w:val="24"/>
                <w:lang w:eastAsia="zh-CN"/>
              </w:rPr>
              <w:t>分。</w:t>
            </w:r>
          </w:p>
          <w:p>
            <w:pPr>
              <w:pStyle w:val="11"/>
              <w:widowControl/>
              <w:topLinePunct w:val="0"/>
              <w:snapToGrid w:val="0"/>
              <w:spacing w:line="360" w:lineRule="exact"/>
              <w:jc w:val="left"/>
              <w:rPr>
                <w:rFonts w:hint="eastAsia" w:ascii="仿宋_GB2312" w:hAnsi="仿宋_GB2312" w:eastAsia="仿宋_GB2312" w:cs="仿宋_GB2312"/>
                <w:b/>
                <w:bCs/>
                <w:sz w:val="24"/>
                <w:szCs w:val="24"/>
                <w:lang w:eastAsia="zh-CN"/>
              </w:rPr>
            </w:pPr>
            <w:r>
              <w:rPr>
                <w:rFonts w:hint="eastAsia" w:ascii="仿宋_GB2312" w:hAnsi="仿宋_GB2312" w:eastAsia="仿宋_GB2312" w:cs="仿宋_GB2312"/>
                <w:b/>
                <w:bCs/>
                <w:sz w:val="24"/>
                <w:szCs w:val="24"/>
                <w:lang w:eastAsia="zh-CN"/>
              </w:rPr>
              <w:t>（</w:t>
            </w:r>
            <w:r>
              <w:rPr>
                <w:rFonts w:hint="eastAsia" w:ascii="仿宋_GB2312" w:hAnsi="仿宋_GB2312" w:eastAsia="仿宋_GB2312" w:cs="仿宋_GB2312"/>
                <w:b/>
                <w:bCs/>
                <w:sz w:val="24"/>
                <w:szCs w:val="24"/>
                <w:lang w:val="en-US" w:eastAsia="zh-CN"/>
              </w:rPr>
              <w:t>二</w:t>
            </w:r>
            <w:r>
              <w:rPr>
                <w:rFonts w:hint="eastAsia" w:ascii="仿宋_GB2312" w:hAnsi="仿宋_GB2312" w:eastAsia="仿宋_GB2312" w:cs="仿宋_GB2312"/>
                <w:b/>
                <w:bCs/>
                <w:sz w:val="24"/>
                <w:szCs w:val="24"/>
                <w:lang w:eastAsia="zh-CN"/>
              </w:rPr>
              <w:t>）评审依据：</w:t>
            </w:r>
          </w:p>
          <w:p>
            <w:pPr>
              <w:widowControl/>
              <w:topLinePunct/>
              <w:snapToGrid w:val="0"/>
              <w:spacing w:line="560" w:lineRule="exact"/>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1.提供毕业证书或学位证书扫描件、学历信息在学信网查询结果截图，原件备查。</w:t>
            </w:r>
          </w:p>
          <w:p>
            <w:pPr>
              <w:widowControl/>
              <w:topLinePunct/>
              <w:snapToGrid w:val="0"/>
              <w:spacing w:line="560" w:lineRule="exact"/>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2.以上人员近三个月社保缴纳记录。</w:t>
            </w:r>
          </w:p>
          <w:p>
            <w:pPr>
              <w:widowControl/>
              <w:topLinePunct/>
              <w:snapToGrid w:val="0"/>
              <w:spacing w:line="560" w:lineRule="exact"/>
              <w:jc w:val="left"/>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highlight w:val="none"/>
                <w:lang w:val="en-US" w:eastAsia="zh-CN"/>
              </w:rPr>
              <w:t>以上证明文件原件备查，</w:t>
            </w:r>
            <w:r>
              <w:rPr>
                <w:rFonts w:hint="eastAsia" w:ascii="仿宋_GB2312" w:hAnsi="仿宋_GB2312" w:eastAsia="仿宋_GB2312" w:cs="仿宋_GB2312"/>
                <w:sz w:val="24"/>
                <w:szCs w:val="24"/>
                <w:highlight w:val="none"/>
                <w:lang w:eastAsia="zh-CN"/>
              </w:rPr>
              <w:t>未提供或未按要求提供或提供的不清晰导致采购小组无法判断的，不得分。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continue"/>
            <w:noWrap w:val="0"/>
            <w:vAlign w:val="top"/>
          </w:tcPr>
          <w:p>
            <w:pPr>
              <w:spacing w:line="560" w:lineRule="exact"/>
              <w:jc w:val="left"/>
              <w:rPr>
                <w:rFonts w:hint="eastAsia" w:ascii="仿宋_GB2312" w:hAnsi="仿宋_GB2312" w:eastAsia="仿宋_GB2312" w:cs="仿宋_GB2312"/>
                <w:sz w:val="24"/>
                <w:szCs w:val="24"/>
                <w:vertAlign w:val="baseline"/>
                <w:lang w:val="en-US" w:eastAsia="zh-CN"/>
              </w:rPr>
            </w:pPr>
          </w:p>
        </w:tc>
        <w:tc>
          <w:tcPr>
            <w:tcW w:w="1170" w:type="dxa"/>
            <w:noWrap w:val="0"/>
            <w:vAlign w:val="center"/>
          </w:tcPr>
          <w:p>
            <w:pPr>
              <w:spacing w:line="560" w:lineRule="exact"/>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项目完成（服务期满）</w:t>
            </w:r>
          </w:p>
          <w:p>
            <w:pPr>
              <w:spacing w:line="560" w:lineRule="exact"/>
              <w:jc w:val="left"/>
              <w:rPr>
                <w:rFonts w:hint="eastAsia"/>
                <w:lang w:eastAsia="zh-CN"/>
              </w:rPr>
            </w:pPr>
            <w:r>
              <w:rPr>
                <w:rFonts w:hint="eastAsia" w:ascii="仿宋_GB2312" w:hAnsi="仿宋_GB2312" w:eastAsia="仿宋_GB2312" w:cs="仿宋_GB2312"/>
                <w:sz w:val="24"/>
                <w:szCs w:val="24"/>
                <w:lang w:val="en-US" w:eastAsia="zh-CN"/>
              </w:rPr>
              <w:t>后的服务承诺（</w:t>
            </w:r>
            <w:r>
              <w:rPr>
                <w:rFonts w:hint="eastAsia" w:ascii="仿宋_GB2312" w:hAnsi="仿宋_GB2312" w:eastAsia="仿宋_GB2312" w:cs="仿宋_GB2312"/>
                <w:color w:val="auto"/>
                <w:sz w:val="24"/>
                <w:szCs w:val="24"/>
                <w:highlight w:val="none"/>
                <w:lang w:val="en-US" w:eastAsia="zh-CN"/>
              </w:rPr>
              <w:t>5</w:t>
            </w:r>
            <w:r>
              <w:rPr>
                <w:rFonts w:hint="eastAsia" w:ascii="仿宋_GB2312" w:hAnsi="仿宋_GB2312" w:eastAsia="仿宋_GB2312" w:cs="仿宋_GB2312"/>
                <w:sz w:val="24"/>
                <w:szCs w:val="24"/>
                <w:lang w:val="en-US" w:eastAsia="zh-CN"/>
              </w:rPr>
              <w:t>分）</w:t>
            </w:r>
          </w:p>
        </w:tc>
        <w:tc>
          <w:tcPr>
            <w:tcW w:w="6143" w:type="dxa"/>
            <w:noWrap w:val="0"/>
            <w:vAlign w:val="center"/>
          </w:tcPr>
          <w:p>
            <w:pPr>
              <w:topLinePunct/>
              <w:snapToGrid w:val="0"/>
              <w:spacing w:line="560" w:lineRule="exact"/>
              <w:jc w:val="left"/>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（一）</w:t>
            </w:r>
            <w:r>
              <w:rPr>
                <w:rFonts w:hint="eastAsia" w:ascii="仿宋_GB2312" w:hAnsi="仿宋_GB2312" w:eastAsia="仿宋_GB2312" w:cs="仿宋_GB2312"/>
                <w:b/>
                <w:bCs/>
                <w:sz w:val="24"/>
                <w:szCs w:val="24"/>
                <w:highlight w:val="none"/>
                <w:lang w:eastAsia="zh-CN"/>
              </w:rPr>
              <w:t>评审</w:t>
            </w:r>
            <w:r>
              <w:rPr>
                <w:rFonts w:hint="eastAsia" w:ascii="仿宋_GB2312" w:hAnsi="仿宋_GB2312" w:eastAsia="仿宋_GB2312" w:cs="仿宋_GB2312"/>
                <w:b/>
                <w:bCs/>
                <w:sz w:val="24"/>
                <w:szCs w:val="24"/>
                <w:highlight w:val="none"/>
              </w:rPr>
              <w:t>内容：</w:t>
            </w:r>
          </w:p>
          <w:p>
            <w:pPr>
              <w:adjustRightInd w:val="0"/>
              <w:snapToGrid w:val="0"/>
              <w:spacing w:line="560" w:lineRule="exact"/>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根据针对本项目做出的服务承诺，考察包括但不限于以下内容：</w:t>
            </w:r>
            <w:r>
              <w:rPr>
                <w:rFonts w:hint="eastAsia" w:ascii="仿宋_GB2312" w:hAnsi="仿宋_GB2312" w:eastAsia="仿宋_GB2312" w:cs="仿宋_GB2312"/>
                <w:color w:val="auto"/>
                <w:sz w:val="24"/>
                <w:szCs w:val="24"/>
                <w:highlight w:val="none"/>
                <w:lang w:val="en-US" w:eastAsia="zh-CN"/>
              </w:rPr>
              <w:br w:type="textWrapping"/>
            </w:r>
            <w:r>
              <w:rPr>
                <w:rFonts w:hint="eastAsia" w:ascii="仿宋_GB2312" w:hAnsi="仿宋_GB2312" w:eastAsia="仿宋_GB2312" w:cs="仿宋_GB2312"/>
                <w:color w:val="auto"/>
                <w:sz w:val="24"/>
                <w:szCs w:val="24"/>
                <w:highlight w:val="none"/>
                <w:lang w:val="en-US" w:eastAsia="zh-CN"/>
              </w:rPr>
              <w:t>1.在服务期满后主动交接项目相关资料；</w:t>
            </w:r>
          </w:p>
          <w:p>
            <w:pPr>
              <w:numPr>
                <w:ilvl w:val="-1"/>
                <w:numId w:val="0"/>
              </w:numPr>
              <w:adjustRightInd w:val="0"/>
              <w:snapToGrid w:val="0"/>
              <w:spacing w:line="560" w:lineRule="exact"/>
              <w:jc w:val="left"/>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2.配合项目检查审计等事项。</w:t>
            </w:r>
          </w:p>
          <w:p>
            <w:pPr>
              <w:topLinePunct/>
              <w:snapToGrid w:val="0"/>
              <w:spacing w:line="560" w:lineRule="exact"/>
              <w:jc w:val="left"/>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（二）</w:t>
            </w:r>
            <w:r>
              <w:rPr>
                <w:rFonts w:hint="eastAsia" w:ascii="仿宋_GB2312" w:hAnsi="仿宋_GB2312" w:eastAsia="仿宋_GB2312" w:cs="仿宋_GB2312"/>
                <w:b/>
                <w:bCs/>
                <w:sz w:val="24"/>
                <w:szCs w:val="24"/>
                <w:highlight w:val="none"/>
                <w:lang w:eastAsia="zh-CN"/>
              </w:rPr>
              <w:t>评审</w:t>
            </w:r>
            <w:r>
              <w:rPr>
                <w:rFonts w:hint="eastAsia" w:ascii="仿宋_GB2312" w:hAnsi="仿宋_GB2312" w:eastAsia="仿宋_GB2312" w:cs="仿宋_GB2312"/>
                <w:b/>
                <w:bCs/>
                <w:sz w:val="24"/>
                <w:szCs w:val="24"/>
                <w:highlight w:val="none"/>
              </w:rPr>
              <w:t>依据：</w:t>
            </w:r>
          </w:p>
          <w:p>
            <w:pPr>
              <w:topLinePunct/>
              <w:snapToGrid w:val="0"/>
              <w:spacing w:line="560" w:lineRule="exact"/>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提供</w:t>
            </w:r>
            <w:r>
              <w:rPr>
                <w:rFonts w:hint="eastAsia" w:ascii="仿宋_GB2312" w:hAnsi="仿宋_GB2312" w:eastAsia="仿宋_GB2312" w:cs="仿宋_GB2312"/>
                <w:sz w:val="24"/>
                <w:szCs w:val="24"/>
                <w:highlight w:val="none"/>
                <w:lang w:eastAsia="zh-CN"/>
              </w:rPr>
              <w:t>服务</w:t>
            </w:r>
            <w:r>
              <w:rPr>
                <w:rFonts w:hint="eastAsia" w:ascii="仿宋_GB2312" w:hAnsi="仿宋_GB2312" w:eastAsia="仿宋_GB2312" w:cs="仿宋_GB2312"/>
                <w:sz w:val="24"/>
                <w:szCs w:val="24"/>
                <w:highlight w:val="none"/>
              </w:rPr>
              <w:t>承诺函（格式自拟）并加盖投标人公章，未提供承诺或承诺内容不满足要求不得分。</w:t>
            </w:r>
          </w:p>
          <w:p>
            <w:pPr>
              <w:pStyle w:val="3"/>
              <w:spacing w:line="560" w:lineRule="exact"/>
              <w:jc w:val="left"/>
              <w:rPr>
                <w:rFonts w:hint="eastAsia" w:ascii="仿宋_GB2312" w:hAnsi="仿宋_GB2312" w:eastAsia="仿宋_GB2312" w:cs="仿宋_GB2312"/>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restart"/>
            <w:noWrap w:val="0"/>
            <w:vAlign w:val="center"/>
          </w:tcPr>
          <w:p>
            <w:pPr>
              <w:spacing w:line="560" w:lineRule="exact"/>
              <w:jc w:val="left"/>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技术部分（</w:t>
            </w:r>
            <w:r>
              <w:rPr>
                <w:rFonts w:hint="eastAsia" w:ascii="仿宋_GB2312" w:hAnsi="仿宋_GB2312" w:eastAsia="仿宋_GB2312" w:cs="仿宋_GB2312"/>
                <w:color w:val="auto"/>
                <w:sz w:val="24"/>
                <w:szCs w:val="24"/>
                <w:highlight w:val="none"/>
                <w:lang w:val="en-US" w:eastAsia="zh-CN"/>
              </w:rPr>
              <w:t>55</w:t>
            </w:r>
            <w:r>
              <w:rPr>
                <w:rFonts w:hint="eastAsia" w:ascii="仿宋_GB2312" w:hAnsi="仿宋_GB2312" w:eastAsia="仿宋_GB2312" w:cs="仿宋_GB2312"/>
                <w:sz w:val="24"/>
                <w:szCs w:val="24"/>
                <w:vertAlign w:val="baseline"/>
                <w:lang w:val="en-US" w:eastAsia="zh-CN"/>
              </w:rPr>
              <w:t>分）</w:t>
            </w:r>
          </w:p>
        </w:tc>
        <w:tc>
          <w:tcPr>
            <w:tcW w:w="1170" w:type="dxa"/>
            <w:noWrap w:val="0"/>
            <w:vAlign w:val="center"/>
          </w:tcPr>
          <w:p>
            <w:pPr>
              <w:spacing w:line="560" w:lineRule="exact"/>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实</w:t>
            </w:r>
            <w:r>
              <w:rPr>
                <w:rFonts w:hint="eastAsia" w:ascii="仿宋_GB2312" w:hAnsi="仿宋_GB2312" w:eastAsia="仿宋_GB2312" w:cs="仿宋_GB2312"/>
                <w:sz w:val="24"/>
                <w:szCs w:val="24"/>
                <w:lang w:val="en-US" w:eastAsia="zh-CN"/>
              </w:rPr>
              <w:t>施</w:t>
            </w:r>
          </w:p>
          <w:p>
            <w:pPr>
              <w:spacing w:line="560" w:lineRule="exact"/>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方案</w:t>
            </w:r>
          </w:p>
          <w:p>
            <w:pPr>
              <w:spacing w:line="560" w:lineRule="exact"/>
              <w:jc w:val="left"/>
              <w:rPr>
                <w:rFonts w:hint="eastAsia"/>
                <w:lang w:eastAsia="zh-CN"/>
              </w:rPr>
            </w:pP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color w:val="auto"/>
                <w:sz w:val="24"/>
                <w:szCs w:val="24"/>
                <w:highlight w:val="none"/>
                <w:lang w:val="en-US" w:eastAsia="zh-CN"/>
              </w:rPr>
              <w:t>35</w:t>
            </w:r>
            <w:r>
              <w:rPr>
                <w:rFonts w:hint="eastAsia" w:ascii="仿宋_GB2312" w:hAnsi="仿宋_GB2312" w:eastAsia="仿宋_GB2312" w:cs="仿宋_GB2312"/>
                <w:sz w:val="24"/>
                <w:szCs w:val="24"/>
                <w:lang w:val="en-US" w:eastAsia="zh-CN"/>
              </w:rPr>
              <w:t>分）</w:t>
            </w:r>
          </w:p>
        </w:tc>
        <w:tc>
          <w:tcPr>
            <w:tcW w:w="6143" w:type="dxa"/>
            <w:noWrap w:val="0"/>
            <w:vAlign w:val="top"/>
          </w:tcPr>
          <w:p>
            <w:pPr>
              <w:topLinePunct/>
              <w:snapToGrid w:val="0"/>
              <w:spacing w:line="560" w:lineRule="exact"/>
              <w:jc w:val="left"/>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（一）</w:t>
            </w:r>
            <w:r>
              <w:rPr>
                <w:rFonts w:hint="eastAsia" w:ascii="仿宋_GB2312" w:hAnsi="仿宋_GB2312" w:eastAsia="仿宋_GB2312" w:cs="仿宋_GB2312"/>
                <w:b/>
                <w:bCs/>
                <w:sz w:val="24"/>
                <w:szCs w:val="24"/>
                <w:lang w:eastAsia="zh-CN"/>
              </w:rPr>
              <w:t>评审</w:t>
            </w:r>
            <w:r>
              <w:rPr>
                <w:rFonts w:hint="eastAsia" w:ascii="仿宋_GB2312" w:hAnsi="仿宋_GB2312" w:eastAsia="仿宋_GB2312" w:cs="仿宋_GB2312"/>
                <w:b/>
                <w:bCs/>
                <w:sz w:val="24"/>
                <w:szCs w:val="24"/>
              </w:rPr>
              <w:t>内容：</w:t>
            </w:r>
          </w:p>
          <w:p>
            <w:pPr>
              <w:keepNext w:val="0"/>
              <w:keepLines w:val="0"/>
              <w:pageBreakBefore w:val="0"/>
              <w:widowControl w:val="0"/>
              <w:snapToGrid/>
              <w:spacing w:line="560" w:lineRule="exact"/>
              <w:ind w:firstLine="0" w:firstLineChars="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根据投标人提供的实施方案，考察包括但不限于：</w:t>
            </w:r>
            <w:r>
              <w:rPr>
                <w:rFonts w:hint="eastAsia" w:ascii="仿宋_GB2312" w:hAnsi="仿宋_GB2312" w:eastAsia="仿宋_GB2312" w:cs="仿宋_GB2312"/>
                <w:color w:val="auto"/>
                <w:sz w:val="24"/>
                <w:szCs w:val="24"/>
                <w:highlight w:val="none"/>
                <w:lang w:val="en-US" w:eastAsia="zh-CN"/>
              </w:rPr>
              <w:br w:type="textWrapping"/>
            </w: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b w:val="0"/>
                <w:bCs/>
                <w:color w:val="auto"/>
                <w:sz w:val="24"/>
                <w:szCs w:val="24"/>
                <w:highlight w:val="none"/>
                <w:lang w:eastAsia="zh-CN"/>
              </w:rPr>
              <w:t>初步设计</w:t>
            </w:r>
            <w:r>
              <w:rPr>
                <w:rFonts w:hint="eastAsia" w:ascii="仿宋_GB2312" w:hAnsi="仿宋_GB2312" w:eastAsia="仿宋_GB2312" w:cs="仿宋_GB2312"/>
                <w:b w:val="0"/>
                <w:bCs/>
                <w:color w:val="auto"/>
                <w:sz w:val="24"/>
                <w:szCs w:val="24"/>
                <w:highlight w:val="none"/>
                <w:lang w:val="en-US" w:eastAsia="zh-CN"/>
              </w:rPr>
              <w:t>书稿方案</w:t>
            </w:r>
            <w:r>
              <w:rPr>
                <w:rFonts w:hint="eastAsia" w:ascii="仿宋_GB2312" w:hAnsi="仿宋_GB2312" w:eastAsia="仿宋_GB2312" w:cs="仿宋_GB2312"/>
                <w:color w:val="auto"/>
                <w:sz w:val="24"/>
                <w:szCs w:val="24"/>
                <w:highlight w:val="none"/>
                <w:lang w:val="en-US" w:eastAsia="zh-CN"/>
              </w:rPr>
              <w:t>；（可提供设计方案或过往案例作为辅助材料）</w:t>
            </w:r>
          </w:p>
          <w:p>
            <w:pPr>
              <w:keepNext w:val="0"/>
              <w:keepLines w:val="0"/>
              <w:pageBreakBefore w:val="0"/>
              <w:widowControl w:val="0"/>
              <w:numPr>
                <w:ilvl w:val="-1"/>
                <w:numId w:val="0"/>
              </w:numPr>
              <w:snapToGrid/>
              <w:spacing w:line="560" w:lineRule="exact"/>
              <w:ind w:firstLine="0" w:firstLineChars="0"/>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auto"/>
                <w:kern w:val="2"/>
                <w:sz w:val="24"/>
                <w:szCs w:val="24"/>
                <w:highlight w:val="none"/>
                <w:lang w:val="en-US" w:eastAsia="zh-CN"/>
              </w:rPr>
              <w:t>2.</w:t>
            </w:r>
            <w:r>
              <w:rPr>
                <w:rFonts w:hint="eastAsia" w:ascii="仿宋_GB2312" w:hAnsi="仿宋_GB2312" w:eastAsia="仿宋_GB2312" w:cs="仿宋_GB2312"/>
                <w:sz w:val="24"/>
                <w:szCs w:val="24"/>
                <w:lang w:val="en-US" w:eastAsia="zh-CN"/>
              </w:rPr>
              <w:t>团队人员设置及管理</w:t>
            </w:r>
            <w:r>
              <w:rPr>
                <w:rFonts w:hint="eastAsia" w:ascii="仿宋_GB2312" w:hAnsi="仿宋_GB2312" w:eastAsia="仿宋_GB2312" w:cs="仿宋_GB2312"/>
                <w:sz w:val="24"/>
                <w:szCs w:val="24"/>
              </w:rPr>
              <w:t>方案</w:t>
            </w:r>
            <w:r>
              <w:rPr>
                <w:rFonts w:hint="eastAsia" w:ascii="仿宋_GB2312" w:hAnsi="仿宋_GB2312" w:eastAsia="仿宋_GB2312" w:cs="仿宋_GB2312"/>
                <w:sz w:val="24"/>
                <w:szCs w:val="24"/>
                <w:lang w:eastAsia="zh-CN"/>
              </w:rPr>
              <w:t>；</w:t>
            </w:r>
          </w:p>
          <w:p>
            <w:pPr>
              <w:keepNext w:val="0"/>
              <w:keepLines w:val="0"/>
              <w:pageBreakBefore w:val="0"/>
              <w:widowControl w:val="0"/>
              <w:numPr>
                <w:ilvl w:val="-1"/>
                <w:numId w:val="0"/>
              </w:numPr>
              <w:snapToGrid/>
              <w:spacing w:line="560" w:lineRule="exact"/>
              <w:ind w:firstLine="0" w:firstLineChars="0"/>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lang w:val="en-US" w:eastAsia="zh-CN"/>
              </w:rPr>
              <w:t>3.</w:t>
            </w:r>
            <w:r>
              <w:rPr>
                <w:rFonts w:hint="eastAsia" w:ascii="仿宋_GB2312" w:hAnsi="仿宋_GB2312" w:eastAsia="仿宋_GB2312" w:cs="仿宋_GB2312"/>
                <w:sz w:val="24"/>
              </w:rPr>
              <w:t>设计流程与审核</w:t>
            </w:r>
            <w:r>
              <w:rPr>
                <w:rFonts w:hint="eastAsia" w:ascii="仿宋_GB2312" w:hAnsi="仿宋_GB2312" w:eastAsia="仿宋_GB2312" w:cs="仿宋_GB2312"/>
                <w:sz w:val="24"/>
                <w:lang w:eastAsia="zh-CN"/>
              </w:rPr>
              <w:t>方案；</w:t>
            </w:r>
          </w:p>
          <w:p>
            <w:pPr>
              <w:keepNext w:val="0"/>
              <w:keepLines w:val="0"/>
              <w:pageBreakBefore w:val="0"/>
              <w:widowControl w:val="0"/>
              <w:numPr>
                <w:ilvl w:val="0"/>
                <w:numId w:val="0"/>
              </w:numPr>
              <w:snapToGrid/>
              <w:spacing w:line="560" w:lineRule="exact"/>
              <w:ind w:firstLine="0" w:firstLineChars="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kern w:val="2"/>
                <w:sz w:val="24"/>
                <w:szCs w:val="24"/>
                <w:lang w:val="en-US" w:eastAsia="zh-CN"/>
              </w:rPr>
              <w:t>4.产品运输、配送方案。</w:t>
            </w:r>
          </w:p>
          <w:p>
            <w:pPr>
              <w:topLinePunct/>
              <w:snapToGrid w:val="0"/>
              <w:spacing w:line="560" w:lineRule="exact"/>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bCs/>
                <w:sz w:val="24"/>
                <w:szCs w:val="24"/>
              </w:rPr>
              <w:t>（二）</w:t>
            </w:r>
            <w:r>
              <w:rPr>
                <w:rFonts w:hint="eastAsia" w:ascii="仿宋_GB2312" w:hAnsi="仿宋_GB2312" w:eastAsia="仿宋_GB2312" w:cs="仿宋_GB2312"/>
                <w:b/>
                <w:bCs/>
                <w:sz w:val="24"/>
                <w:szCs w:val="24"/>
                <w:lang w:eastAsia="zh-CN"/>
              </w:rPr>
              <w:t>评审</w:t>
            </w:r>
            <w:r>
              <w:rPr>
                <w:rFonts w:hint="eastAsia" w:ascii="仿宋_GB2312" w:hAnsi="仿宋_GB2312" w:eastAsia="仿宋_GB2312" w:cs="仿宋_GB2312"/>
                <w:b/>
                <w:bCs/>
                <w:sz w:val="24"/>
                <w:szCs w:val="24"/>
              </w:rPr>
              <w:t>依据：</w:t>
            </w:r>
            <w:r>
              <w:rPr>
                <w:rFonts w:hint="eastAsia" w:ascii="仿宋_GB2312" w:hAnsi="仿宋_GB2312" w:eastAsia="仿宋_GB2312" w:cs="仿宋_GB2312"/>
                <w:color w:val="auto"/>
                <w:sz w:val="24"/>
                <w:szCs w:val="24"/>
                <w:highlight w:val="none"/>
                <w:lang w:val="en-US" w:eastAsia="zh-CN"/>
              </w:rPr>
              <w:br w:type="textWrapping"/>
            </w:r>
            <w:r>
              <w:rPr>
                <w:rFonts w:hint="eastAsia" w:ascii="仿宋_GB2312" w:hAnsi="仿宋_GB2312" w:eastAsia="仿宋_GB2312" w:cs="仿宋_GB2312"/>
                <w:color w:val="auto"/>
                <w:sz w:val="24"/>
                <w:szCs w:val="24"/>
                <w:highlight w:val="none"/>
                <w:lang w:val="en-US" w:eastAsia="zh-CN"/>
              </w:rPr>
              <w:t>满足以上任意一项要求得5分，最高得20分，在此基础上，</w:t>
            </w:r>
            <w:r>
              <w:rPr>
                <w:rFonts w:hint="eastAsia" w:ascii="仿宋_GB2312" w:hAnsi="仿宋_GB2312" w:eastAsia="仿宋_GB2312" w:cs="仿宋_GB2312"/>
                <w:sz w:val="24"/>
                <w:szCs w:val="24"/>
              </w:rPr>
              <w:t>根据供应商的具体响应内容按照量化的评审因素指标进一步评审，设定优、良、中、差四个评分标准：</w:t>
            </w:r>
          </w:p>
          <w:p>
            <w:pPr>
              <w:keepNext w:val="0"/>
              <w:keepLines w:val="0"/>
              <w:pageBreakBefore w:val="0"/>
              <w:widowControl w:val="0"/>
              <w:snapToGrid/>
              <w:spacing w:line="560" w:lineRule="exact"/>
              <w:ind w:firstLine="0" w:firstLineChars="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1.优：项目实施方案内容全面、具体、针对性强、科学合理、可操作性强得15分；</w:t>
            </w:r>
          </w:p>
          <w:p>
            <w:pPr>
              <w:keepNext w:val="0"/>
              <w:keepLines w:val="0"/>
              <w:pageBreakBefore w:val="0"/>
              <w:widowControl w:val="0"/>
              <w:snapToGrid/>
              <w:spacing w:line="560" w:lineRule="exact"/>
              <w:ind w:firstLine="0" w:firstLineChars="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2.良：项目实施方案内容较丰富、较具体、针对性较强、较科学合理、可操作性较强得11分；</w:t>
            </w:r>
          </w:p>
          <w:p>
            <w:pPr>
              <w:keepNext w:val="0"/>
              <w:keepLines w:val="0"/>
              <w:pageBreakBefore w:val="0"/>
              <w:widowControl w:val="0"/>
              <w:snapToGrid/>
              <w:spacing w:line="560" w:lineRule="exact"/>
              <w:ind w:firstLine="0" w:firstLineChars="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3.中：项目实施方案内容、针对性、可操作性一般得7分；</w:t>
            </w:r>
          </w:p>
          <w:p>
            <w:pPr>
              <w:keepNext w:val="0"/>
              <w:keepLines w:val="0"/>
              <w:pageBreakBefore w:val="0"/>
              <w:widowControl w:val="0"/>
              <w:snapToGrid/>
              <w:spacing w:line="560" w:lineRule="exact"/>
              <w:ind w:firstLine="0" w:firstLineChars="0"/>
              <w:jc w:val="left"/>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color w:val="auto"/>
                <w:sz w:val="24"/>
                <w:szCs w:val="24"/>
                <w:highlight w:val="none"/>
                <w:lang w:val="en-US" w:eastAsia="zh-CN"/>
              </w:rPr>
              <w:t>4.差：其他情况不得分。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trPr>
        <w:tc>
          <w:tcPr>
            <w:tcW w:w="1118" w:type="dxa"/>
            <w:vMerge w:val="continue"/>
            <w:noWrap w:val="0"/>
            <w:vAlign w:val="top"/>
          </w:tcPr>
          <w:p>
            <w:pPr>
              <w:spacing w:line="560" w:lineRule="exact"/>
              <w:jc w:val="left"/>
              <w:rPr>
                <w:rFonts w:hint="eastAsia" w:ascii="仿宋_GB2312" w:hAnsi="仿宋_GB2312" w:eastAsia="仿宋_GB2312" w:cs="仿宋_GB2312"/>
                <w:sz w:val="24"/>
                <w:szCs w:val="24"/>
                <w:vertAlign w:val="baseline"/>
                <w:lang w:val="en-US" w:eastAsia="zh-CN"/>
              </w:rPr>
            </w:pPr>
          </w:p>
        </w:tc>
        <w:tc>
          <w:tcPr>
            <w:tcW w:w="1170" w:type="dxa"/>
            <w:noWrap w:val="0"/>
            <w:vAlign w:val="center"/>
          </w:tcPr>
          <w:p>
            <w:pPr>
              <w:spacing w:line="560" w:lineRule="exact"/>
              <w:jc w:val="left"/>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项目重点难点分析、应对措施及相关的合理化建议</w:t>
            </w:r>
          </w:p>
          <w:p>
            <w:pPr>
              <w:spacing w:line="560" w:lineRule="exact"/>
              <w:jc w:val="left"/>
              <w:rPr>
                <w:rFonts w:hint="eastAsia"/>
                <w:lang w:eastAsia="zh-CN"/>
              </w:rPr>
            </w:pPr>
            <w:r>
              <w:rPr>
                <w:rFonts w:hint="eastAsia" w:ascii="仿宋_GB2312" w:hAnsi="仿宋_GB2312" w:eastAsia="仿宋_GB2312" w:cs="仿宋_GB2312"/>
                <w:sz w:val="24"/>
                <w:szCs w:val="24"/>
                <w:vertAlign w:val="baseline"/>
                <w:lang w:val="en-US" w:eastAsia="zh-CN"/>
              </w:rPr>
              <w:t>（</w:t>
            </w:r>
            <w:r>
              <w:rPr>
                <w:rFonts w:hint="eastAsia" w:ascii="仿宋_GB2312" w:hAnsi="仿宋_GB2312" w:eastAsia="仿宋_GB2312" w:cs="仿宋_GB2312"/>
                <w:color w:val="auto"/>
                <w:sz w:val="24"/>
                <w:szCs w:val="24"/>
                <w:highlight w:val="none"/>
                <w:lang w:val="en-US" w:eastAsia="zh-CN"/>
              </w:rPr>
              <w:t>20</w:t>
            </w:r>
            <w:r>
              <w:rPr>
                <w:rFonts w:hint="eastAsia" w:ascii="仿宋_GB2312" w:hAnsi="仿宋_GB2312" w:eastAsia="仿宋_GB2312" w:cs="仿宋_GB2312"/>
                <w:sz w:val="24"/>
                <w:szCs w:val="24"/>
                <w:vertAlign w:val="baseline"/>
                <w:lang w:val="en-US" w:eastAsia="zh-CN"/>
              </w:rPr>
              <w:t>分）</w:t>
            </w:r>
          </w:p>
        </w:tc>
        <w:tc>
          <w:tcPr>
            <w:tcW w:w="6143" w:type="dxa"/>
            <w:noWrap w:val="0"/>
            <w:vAlign w:val="top"/>
          </w:tcPr>
          <w:p>
            <w:pPr>
              <w:topLinePunct/>
              <w:snapToGrid w:val="0"/>
              <w:spacing w:line="560" w:lineRule="exact"/>
              <w:jc w:val="left"/>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（一）</w:t>
            </w:r>
            <w:r>
              <w:rPr>
                <w:rFonts w:hint="eastAsia" w:ascii="仿宋_GB2312" w:hAnsi="仿宋_GB2312" w:eastAsia="仿宋_GB2312" w:cs="仿宋_GB2312"/>
                <w:b/>
                <w:bCs/>
                <w:sz w:val="24"/>
                <w:szCs w:val="24"/>
                <w:lang w:eastAsia="zh-CN"/>
              </w:rPr>
              <w:t>评审</w:t>
            </w:r>
            <w:r>
              <w:rPr>
                <w:rFonts w:hint="eastAsia" w:ascii="仿宋_GB2312" w:hAnsi="仿宋_GB2312" w:eastAsia="仿宋_GB2312" w:cs="仿宋_GB2312"/>
                <w:b/>
                <w:bCs/>
                <w:sz w:val="24"/>
                <w:szCs w:val="24"/>
              </w:rPr>
              <w:t>内容：</w:t>
            </w:r>
          </w:p>
          <w:p>
            <w:pPr>
              <w:keepNext w:val="0"/>
              <w:keepLines w:val="0"/>
              <w:pageBreakBefore w:val="0"/>
              <w:widowControl w:val="0"/>
              <w:snapToGrid/>
              <w:spacing w:line="560" w:lineRule="exact"/>
              <w:ind w:firstLine="0" w:firstLineChars="0"/>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考察对项目工作量、可完成度等重点难点问题的识别和分析能力，并就识别出的重点难点提出可行的应对措施及合理化建议。</w:t>
            </w:r>
          </w:p>
          <w:p>
            <w:pPr>
              <w:keepNext w:val="0"/>
              <w:keepLines w:val="0"/>
              <w:pageBreakBefore w:val="0"/>
              <w:widowControl w:val="0"/>
              <w:snapToGrid/>
              <w:spacing w:line="560" w:lineRule="exact"/>
              <w:ind w:firstLine="0" w:firstLineChars="0"/>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包括但不限于以下内容：</w:t>
            </w:r>
          </w:p>
          <w:p>
            <w:pPr>
              <w:keepNext w:val="0"/>
              <w:keepLines w:val="0"/>
              <w:pageBreakBefore w:val="0"/>
              <w:widowControl w:val="0"/>
              <w:snapToGrid/>
              <w:spacing w:line="560" w:lineRule="exact"/>
              <w:ind w:firstLine="0" w:firstLineChars="0"/>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1.详细阐述本项目存在的重难点问题；</w:t>
            </w:r>
          </w:p>
          <w:p>
            <w:pPr>
              <w:keepNext w:val="0"/>
              <w:keepLines w:val="0"/>
              <w:pageBreakBefore w:val="0"/>
              <w:widowControl w:val="0"/>
              <w:snapToGrid/>
              <w:spacing w:line="560" w:lineRule="exact"/>
              <w:ind w:firstLine="0" w:firstLineChars="0"/>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2.根据项目重难点，详细阐述对应的应对措施；</w:t>
            </w:r>
          </w:p>
          <w:p>
            <w:pPr>
              <w:keepNext w:val="0"/>
              <w:keepLines w:val="0"/>
              <w:pageBreakBefore w:val="0"/>
              <w:widowControl w:val="0"/>
              <w:snapToGrid/>
              <w:spacing w:line="560" w:lineRule="exact"/>
              <w:ind w:firstLine="0" w:firstLineChars="0"/>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3.向招标方提出项目实施具体建议。</w:t>
            </w:r>
          </w:p>
          <w:p>
            <w:pPr>
              <w:keepNext w:val="0"/>
              <w:keepLines w:val="0"/>
              <w:pageBreakBefore w:val="0"/>
              <w:widowControl w:val="0"/>
              <w:snapToGrid/>
              <w:spacing w:line="560" w:lineRule="exact"/>
              <w:ind w:firstLine="0" w:firstLineChars="0"/>
              <w:jc w:val="left"/>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（二）</w:t>
            </w:r>
            <w:r>
              <w:rPr>
                <w:rFonts w:hint="eastAsia" w:ascii="仿宋_GB2312" w:hAnsi="仿宋_GB2312" w:eastAsia="仿宋_GB2312" w:cs="仿宋_GB2312"/>
                <w:b/>
                <w:bCs/>
                <w:sz w:val="24"/>
                <w:szCs w:val="24"/>
                <w:lang w:eastAsia="zh-CN"/>
              </w:rPr>
              <w:t>评审</w:t>
            </w:r>
            <w:r>
              <w:rPr>
                <w:rFonts w:hint="eastAsia" w:ascii="仿宋_GB2312" w:hAnsi="仿宋_GB2312" w:eastAsia="仿宋_GB2312" w:cs="仿宋_GB2312"/>
                <w:b/>
                <w:bCs/>
                <w:sz w:val="24"/>
                <w:szCs w:val="24"/>
              </w:rPr>
              <w:t>依据：</w:t>
            </w:r>
          </w:p>
          <w:p>
            <w:pPr>
              <w:keepNext w:val="0"/>
              <w:keepLines w:val="0"/>
              <w:pageBreakBefore w:val="0"/>
              <w:widowControl w:val="0"/>
              <w:snapToGrid/>
              <w:spacing w:line="560" w:lineRule="exact"/>
              <w:ind w:firstLine="0" w:firstLineChars="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满足以上任意一项要求得4分，最高得12分，在此基础上，</w:t>
            </w:r>
            <w:r>
              <w:rPr>
                <w:rFonts w:hint="eastAsia" w:ascii="仿宋_GB2312" w:hAnsi="仿宋_GB2312" w:eastAsia="仿宋_GB2312" w:cs="仿宋_GB2312"/>
                <w:sz w:val="24"/>
                <w:szCs w:val="24"/>
              </w:rPr>
              <w:t>根据供应商的具体响应内容按照量化的评审因素指标进一步评审，设定优、良、中、差四个评分标准：</w:t>
            </w:r>
          </w:p>
          <w:p>
            <w:pPr>
              <w:spacing w:line="560"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优：以上项目重点难点分析、应对措施及相关的合理化建议的三点内容全面具体、针对性强、可操作性强，加</w:t>
            </w:r>
            <w:r>
              <w:rPr>
                <w:rFonts w:hint="eastAsia" w:ascii="仿宋_GB2312" w:hAnsi="仿宋_GB2312" w:eastAsia="仿宋_GB2312" w:cs="仿宋_GB2312"/>
                <w:color w:val="auto"/>
                <w:sz w:val="24"/>
                <w:szCs w:val="24"/>
                <w:highlight w:val="none"/>
                <w:lang w:val="en-US" w:eastAsia="zh-CN"/>
              </w:rPr>
              <w:t>8</w:t>
            </w:r>
            <w:r>
              <w:rPr>
                <w:rFonts w:hint="eastAsia" w:ascii="仿宋_GB2312" w:hAnsi="仿宋_GB2312" w:eastAsia="仿宋_GB2312" w:cs="仿宋_GB2312"/>
                <w:sz w:val="24"/>
                <w:szCs w:val="24"/>
              </w:rPr>
              <w:t>分；</w:t>
            </w:r>
          </w:p>
          <w:p>
            <w:pPr>
              <w:spacing w:line="560"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良：以上项目重点难点分析、应对措施及相关的合理化建议的三点内容较</w:t>
            </w:r>
            <w:r>
              <w:rPr>
                <w:rFonts w:hint="eastAsia" w:ascii="仿宋_GB2312" w:hAnsi="仿宋_GB2312" w:eastAsia="仿宋_GB2312" w:cs="仿宋_GB2312"/>
                <w:sz w:val="24"/>
                <w:szCs w:val="24"/>
                <w:lang w:eastAsia="zh-CN"/>
              </w:rPr>
              <w:t>丰富</w:t>
            </w:r>
            <w:r>
              <w:rPr>
                <w:rFonts w:hint="eastAsia" w:ascii="仿宋_GB2312" w:hAnsi="仿宋_GB2312" w:eastAsia="仿宋_GB2312" w:cs="仿宋_GB2312"/>
                <w:sz w:val="24"/>
                <w:szCs w:val="24"/>
              </w:rPr>
              <w:t>、针对性较强、可操作性较强，加</w:t>
            </w:r>
            <w:r>
              <w:rPr>
                <w:rFonts w:hint="eastAsia" w:ascii="仿宋_GB2312" w:hAnsi="仿宋_GB2312" w:eastAsia="仿宋_GB2312" w:cs="仿宋_GB2312"/>
                <w:color w:val="auto"/>
                <w:sz w:val="24"/>
                <w:szCs w:val="24"/>
                <w:highlight w:val="none"/>
                <w:lang w:val="en-US" w:eastAsia="zh-CN"/>
              </w:rPr>
              <w:t>6</w:t>
            </w:r>
            <w:r>
              <w:rPr>
                <w:rFonts w:hint="eastAsia" w:ascii="仿宋_GB2312" w:hAnsi="仿宋_GB2312" w:eastAsia="仿宋_GB2312" w:cs="仿宋_GB2312"/>
                <w:sz w:val="24"/>
                <w:szCs w:val="24"/>
              </w:rPr>
              <w:t>分；</w:t>
            </w:r>
          </w:p>
          <w:p>
            <w:pPr>
              <w:spacing w:line="560"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中：以上项目重点难点分析、应对措施及相关的合理化建议的三点内容完整性、针对性、可操作性均一般，加</w:t>
            </w:r>
            <w:r>
              <w:rPr>
                <w:rFonts w:hint="eastAsia" w:ascii="仿宋_GB2312" w:hAnsi="仿宋_GB2312" w:eastAsia="仿宋_GB2312" w:cs="仿宋_GB2312"/>
                <w:color w:val="auto"/>
                <w:sz w:val="24"/>
                <w:szCs w:val="24"/>
                <w:highlight w:val="none"/>
                <w:lang w:val="en-US" w:eastAsia="zh-CN"/>
              </w:rPr>
              <w:t>4</w:t>
            </w:r>
            <w:r>
              <w:rPr>
                <w:rFonts w:hint="eastAsia" w:ascii="仿宋_GB2312" w:hAnsi="仿宋_GB2312" w:eastAsia="仿宋_GB2312" w:cs="仿宋_GB2312"/>
                <w:sz w:val="24"/>
                <w:szCs w:val="24"/>
              </w:rPr>
              <w:t>分；</w:t>
            </w:r>
          </w:p>
          <w:p>
            <w:pPr>
              <w:keepNext w:val="0"/>
              <w:keepLines w:val="0"/>
              <w:pageBreakBefore w:val="0"/>
              <w:widowControl w:val="0"/>
              <w:snapToGrid/>
              <w:spacing w:line="560" w:lineRule="exact"/>
              <w:ind w:firstLine="0" w:firstLineChars="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差：</w:t>
            </w:r>
            <w:r>
              <w:rPr>
                <w:rFonts w:hint="eastAsia" w:ascii="仿宋_GB2312" w:hAnsi="仿宋_GB2312" w:eastAsia="仿宋_GB2312" w:cs="仿宋_GB2312"/>
                <w:sz w:val="24"/>
                <w:szCs w:val="24"/>
                <w:lang w:eastAsia="zh-CN"/>
              </w:rPr>
              <w:t>其他情况</w:t>
            </w:r>
            <w:r>
              <w:rPr>
                <w:rFonts w:hint="eastAsia" w:ascii="仿宋_GB2312" w:hAnsi="仿宋_GB2312" w:eastAsia="仿宋_GB2312" w:cs="仿宋_GB2312"/>
                <w:color w:val="auto"/>
                <w:sz w:val="24"/>
                <w:szCs w:val="24"/>
                <w:highlight w:val="none"/>
                <w:lang w:val="en-US" w:eastAsia="zh-CN"/>
              </w:rPr>
              <w:t>不得分。</w:t>
            </w:r>
          </w:p>
        </w:tc>
      </w:tr>
    </w:tbl>
    <w:p>
      <w:pPr>
        <w:pStyle w:val="18"/>
        <w:spacing w:line="560" w:lineRule="exact"/>
        <w:ind w:firstLine="640" w:firstLineChars="200"/>
        <w:rPr>
          <w:rFonts w:hint="eastAsia" w:ascii="方正黑体_GBK" w:hAnsi="方正黑体_GBK" w:eastAsia="方正黑体_GBK" w:cs="方正黑体_GBK"/>
          <w:b w:val="0"/>
          <w:bCs/>
          <w:color w:val="000000"/>
          <w:sz w:val="32"/>
          <w:szCs w:val="32"/>
          <w:lang w:eastAsia="zh-CN"/>
        </w:rPr>
      </w:pPr>
      <w:r>
        <w:rPr>
          <w:rFonts w:hint="eastAsia" w:ascii="方正黑体_GBK" w:hAnsi="方正黑体_GBK" w:eastAsia="方正黑体_GBK" w:cs="方正黑体_GBK"/>
          <w:b w:val="0"/>
          <w:bCs/>
          <w:color w:val="000000"/>
          <w:sz w:val="32"/>
          <w:szCs w:val="32"/>
          <w:lang w:eastAsia="zh-CN"/>
        </w:rPr>
        <w:t>八、</w:t>
      </w:r>
      <w:r>
        <w:rPr>
          <w:rFonts w:hint="eastAsia" w:ascii="方正黑体_GBK" w:hAnsi="方正黑体_GBK" w:eastAsia="方正黑体_GBK" w:cs="方正黑体_GBK"/>
          <w:b w:val="0"/>
          <w:bCs/>
          <w:color w:val="000000"/>
          <w:sz w:val="32"/>
          <w:szCs w:val="32"/>
        </w:rPr>
        <w:t>供应商提供资料清单</w:t>
      </w:r>
      <w:r>
        <w:rPr>
          <w:rFonts w:hint="eastAsia" w:ascii="方正黑体_GBK" w:hAnsi="方正黑体_GBK" w:eastAsia="方正黑体_GBK" w:cs="方正黑体_GBK"/>
          <w:b/>
          <w:bCs w:val="0"/>
          <w:color w:val="auto"/>
          <w:sz w:val="32"/>
          <w:szCs w:val="32"/>
          <w:lang w:eastAsia="zh-CN"/>
        </w:rPr>
        <w:t>（均需每页加盖公章）</w:t>
      </w:r>
    </w:p>
    <w:p>
      <w:pPr>
        <w:spacing w:line="560" w:lineRule="exact"/>
        <w:ind w:firstLine="642" w:firstLineChars="200"/>
        <w:jc w:val="left"/>
        <w:rPr>
          <w:rFonts w:hint="eastAsia" w:ascii="仿宋_GB2312" w:hAnsi="仿宋" w:eastAsia="仿宋_GB2312" w:cs="Times New Roman"/>
          <w:b/>
          <w:bCs/>
          <w:color w:val="FF0000"/>
          <w:sz w:val="32"/>
          <w:highlight w:val="none"/>
        </w:rPr>
      </w:pPr>
      <w:r>
        <w:rPr>
          <w:rFonts w:hint="eastAsia" w:ascii="仿宋_GB2312" w:hAnsi="仿宋" w:eastAsia="仿宋_GB2312" w:cs="Times New Roman"/>
          <w:b/>
          <w:bCs/>
          <w:color w:val="FF0000"/>
          <w:sz w:val="32"/>
          <w:highlight w:val="none"/>
        </w:rPr>
        <w:t>注：以下全部资料每页均须加盖单位公章；第1至5项为投标资格必备资料，第1至5项任意一项资料缺失、未按要求完整提交的，作无效投标处理。</w:t>
      </w:r>
    </w:p>
    <w:p>
      <w:pPr>
        <w:spacing w:line="560" w:lineRule="exact"/>
        <w:ind w:firstLine="640" w:firstLineChars="200"/>
        <w:jc w:val="left"/>
        <w:rPr>
          <w:rFonts w:hint="eastAsia" w:ascii="仿宋_GB2312" w:hAnsi="仿宋" w:eastAsia="仿宋_GB2312" w:cs="Times New Roman"/>
          <w:sz w:val="32"/>
        </w:rPr>
      </w:pPr>
      <w:r>
        <w:rPr>
          <w:rFonts w:hint="eastAsia" w:ascii="仿宋_GB2312" w:hAnsi="仿宋" w:eastAsia="仿宋_GB2312" w:cs="Times New Roman"/>
          <w:sz w:val="32"/>
        </w:rPr>
        <w:t>1.营业执照、事业法人证书、社会团体法人登记证书；</w:t>
      </w:r>
    </w:p>
    <w:p>
      <w:pPr>
        <w:spacing w:line="560" w:lineRule="exact"/>
        <w:ind w:firstLine="640" w:firstLineChars="200"/>
        <w:jc w:val="left"/>
        <w:rPr>
          <w:rFonts w:hint="eastAsia" w:ascii="仿宋_GB2312" w:hAnsi="仿宋" w:eastAsia="仿宋_GB2312" w:cs="Times New Roman"/>
          <w:sz w:val="32"/>
        </w:rPr>
      </w:pPr>
      <w:r>
        <w:rPr>
          <w:rFonts w:hint="eastAsia" w:ascii="仿宋_GB2312" w:hAnsi="仿宋" w:eastAsia="仿宋_GB2312" w:cs="Times New Roman"/>
          <w:sz w:val="32"/>
        </w:rPr>
        <w:t>2.法定代表人身份证复印件；</w:t>
      </w:r>
    </w:p>
    <w:p>
      <w:pPr>
        <w:spacing w:line="560" w:lineRule="exact"/>
        <w:ind w:firstLine="640" w:firstLineChars="200"/>
        <w:jc w:val="left"/>
        <w:rPr>
          <w:rFonts w:hint="eastAsia" w:ascii="仿宋_GB2312" w:hAnsi="仿宋" w:eastAsia="仿宋_GB2312" w:cs="Times New Roman"/>
          <w:sz w:val="32"/>
        </w:rPr>
      </w:pPr>
      <w:r>
        <w:rPr>
          <w:rFonts w:hint="eastAsia" w:ascii="仿宋_GB2312" w:hAnsi="仿宋" w:eastAsia="仿宋_GB2312" w:cs="Times New Roman"/>
          <w:sz w:val="32"/>
        </w:rPr>
        <w:t>3.项目报价表（需按格式提供）；</w:t>
      </w:r>
    </w:p>
    <w:p>
      <w:pPr>
        <w:spacing w:line="560" w:lineRule="exact"/>
        <w:ind w:firstLine="640" w:firstLineChars="200"/>
        <w:jc w:val="left"/>
        <w:rPr>
          <w:rFonts w:hint="eastAsia" w:ascii="仿宋_GB2312" w:hAnsi="仿宋" w:eastAsia="仿宋_GB2312" w:cs="Times New Roman"/>
          <w:sz w:val="32"/>
        </w:rPr>
      </w:pPr>
      <w:r>
        <w:rPr>
          <w:rFonts w:hint="eastAsia" w:ascii="仿宋_GB2312" w:hAnsi="仿宋" w:eastAsia="仿宋_GB2312" w:cs="Times New Roman"/>
          <w:sz w:val="32"/>
        </w:rPr>
        <w:t>4.诚信承诺书（详见附件1）；</w:t>
      </w:r>
    </w:p>
    <w:p>
      <w:pPr>
        <w:spacing w:line="560" w:lineRule="exact"/>
        <w:ind w:firstLine="640" w:firstLineChars="200"/>
        <w:jc w:val="left"/>
        <w:rPr>
          <w:rFonts w:hint="eastAsia" w:ascii="仿宋_GB2312" w:hAnsi="仿宋" w:eastAsia="仿宋_GB2312" w:cs="Times New Roman"/>
          <w:sz w:val="32"/>
        </w:rPr>
      </w:pPr>
      <w:r>
        <w:rPr>
          <w:rFonts w:hint="eastAsia" w:ascii="仿宋_GB2312" w:hAnsi="仿宋" w:eastAsia="仿宋_GB2312" w:cs="Times New Roman"/>
          <w:sz w:val="32"/>
        </w:rPr>
        <w:t>5.填写《供应商基本情况表》（加盖单位公章，详见附件2），并完整提交表格列明的供应商相关人员近三个月社保缴纳证明；法定代表人社保缴纳单位与本单位不一致的，需一并提供对应社保凭证，法定代表人已退休的应出具加盖公章的情况说明；当月社保凭证暂无法出具的，社保材料可整体往前顺延一个月；成立未满3个月的新设企业，可提交加盖公章的情况说明或其他有效佐证材料。投标人未按要求完整提供对应人员社保材料的，按无效投标处理。</w:t>
      </w:r>
    </w:p>
    <w:p>
      <w:pPr>
        <w:spacing w:line="560" w:lineRule="exact"/>
        <w:ind w:firstLine="640" w:firstLineChars="200"/>
        <w:jc w:val="left"/>
        <w:rPr>
          <w:rFonts w:hint="eastAsia" w:ascii="仿宋_GB2312" w:hAnsi="仿宋" w:eastAsia="仿宋_GB2312" w:cs="Times New Roman"/>
          <w:sz w:val="32"/>
        </w:rPr>
      </w:pPr>
      <w:r>
        <w:rPr>
          <w:rFonts w:hint="eastAsia" w:ascii="仿宋_GB2312" w:hAnsi="仿宋" w:eastAsia="仿宋_GB2312" w:cs="Times New Roman"/>
          <w:sz w:val="32"/>
        </w:rPr>
        <w:t>6.评分规则所需资料（同类业绩证明、方案等）。</w:t>
      </w:r>
    </w:p>
    <w:p>
      <w:pPr>
        <w:pStyle w:val="8"/>
        <w:spacing w:after="0" w:line="560" w:lineRule="exact"/>
        <w:ind w:left="0" w:leftChars="0" w:right="0" w:rightChars="0" w:firstLine="640"/>
        <w:jc w:val="left"/>
        <w:rPr>
          <w:rFonts w:hint="eastAsia" w:ascii="方正黑体_GBK" w:hAnsi="方正黑体_GBK" w:eastAsia="方正黑体_GBK" w:cs="方正黑体_GBK"/>
          <w:bCs/>
          <w:color w:val="000000"/>
          <w:sz w:val="32"/>
          <w:szCs w:val="32"/>
          <w:lang w:val="en-US" w:eastAsia="zh-CN"/>
        </w:rPr>
      </w:pPr>
      <w:r>
        <w:rPr>
          <w:rFonts w:hint="eastAsia" w:ascii="方正黑体_GBK" w:hAnsi="方正黑体_GBK" w:eastAsia="方正黑体_GBK" w:cs="方正黑体_GBK"/>
          <w:bCs/>
          <w:color w:val="000000"/>
          <w:sz w:val="32"/>
          <w:szCs w:val="32"/>
          <w:lang w:val="en-US" w:eastAsia="zh-CN"/>
        </w:rPr>
        <w:t>九、其他注意事项</w:t>
      </w:r>
    </w:p>
    <w:p>
      <w:pPr>
        <w:keepNext w:val="0"/>
        <w:keepLines w:val="0"/>
        <w:widowControl/>
        <w:suppressLineNumbers w:val="0"/>
        <w:spacing w:line="560" w:lineRule="exact"/>
        <w:ind w:firstLine="640" w:firstLineChars="200"/>
        <w:jc w:val="left"/>
        <w:rPr>
          <w:rFonts w:hint="eastAsia" w:ascii="仿宋_GB2312" w:hAnsi="仿宋" w:eastAsia="仿宋_GB2312" w:cs="Times New Roman"/>
          <w:kern w:val="2"/>
          <w:sz w:val="32"/>
          <w:szCs w:val="24"/>
          <w:lang w:val="en-US" w:eastAsia="zh-CN" w:bidi="ar-SA"/>
        </w:rPr>
      </w:pPr>
      <w:r>
        <w:rPr>
          <w:rFonts w:hint="eastAsia" w:ascii="仿宋_GB2312" w:hAnsi="仿宋" w:eastAsia="仿宋_GB2312" w:cs="Times New Roman"/>
          <w:sz w:val="32"/>
          <w:lang w:val="en-US" w:eastAsia="zh-CN"/>
        </w:rPr>
        <w:t>1.供应商需</w:t>
      </w:r>
      <w:r>
        <w:rPr>
          <w:rFonts w:hint="default" w:ascii="仿宋_GB2312" w:hAnsi="仿宋" w:eastAsia="仿宋_GB2312" w:cs="Times New Roman"/>
          <w:sz w:val="32"/>
          <w:lang w:val="en-US" w:eastAsia="zh-CN"/>
        </w:rPr>
        <w:t>深圳政府采购自行采购系统</w:t>
      </w:r>
      <w:r>
        <w:rPr>
          <w:rFonts w:hint="eastAsia" w:ascii="仿宋_GB2312" w:hAnsi="仿宋" w:eastAsia="仿宋_GB2312" w:cs="Times New Roman"/>
          <w:kern w:val="2"/>
          <w:sz w:val="32"/>
          <w:szCs w:val="24"/>
          <w:lang w:val="en-US" w:eastAsia="zh-CN" w:bidi="ar-SA"/>
        </w:rPr>
        <w:t>完成供应商注册（网址：https://zxcg.szggzy.com/home/index.html），请于本项目投标截止时间前完成注册，否则如中标/成交，可能影响采购结果的发布。</w:t>
      </w:r>
    </w:p>
    <w:p>
      <w:pPr>
        <w:pStyle w:val="8"/>
        <w:spacing w:after="0" w:line="560" w:lineRule="exact"/>
        <w:ind w:left="0" w:leftChars="0" w:right="0" w:rightChars="0" w:firstLine="640" w:firstLineChars="200"/>
        <w:jc w:val="left"/>
        <w:rPr>
          <w:rFonts w:hint="default" w:ascii="仿宋_GB2312" w:hAnsi="仿宋" w:eastAsia="仿宋_GB2312" w:cs="Times New Roman"/>
          <w:sz w:val="32"/>
          <w:lang w:val="en-US" w:eastAsia="zh-CN"/>
        </w:rPr>
      </w:pPr>
      <w:r>
        <w:rPr>
          <w:rFonts w:hint="eastAsia" w:ascii="仿宋_GB2312" w:hAnsi="仿宋" w:eastAsia="仿宋_GB2312" w:cs="Times New Roman"/>
          <w:sz w:val="32"/>
          <w:lang w:val="en-US" w:eastAsia="zh-CN"/>
        </w:rPr>
        <w:t>2.</w:t>
      </w:r>
      <w:r>
        <w:rPr>
          <w:rFonts w:hint="eastAsia" w:ascii="仿宋_GB2312" w:hAnsi="仿宋" w:eastAsia="仿宋_GB2312" w:cs="Times New Roman"/>
          <w:sz w:val="32"/>
        </w:rPr>
        <w:t>供应商需</w:t>
      </w:r>
      <w:r>
        <w:rPr>
          <w:rFonts w:hint="eastAsia" w:ascii="仿宋_GB2312" w:hAnsi="仿宋" w:eastAsia="仿宋_GB2312" w:cs="Times New Roman"/>
          <w:sz w:val="32"/>
          <w:lang w:val="en-US" w:eastAsia="zh-CN"/>
        </w:rPr>
        <w:t>以</w:t>
      </w:r>
      <w:r>
        <w:rPr>
          <w:rFonts w:hint="eastAsia" w:ascii="仿宋_GB2312" w:hAnsi="仿宋" w:eastAsia="仿宋_GB2312" w:cs="Times New Roman"/>
          <w:sz w:val="32"/>
        </w:rPr>
        <w:t>邮寄</w:t>
      </w:r>
      <w:r>
        <w:rPr>
          <w:rFonts w:hint="eastAsia" w:ascii="仿宋_GB2312" w:hAnsi="仿宋" w:eastAsia="仿宋_GB2312" w:cs="Times New Roman"/>
          <w:sz w:val="32"/>
          <w:lang w:val="en-US" w:eastAsia="zh-CN"/>
        </w:rPr>
        <w:t>方式提供</w:t>
      </w:r>
      <w:r>
        <w:rPr>
          <w:rFonts w:hint="eastAsia" w:ascii="仿宋_GB2312" w:hAnsi="仿宋" w:eastAsia="仿宋_GB2312" w:cs="Times New Roman"/>
          <w:color w:val="auto"/>
          <w:sz w:val="32"/>
          <w:highlight w:val="none"/>
          <w:lang w:val="en-US" w:eastAsia="zh-CN"/>
        </w:rPr>
        <w:t>5</w:t>
      </w:r>
      <w:r>
        <w:rPr>
          <w:rFonts w:hint="eastAsia" w:ascii="仿宋_GB2312" w:hAnsi="仿宋" w:eastAsia="仿宋_GB2312" w:cs="Times New Roman"/>
          <w:sz w:val="32"/>
        </w:rPr>
        <w:t>份密封纸质版投标资料至本单位</w:t>
      </w:r>
      <w:r>
        <w:rPr>
          <w:rFonts w:hint="eastAsia" w:ascii="仿宋_GB2312" w:hAnsi="仿宋" w:eastAsia="仿宋_GB2312" w:cs="Times New Roman"/>
          <w:sz w:val="32"/>
          <w:lang w:eastAsia="zh-CN"/>
        </w:rPr>
        <w:t>，</w:t>
      </w:r>
      <w:r>
        <w:rPr>
          <w:rFonts w:hint="eastAsia" w:ascii="仿宋_GB2312" w:hAnsi="仿宋" w:eastAsia="仿宋_GB2312" w:cs="Times New Roman"/>
          <w:sz w:val="32"/>
          <w:lang w:val="en-US" w:eastAsia="zh-CN"/>
        </w:rPr>
        <w:t>并在封面备注“龙华文旅年度重大节点视觉设计制作项目</w:t>
      </w:r>
      <w:r>
        <w:rPr>
          <w:rFonts w:hint="eastAsia" w:ascii="仿宋_GB2312" w:hAnsi="仿宋_GB2312" w:eastAsia="仿宋_GB2312" w:cs="仿宋_GB2312"/>
          <w:color w:val="000000"/>
          <w:kern w:val="0"/>
          <w:sz w:val="32"/>
          <w:szCs w:val="32"/>
          <w:lang w:val="en-US" w:eastAsia="zh-CN"/>
        </w:rPr>
        <w:t>+公司全称+日期+联系人+联系方式”。</w:t>
      </w:r>
    </w:p>
    <w:p>
      <w:pPr>
        <w:pStyle w:val="8"/>
        <w:spacing w:after="0" w:line="560" w:lineRule="exact"/>
        <w:ind w:left="0" w:leftChars="0" w:right="0" w:rightChars="0" w:firstLine="640" w:firstLineChars="200"/>
        <w:jc w:val="left"/>
        <w:rPr>
          <w:rFonts w:ascii="仿宋_GB2312" w:hAnsi="仿宋" w:eastAsia="仿宋_GB2312" w:cs="Times New Roman"/>
          <w:sz w:val="32"/>
        </w:rPr>
      </w:pPr>
      <w:r>
        <w:rPr>
          <w:rFonts w:hint="eastAsia" w:ascii="仿宋_GB2312" w:hAnsi="仿宋" w:eastAsia="仿宋_GB2312" w:cs="Times New Roman"/>
          <w:sz w:val="32"/>
        </w:rPr>
        <w:t>地址：</w:t>
      </w:r>
      <w:bookmarkStart w:id="1" w:name="OLE_LINK5"/>
      <w:r>
        <w:rPr>
          <w:rFonts w:hint="eastAsia" w:ascii="仿宋_GB2312" w:hAnsi="仿宋" w:eastAsia="仿宋_GB2312" w:cs="Times New Roman"/>
          <w:sz w:val="32"/>
        </w:rPr>
        <w:t>深圳市龙华区</w:t>
      </w:r>
      <w:r>
        <w:rPr>
          <w:rFonts w:hint="eastAsia" w:ascii="仿宋_GB2312" w:hAnsi="仿宋" w:eastAsia="仿宋_GB2312" w:cs="Times New Roman"/>
          <w:sz w:val="32"/>
          <w:lang w:val="en-US" w:eastAsia="zh-CN"/>
        </w:rPr>
        <w:t>龙华街道</w:t>
      </w:r>
      <w:r>
        <w:rPr>
          <w:rFonts w:hint="eastAsia" w:ascii="仿宋_GB2312" w:hAnsi="仿宋" w:eastAsia="仿宋_GB2312" w:cs="Times New Roman"/>
          <w:sz w:val="32"/>
        </w:rPr>
        <w:t>富康行政</w:t>
      </w:r>
      <w:r>
        <w:rPr>
          <w:rFonts w:hint="eastAsia" w:ascii="仿宋_GB2312" w:hAnsi="仿宋" w:eastAsia="仿宋_GB2312" w:cs="Times New Roman"/>
          <w:sz w:val="32"/>
          <w:lang w:val="en-US" w:eastAsia="zh-CN"/>
        </w:rPr>
        <w:t>服务</w:t>
      </w:r>
      <w:r>
        <w:rPr>
          <w:rFonts w:hint="eastAsia" w:ascii="仿宋_GB2312" w:hAnsi="仿宋" w:eastAsia="仿宋_GB2312" w:cs="Times New Roman"/>
          <w:sz w:val="32"/>
        </w:rPr>
        <w:t>办公区</w:t>
      </w:r>
      <w:bookmarkEnd w:id="1"/>
    </w:p>
    <w:p>
      <w:pPr>
        <w:pStyle w:val="19"/>
        <w:spacing w:line="560" w:lineRule="exact"/>
        <w:rPr>
          <w:rFonts w:ascii="仿宋_GB2312" w:hAnsi="仿宋" w:eastAsia="仿宋_GB2312" w:cs="Times New Roman"/>
          <w:sz w:val="32"/>
        </w:rPr>
      </w:pPr>
      <w:r>
        <w:rPr>
          <w:rFonts w:hint="eastAsia" w:ascii="仿宋_GB2312" w:hAnsi="仿宋" w:eastAsia="仿宋_GB2312" w:cs="Times New Roman"/>
          <w:sz w:val="32"/>
        </w:rPr>
        <w:t>收件人：吴先生</w:t>
      </w:r>
    </w:p>
    <w:p>
      <w:pPr>
        <w:spacing w:line="560" w:lineRule="exact"/>
        <w:ind w:firstLine="640" w:firstLineChars="200"/>
        <w:jc w:val="left"/>
        <w:rPr>
          <w:rFonts w:hint="default" w:ascii="仿宋_GB2312" w:hAnsi="仿宋" w:eastAsia="仿宋_GB2312" w:cs="Times New Roman"/>
          <w:sz w:val="32"/>
          <w:szCs w:val="22"/>
          <w:lang w:val="en-US"/>
        </w:rPr>
      </w:pPr>
      <w:r>
        <w:rPr>
          <w:rFonts w:hint="eastAsia" w:ascii="仿宋_GB2312" w:hAnsi="仿宋" w:eastAsia="仿宋_GB2312" w:cs="Times New Roman"/>
          <w:sz w:val="32"/>
        </w:rPr>
        <w:t>联系方式</w:t>
      </w:r>
      <w:r>
        <w:rPr>
          <w:rFonts w:hint="eastAsia" w:ascii="仿宋_GB2312" w:hAnsi="仿宋" w:eastAsia="仿宋_GB2312" w:cs="Times New Roman"/>
          <w:sz w:val="32"/>
          <w:lang w:eastAsia="zh-CN"/>
        </w:rPr>
        <w:t>：</w:t>
      </w:r>
      <w:r>
        <w:rPr>
          <w:rFonts w:hint="eastAsia" w:ascii="仿宋_GB2312" w:hAnsi="仿宋" w:eastAsia="仿宋_GB2312" w:cs="Times New Roman"/>
          <w:sz w:val="32"/>
          <w:szCs w:val="22"/>
        </w:rPr>
        <w:t>0755-23338</w:t>
      </w:r>
      <w:r>
        <w:rPr>
          <w:rFonts w:hint="default" w:ascii="仿宋_GB2312" w:hAnsi="仿宋" w:eastAsia="仿宋_GB2312" w:cs="Times New Roman"/>
          <w:sz w:val="32"/>
          <w:szCs w:val="22"/>
          <w:lang w:val="en-US"/>
        </w:rPr>
        <w:t>032</w:t>
      </w:r>
    </w:p>
    <w:p>
      <w:pPr>
        <w:pStyle w:val="19"/>
        <w:spacing w:line="560" w:lineRule="exact"/>
        <w:ind w:firstLine="0" w:firstLineChars="0"/>
        <w:rPr>
          <w:rFonts w:hint="default" w:ascii="黑体" w:hAnsi="黑体" w:eastAsia="黑体" w:cs="黑体"/>
          <w:color w:val="000000"/>
          <w:sz w:val="32"/>
          <w:szCs w:val="32"/>
          <w:lang w:val="en-US" w:eastAsia="zh-CN"/>
        </w:rPr>
      </w:pPr>
      <w:r>
        <w:rPr>
          <w:rFonts w:ascii="仿宋_GB2312" w:hAnsi="仿宋" w:eastAsia="仿宋_GB2312" w:cs="Times New Roman"/>
          <w:sz w:val="32"/>
        </w:rPr>
        <w:br w:type="page"/>
      </w:r>
      <w:r>
        <w:rPr>
          <w:rFonts w:hint="eastAsia" w:ascii="黑体" w:hAnsi="黑体" w:eastAsia="黑体" w:cs="黑体"/>
          <w:color w:val="000000"/>
          <w:sz w:val="32"/>
          <w:szCs w:val="32"/>
          <w:lang w:eastAsia="zh-CN"/>
        </w:rPr>
        <w:t>附件</w:t>
      </w:r>
      <w:r>
        <w:rPr>
          <w:rFonts w:hint="eastAsia" w:ascii="黑体" w:hAnsi="黑体" w:eastAsia="黑体" w:cs="黑体"/>
          <w:color w:val="000000"/>
          <w:sz w:val="32"/>
          <w:szCs w:val="32"/>
          <w:lang w:val="en-US" w:eastAsia="zh-CN"/>
        </w:rPr>
        <w:t>1</w:t>
      </w:r>
    </w:p>
    <w:p>
      <w:pPr>
        <w:pStyle w:val="5"/>
        <w:numPr>
          <w:ilvl w:val="0"/>
          <w:numId w:val="0"/>
        </w:numPr>
        <w:jc w:val="center"/>
        <w:outlineLvl w:val="3"/>
        <w:rPr>
          <w:rFonts w:hint="eastAsia" w:ascii="黑体" w:eastAsia="黑体"/>
          <w:b w:val="0"/>
          <w:color w:val="auto"/>
          <w:kern w:val="0"/>
          <w:sz w:val="24"/>
          <w:highlight w:val="none"/>
          <w:lang w:eastAsia="zh-CN"/>
        </w:rPr>
      </w:pPr>
      <w:r>
        <w:rPr>
          <w:rFonts w:hint="eastAsia" w:ascii="黑体"/>
          <w:b w:val="0"/>
          <w:color w:val="auto"/>
          <w:kern w:val="0"/>
          <w:sz w:val="24"/>
          <w:highlight w:val="none"/>
          <w:lang w:eastAsia="zh-CN"/>
        </w:rPr>
        <w:t>诚信承诺书</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olor w:val="auto"/>
          <w:sz w:val="21"/>
          <w:szCs w:val="21"/>
          <w:highlight w:val="none"/>
        </w:rPr>
      </w:pPr>
      <w:r>
        <w:rPr>
          <w:rFonts w:hint="eastAsia" w:ascii="宋体" w:hAnsi="宋体"/>
          <w:color w:val="auto"/>
          <w:sz w:val="21"/>
          <w:szCs w:val="21"/>
          <w:highlight w:val="none"/>
        </w:rPr>
        <w:t>致：</w:t>
      </w:r>
      <w:r>
        <w:rPr>
          <w:rFonts w:hint="eastAsia" w:ascii="宋体" w:hAnsi="宋体"/>
          <w:color w:val="auto"/>
          <w:sz w:val="21"/>
          <w:szCs w:val="21"/>
          <w:highlight w:val="none"/>
          <w:u w:val="single"/>
        </w:rPr>
        <w:t>深圳市龙华区文化广电旅游体育局</w:t>
      </w:r>
    </w:p>
    <w:p>
      <w:pPr>
        <w:keepNext w:val="0"/>
        <w:keepLines w:val="0"/>
        <w:pageBreakBefore w:val="0"/>
        <w:widowControl w:val="0"/>
        <w:kinsoku/>
        <w:wordWrap/>
        <w:overflowPunct/>
        <w:topLinePunct w:val="0"/>
        <w:autoSpaceDE/>
        <w:autoSpaceDN/>
        <w:bidi w:val="0"/>
        <w:adjustRightInd/>
        <w:snapToGrid/>
        <w:spacing w:line="400" w:lineRule="exact"/>
        <w:ind w:right="-815"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我单位承诺：</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1.我单位参与本项目所投标（响应）的货物、工程或服务，不存在侵犯知识产权的情况。</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2.我单位参与本项目</w:t>
      </w:r>
      <w:r>
        <w:rPr>
          <w:rFonts w:hint="eastAsia"/>
          <w:color w:val="auto"/>
          <w:sz w:val="21"/>
          <w:szCs w:val="21"/>
          <w:highlight w:val="none"/>
        </w:rPr>
        <w:t>政府采购活动时不存在被有关部门禁止参与政府采购活动且在有效期内的情况。</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3.我单位具备《中华人民共和国政府采购法》第二十二条第一款规定的六项条件。</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4.我单位</w:t>
      </w:r>
      <w:r>
        <w:rPr>
          <w:rFonts w:hint="eastAsia"/>
          <w:color w:val="auto"/>
          <w:sz w:val="21"/>
          <w:szCs w:val="21"/>
          <w:highlight w:val="none"/>
        </w:rPr>
        <w:t>未被列入失信被执行人、</w:t>
      </w:r>
      <w:r>
        <w:rPr>
          <w:rFonts w:hint="eastAsia"/>
          <w:color w:val="auto"/>
          <w:sz w:val="21"/>
          <w:szCs w:val="21"/>
          <w:highlight w:val="none"/>
          <w:lang w:eastAsia="zh-CN"/>
        </w:rPr>
        <w:t>重大税收违法案件当事人名单</w:t>
      </w:r>
      <w:r>
        <w:rPr>
          <w:rFonts w:hint="eastAsia"/>
          <w:color w:val="auto"/>
          <w:sz w:val="21"/>
          <w:szCs w:val="21"/>
          <w:highlight w:val="none"/>
        </w:rPr>
        <w:t>、政府采购严重违法失信行为记录名单。</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5.我单位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lang w:val="en-US" w:eastAsia="zh-CN"/>
        </w:rPr>
        <w:t>6</w:t>
      </w:r>
      <w:r>
        <w:rPr>
          <w:rFonts w:hint="eastAsia" w:ascii="宋体" w:hAnsi="宋体"/>
          <w:color w:val="auto"/>
          <w:sz w:val="21"/>
          <w:szCs w:val="21"/>
          <w:highlight w:val="none"/>
        </w:rPr>
        <w:t>.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bCs/>
          <w:color w:val="auto"/>
          <w:sz w:val="21"/>
          <w:szCs w:val="21"/>
          <w:highlight w:val="none"/>
        </w:rPr>
      </w:pPr>
      <w:r>
        <w:rPr>
          <w:rFonts w:hint="eastAsia" w:ascii="宋体" w:hAnsi="宋体"/>
          <w:bCs/>
          <w:color w:val="auto"/>
          <w:sz w:val="21"/>
          <w:szCs w:val="21"/>
          <w:highlight w:val="none"/>
          <w:lang w:val="en-US" w:eastAsia="zh-CN"/>
        </w:rPr>
        <w:t>7</w:t>
      </w:r>
      <w:r>
        <w:rPr>
          <w:rFonts w:hint="eastAsia" w:ascii="宋体" w:hAnsi="宋体"/>
          <w:bCs/>
          <w:color w:val="auto"/>
          <w:sz w:val="21"/>
          <w:szCs w:val="21"/>
          <w:highlight w:val="none"/>
        </w:rPr>
        <w:t>.我单位保证，符合《中华人民共和国政府采购法实施条例》第十八条规定，与其他投标供应商不存在单位负责人为同一人或者存在直接控股、管理关系；未对本次采购项目提供整体设计、规范编制或者项目管理、监理、检测等服务的情形。</w:t>
      </w:r>
    </w:p>
    <w:p>
      <w:pPr>
        <w:keepNext w:val="0"/>
        <w:keepLines w:val="0"/>
        <w:pageBreakBefore w:val="0"/>
        <w:widowControl w:val="0"/>
        <w:kinsoku/>
        <w:wordWrap/>
        <w:overflowPunct/>
        <w:topLinePunct w:val="0"/>
        <w:autoSpaceDE/>
        <w:autoSpaceDN/>
        <w:bidi w:val="0"/>
        <w:adjustRightInd/>
        <w:snapToGrid/>
        <w:spacing w:line="400" w:lineRule="exact"/>
        <w:ind w:firstLine="421" w:firstLineChars="200"/>
        <w:textAlignment w:val="auto"/>
        <w:rPr>
          <w:rFonts w:ascii="宋体" w:hAnsi="宋体"/>
          <w:color w:val="auto"/>
          <w:sz w:val="21"/>
          <w:szCs w:val="21"/>
          <w:highlight w:val="none"/>
        </w:rPr>
      </w:pPr>
      <w:r>
        <w:rPr>
          <w:rFonts w:hint="eastAsia" w:ascii="宋体" w:hAnsi="宋体"/>
          <w:b/>
          <w:color w:val="auto"/>
          <w:sz w:val="21"/>
          <w:szCs w:val="21"/>
          <w:highlight w:val="none"/>
          <w:lang w:val="en-US" w:eastAsia="zh-CN"/>
        </w:rPr>
        <w:t>8</w:t>
      </w:r>
      <w:r>
        <w:rPr>
          <w:rFonts w:hint="eastAsia" w:ascii="宋体" w:hAnsi="宋体"/>
          <w:b/>
          <w:color w:val="auto"/>
          <w:sz w:val="21"/>
          <w:szCs w:val="21"/>
          <w:highlight w:val="none"/>
        </w:rPr>
        <w:t>.我单位清楚，如存在违反投标承诺行为情节严重的，将根据《深圳市财政局关于印发&lt;深圳市财政局政府采购供应商信用信息管理办法&gt;的通知》，依法被列入失信信息。</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以上承诺，如有违反，愿依照国家相关法律法规处理，并承担由此给采购人带来的损失。</w:t>
      </w:r>
    </w:p>
    <w:p>
      <w:pPr>
        <w:keepNext w:val="0"/>
        <w:keepLines w:val="0"/>
        <w:pageBreakBefore w:val="0"/>
        <w:widowControl w:val="0"/>
        <w:kinsoku/>
        <w:wordWrap/>
        <w:overflowPunct/>
        <w:topLinePunct w:val="0"/>
        <w:autoSpaceDE/>
        <w:autoSpaceDN/>
        <w:bidi w:val="0"/>
        <w:adjustRightInd/>
        <w:snapToGrid/>
        <w:spacing w:before="60" w:beforeLines="25" w:after="60" w:afterLines="25" w:line="400" w:lineRule="exact"/>
        <w:ind w:firstLine="5460" w:firstLineChars="2600"/>
        <w:textAlignment w:val="auto"/>
        <w:rPr>
          <w:rFonts w:hint="eastAsia" w:ascii="宋体" w:hAnsi="宋体"/>
          <w:color w:val="auto"/>
          <w:sz w:val="21"/>
          <w:szCs w:val="21"/>
          <w:highlight w:val="none"/>
        </w:rPr>
      </w:pPr>
    </w:p>
    <w:p>
      <w:pPr>
        <w:keepNext w:val="0"/>
        <w:keepLines w:val="0"/>
        <w:pageBreakBefore w:val="0"/>
        <w:widowControl w:val="0"/>
        <w:kinsoku/>
        <w:wordWrap/>
        <w:overflowPunct/>
        <w:topLinePunct w:val="0"/>
        <w:autoSpaceDE/>
        <w:autoSpaceDN/>
        <w:bidi w:val="0"/>
        <w:adjustRightInd/>
        <w:snapToGrid/>
        <w:spacing w:before="60" w:beforeLines="25" w:after="60" w:afterLines="25" w:line="400" w:lineRule="exact"/>
        <w:ind w:firstLine="5460" w:firstLineChars="2600"/>
        <w:textAlignment w:val="auto"/>
        <w:rPr>
          <w:rFonts w:ascii="宋体" w:hAnsi="宋体"/>
          <w:color w:val="auto"/>
          <w:sz w:val="21"/>
          <w:szCs w:val="21"/>
          <w:highlight w:val="none"/>
        </w:rPr>
      </w:pPr>
      <w:r>
        <w:rPr>
          <w:rFonts w:hint="eastAsia" w:ascii="宋体" w:hAnsi="宋体"/>
          <w:color w:val="auto"/>
          <w:sz w:val="21"/>
          <w:szCs w:val="21"/>
          <w:highlight w:val="none"/>
        </w:rPr>
        <w:t xml:space="preserve">                                    </w:t>
      </w:r>
    </w:p>
    <w:p>
      <w:pPr>
        <w:keepNext w:val="0"/>
        <w:keepLines w:val="0"/>
        <w:pageBreakBefore w:val="0"/>
        <w:widowControl w:val="0"/>
        <w:kinsoku/>
        <w:wordWrap/>
        <w:overflowPunct/>
        <w:topLinePunct w:val="0"/>
        <w:autoSpaceDE/>
        <w:autoSpaceDN/>
        <w:bidi w:val="0"/>
        <w:adjustRightInd/>
        <w:snapToGrid/>
        <w:spacing w:before="60" w:beforeLines="25" w:after="60" w:afterLines="25" w:line="400" w:lineRule="exact"/>
        <w:ind w:firstLine="5460" w:firstLineChars="2600"/>
        <w:textAlignment w:val="auto"/>
        <w:rPr>
          <w:color w:val="auto"/>
          <w:sz w:val="21"/>
          <w:szCs w:val="21"/>
          <w:highlight w:val="none"/>
        </w:rPr>
      </w:pPr>
      <w:r>
        <w:rPr>
          <w:rFonts w:hint="eastAsia"/>
          <w:color w:val="auto"/>
          <w:sz w:val="21"/>
          <w:szCs w:val="21"/>
          <w:highlight w:val="none"/>
        </w:rPr>
        <w:t>投标人：</w:t>
      </w:r>
      <w:r>
        <w:rPr>
          <w:rFonts w:hint="eastAsia"/>
          <w:color w:val="auto"/>
          <w:sz w:val="21"/>
          <w:szCs w:val="21"/>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645"/>
        <w:textAlignment w:val="auto"/>
        <w:rPr>
          <w:rFonts w:ascii="宋体" w:hAnsi="宋体"/>
          <w:color w:val="auto"/>
          <w:sz w:val="21"/>
          <w:szCs w:val="21"/>
          <w:highlight w:val="none"/>
        </w:rPr>
      </w:pPr>
      <w:r>
        <w:rPr>
          <w:rFonts w:hint="eastAsia" w:ascii="宋体" w:hAnsi="宋体"/>
          <w:color w:val="auto"/>
          <w:sz w:val="21"/>
          <w:szCs w:val="21"/>
          <w:highlight w:val="none"/>
        </w:rPr>
        <w:t xml:space="preserve">                                              日期：</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年</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月</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日</w:t>
      </w:r>
    </w:p>
    <w:p>
      <w:pPr>
        <w:rPr>
          <w:rFonts w:hint="default"/>
          <w:lang w:val="en-US" w:eastAsia="zh-CN"/>
        </w:rPr>
      </w:pPr>
    </w:p>
    <w:p>
      <w:pPr>
        <w:pStyle w:val="3"/>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pStyle w:val="19"/>
        <w:spacing w:line="560" w:lineRule="exact"/>
        <w:ind w:firstLine="0" w:firstLineChars="0"/>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rPr>
        <w:t>附件</w:t>
      </w:r>
      <w:r>
        <w:rPr>
          <w:rFonts w:hint="eastAsia" w:ascii="黑体" w:hAnsi="黑体" w:eastAsia="黑体" w:cs="黑体"/>
          <w:color w:val="000000"/>
          <w:sz w:val="32"/>
          <w:szCs w:val="32"/>
          <w:lang w:val="en-US" w:eastAsia="zh-CN"/>
        </w:rPr>
        <w:t>2</w:t>
      </w:r>
    </w:p>
    <w:p>
      <w:pPr>
        <w:pStyle w:val="12"/>
        <w:snapToGrid w:val="0"/>
        <w:spacing w:before="0" w:after="0" w:line="560" w:lineRule="exact"/>
        <w:rPr>
          <w:rFonts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供应商基本情况表</w:t>
      </w:r>
    </w:p>
    <w:p>
      <w:pPr>
        <w:spacing w:line="560" w:lineRule="exact"/>
        <w:jc w:val="left"/>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填表单位：（加盖单位公章）</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t xml:space="preserve">   填表日期：    年   月   日</w:t>
      </w:r>
    </w:p>
    <w:tbl>
      <w:tblPr>
        <w:tblStyle w:val="14"/>
        <w:tblW w:w="10545" w:type="dxa"/>
        <w:tblInd w:w="-9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4"/>
        <w:gridCol w:w="1062"/>
        <w:gridCol w:w="1283"/>
        <w:gridCol w:w="1270"/>
        <w:gridCol w:w="791"/>
        <w:gridCol w:w="1200"/>
        <w:gridCol w:w="1500"/>
        <w:gridCol w:w="21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356" w:type="dxa"/>
            <w:gridSpan w:val="2"/>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采购人</w:t>
            </w:r>
          </w:p>
        </w:tc>
        <w:tc>
          <w:tcPr>
            <w:tcW w:w="2553" w:type="dxa"/>
            <w:gridSpan w:val="2"/>
            <w:noWrap w:val="0"/>
            <w:vAlign w:val="center"/>
          </w:tcPr>
          <w:p>
            <w:pPr>
              <w:jc w:val="left"/>
              <w:rPr>
                <w:rFonts w:ascii="方正仿宋_GBK" w:hAnsi="方正仿宋_GBK" w:eastAsia="方正仿宋_GBK" w:cs="方正仿宋_GBK"/>
                <w:sz w:val="24"/>
              </w:rPr>
            </w:pPr>
          </w:p>
        </w:tc>
        <w:tc>
          <w:tcPr>
            <w:tcW w:w="1991" w:type="dxa"/>
            <w:gridSpan w:val="2"/>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项目名称</w:t>
            </w:r>
          </w:p>
        </w:tc>
        <w:tc>
          <w:tcPr>
            <w:tcW w:w="3645" w:type="dxa"/>
            <w:gridSpan w:val="2"/>
            <w:noWrap w:val="0"/>
            <w:vAlign w:val="center"/>
          </w:tcPr>
          <w:p>
            <w:pPr>
              <w:jc w:val="left"/>
              <w:rPr>
                <w:rFonts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6" w:type="dxa"/>
            <w:gridSpan w:val="2"/>
            <w:noWrap w:val="0"/>
            <w:vAlign w:val="center"/>
          </w:tcPr>
          <w:p>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投标（响应）供应商</w:t>
            </w:r>
          </w:p>
        </w:tc>
        <w:tc>
          <w:tcPr>
            <w:tcW w:w="2553" w:type="dxa"/>
            <w:gridSpan w:val="2"/>
            <w:noWrap w:val="0"/>
            <w:vAlign w:val="center"/>
          </w:tcPr>
          <w:p>
            <w:pPr>
              <w:jc w:val="left"/>
              <w:rPr>
                <w:rFonts w:ascii="方正仿宋_GBK" w:hAnsi="方正仿宋_GBK" w:eastAsia="方正仿宋_GBK" w:cs="方正仿宋_GBK"/>
                <w:sz w:val="24"/>
              </w:rPr>
            </w:pPr>
          </w:p>
        </w:tc>
        <w:tc>
          <w:tcPr>
            <w:tcW w:w="1991" w:type="dxa"/>
            <w:gridSpan w:val="2"/>
            <w:noWrap w:val="0"/>
            <w:vAlign w:val="center"/>
          </w:tcPr>
          <w:p>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供应商统一社会信用代码</w:t>
            </w:r>
          </w:p>
        </w:tc>
        <w:tc>
          <w:tcPr>
            <w:tcW w:w="3645" w:type="dxa"/>
            <w:gridSpan w:val="2"/>
            <w:noWrap w:val="0"/>
            <w:vAlign w:val="center"/>
          </w:tcPr>
          <w:p>
            <w:pPr>
              <w:jc w:val="left"/>
              <w:rPr>
                <w:rFonts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0545" w:type="dxa"/>
            <w:gridSpan w:val="8"/>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b/>
                <w:bCs/>
                <w:sz w:val="24"/>
              </w:rPr>
              <w:t>投标（响应）供应商相关人员情况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94" w:type="dxa"/>
            <w:tcBorders>
              <w:bottom w:val="single" w:color="auto" w:sz="4" w:space="0"/>
            </w:tcBorders>
            <w:noWrap w:val="0"/>
            <w:vAlign w:val="center"/>
          </w:tcPr>
          <w:p>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序号</w:t>
            </w:r>
          </w:p>
        </w:tc>
        <w:tc>
          <w:tcPr>
            <w:tcW w:w="2345" w:type="dxa"/>
            <w:gridSpan w:val="2"/>
            <w:tcBorders>
              <w:bottom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职务</w:t>
            </w:r>
          </w:p>
        </w:tc>
        <w:tc>
          <w:tcPr>
            <w:tcW w:w="1270" w:type="dxa"/>
            <w:tcBorders>
              <w:bottom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姓名</w:t>
            </w:r>
          </w:p>
        </w:tc>
        <w:tc>
          <w:tcPr>
            <w:tcW w:w="1991" w:type="dxa"/>
            <w:gridSpan w:val="2"/>
            <w:tcBorders>
              <w:bottom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身份证号码</w:t>
            </w:r>
          </w:p>
        </w:tc>
        <w:tc>
          <w:tcPr>
            <w:tcW w:w="1500" w:type="dxa"/>
            <w:tcBorders>
              <w:bottom w:val="single" w:color="auto" w:sz="4" w:space="0"/>
            </w:tcBorders>
            <w:noWrap w:val="0"/>
            <w:vAlign w:val="center"/>
          </w:tcPr>
          <w:p>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劳动合同</w:t>
            </w:r>
          </w:p>
          <w:p>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关系单位</w:t>
            </w:r>
          </w:p>
        </w:tc>
        <w:tc>
          <w:tcPr>
            <w:tcW w:w="2145" w:type="dxa"/>
            <w:tcBorders>
              <w:bottom w:val="single" w:color="auto" w:sz="4" w:space="0"/>
            </w:tcBorders>
            <w:noWrap w:val="0"/>
            <w:vAlign w:val="center"/>
          </w:tcPr>
          <w:p>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缴纳社会</w:t>
            </w:r>
          </w:p>
          <w:p>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保险单位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trPr>
        <w:tc>
          <w:tcPr>
            <w:tcW w:w="1294" w:type="dxa"/>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1</w:t>
            </w:r>
          </w:p>
        </w:tc>
        <w:tc>
          <w:tcPr>
            <w:tcW w:w="2345"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2"/>
                <w:szCs w:val="22"/>
              </w:rPr>
              <w:t>法定代表人/单位负责人/主要经营负责人</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p>
        </w:tc>
        <w:tc>
          <w:tcPr>
            <w:tcW w:w="2145" w:type="dxa"/>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294" w:type="dxa"/>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2</w:t>
            </w:r>
          </w:p>
        </w:tc>
        <w:tc>
          <w:tcPr>
            <w:tcW w:w="2345"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2"/>
                <w:szCs w:val="22"/>
              </w:rPr>
              <w:t>项目投标授权代表人</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p>
        </w:tc>
        <w:tc>
          <w:tcPr>
            <w:tcW w:w="2145" w:type="dxa"/>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tcBorders>
              <w:top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3</w:t>
            </w:r>
          </w:p>
        </w:tc>
        <w:tc>
          <w:tcPr>
            <w:tcW w:w="2345" w:type="dxa"/>
            <w:gridSpan w:val="2"/>
            <w:tcBorders>
              <w:top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项目负责人</w:t>
            </w:r>
          </w:p>
        </w:tc>
        <w:tc>
          <w:tcPr>
            <w:tcW w:w="1270" w:type="dxa"/>
            <w:tcBorders>
              <w:top w:val="single" w:color="auto" w:sz="4" w:space="0"/>
            </w:tcBorders>
            <w:noWrap w:val="0"/>
            <w:vAlign w:val="center"/>
          </w:tcPr>
          <w:p>
            <w:pPr>
              <w:jc w:val="left"/>
              <w:rPr>
                <w:rFonts w:ascii="方正仿宋_GBK" w:hAnsi="方正仿宋_GBK" w:eastAsia="方正仿宋_GBK" w:cs="方正仿宋_GBK"/>
                <w:sz w:val="24"/>
              </w:rPr>
            </w:pPr>
          </w:p>
        </w:tc>
        <w:tc>
          <w:tcPr>
            <w:tcW w:w="1991" w:type="dxa"/>
            <w:gridSpan w:val="2"/>
            <w:tcBorders>
              <w:top w:val="single" w:color="auto" w:sz="4" w:space="0"/>
            </w:tcBorders>
            <w:noWrap w:val="0"/>
            <w:vAlign w:val="center"/>
          </w:tcPr>
          <w:p>
            <w:pPr>
              <w:jc w:val="left"/>
              <w:rPr>
                <w:rFonts w:ascii="方正仿宋_GBK" w:hAnsi="方正仿宋_GBK" w:eastAsia="方正仿宋_GBK" w:cs="方正仿宋_GBK"/>
                <w:sz w:val="24"/>
              </w:rPr>
            </w:pPr>
          </w:p>
        </w:tc>
        <w:tc>
          <w:tcPr>
            <w:tcW w:w="1500" w:type="dxa"/>
            <w:tcBorders>
              <w:top w:val="single" w:color="auto" w:sz="4" w:space="0"/>
            </w:tcBorders>
            <w:noWrap w:val="0"/>
            <w:vAlign w:val="center"/>
          </w:tcPr>
          <w:p>
            <w:pPr>
              <w:jc w:val="left"/>
              <w:rPr>
                <w:rFonts w:ascii="方正仿宋_GBK" w:hAnsi="方正仿宋_GBK" w:eastAsia="方正仿宋_GBK" w:cs="方正仿宋_GBK"/>
                <w:sz w:val="24"/>
              </w:rPr>
            </w:pPr>
          </w:p>
        </w:tc>
        <w:tc>
          <w:tcPr>
            <w:tcW w:w="2145" w:type="dxa"/>
            <w:tcBorders>
              <w:top w:val="single" w:color="auto" w:sz="4" w:space="0"/>
            </w:tcBorders>
            <w:noWrap w:val="0"/>
            <w:vAlign w:val="center"/>
          </w:tcPr>
          <w:p>
            <w:pPr>
              <w:jc w:val="left"/>
              <w:rPr>
                <w:rFonts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4</w:t>
            </w:r>
          </w:p>
        </w:tc>
        <w:tc>
          <w:tcPr>
            <w:tcW w:w="2345" w:type="dxa"/>
            <w:gridSpan w:val="2"/>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主要技术人员</w:t>
            </w:r>
          </w:p>
        </w:tc>
        <w:tc>
          <w:tcPr>
            <w:tcW w:w="1270" w:type="dxa"/>
            <w:noWrap w:val="0"/>
            <w:vAlign w:val="center"/>
          </w:tcPr>
          <w:p>
            <w:pPr>
              <w:jc w:val="left"/>
              <w:rPr>
                <w:rFonts w:ascii="方正仿宋_GBK" w:hAnsi="方正仿宋_GBK" w:eastAsia="方正仿宋_GBK" w:cs="方正仿宋_GBK"/>
                <w:sz w:val="24"/>
              </w:rPr>
            </w:pPr>
          </w:p>
        </w:tc>
        <w:tc>
          <w:tcPr>
            <w:tcW w:w="1991" w:type="dxa"/>
            <w:gridSpan w:val="2"/>
            <w:noWrap w:val="0"/>
            <w:vAlign w:val="center"/>
          </w:tcPr>
          <w:p>
            <w:pPr>
              <w:jc w:val="left"/>
              <w:rPr>
                <w:rFonts w:ascii="方正仿宋_GBK" w:hAnsi="方正仿宋_GBK" w:eastAsia="方正仿宋_GBK" w:cs="方正仿宋_GBK"/>
                <w:sz w:val="24"/>
              </w:rPr>
            </w:pPr>
          </w:p>
        </w:tc>
        <w:tc>
          <w:tcPr>
            <w:tcW w:w="1500" w:type="dxa"/>
            <w:noWrap w:val="0"/>
            <w:vAlign w:val="center"/>
          </w:tcPr>
          <w:p>
            <w:pPr>
              <w:jc w:val="left"/>
              <w:rPr>
                <w:rFonts w:ascii="方正仿宋_GBK" w:hAnsi="方正仿宋_GBK" w:eastAsia="方正仿宋_GBK" w:cs="方正仿宋_GBK"/>
                <w:sz w:val="24"/>
              </w:rPr>
            </w:pPr>
          </w:p>
        </w:tc>
        <w:tc>
          <w:tcPr>
            <w:tcW w:w="2145" w:type="dxa"/>
            <w:noWrap w:val="0"/>
            <w:vAlign w:val="center"/>
          </w:tcPr>
          <w:p>
            <w:pPr>
              <w:jc w:val="left"/>
              <w:rPr>
                <w:rFonts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5</w:t>
            </w:r>
          </w:p>
        </w:tc>
        <w:tc>
          <w:tcPr>
            <w:tcW w:w="2345" w:type="dxa"/>
            <w:gridSpan w:val="2"/>
            <w:noWrap w:val="0"/>
            <w:vAlign w:val="center"/>
          </w:tcPr>
          <w:p>
            <w:pPr>
              <w:pStyle w:val="6"/>
              <w:snapToGrid w:val="0"/>
              <w:spacing w:line="240" w:lineRule="auto"/>
              <w:ind w:firstLine="0" w:firstLineChars="0"/>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投标文件编制人员</w:t>
            </w:r>
          </w:p>
        </w:tc>
        <w:tc>
          <w:tcPr>
            <w:tcW w:w="1270" w:type="dxa"/>
            <w:noWrap w:val="0"/>
            <w:vAlign w:val="center"/>
          </w:tcPr>
          <w:p>
            <w:pPr>
              <w:jc w:val="left"/>
              <w:rPr>
                <w:rFonts w:ascii="方正仿宋_GBK" w:hAnsi="方正仿宋_GBK" w:eastAsia="方正仿宋_GBK" w:cs="方正仿宋_GBK"/>
                <w:sz w:val="24"/>
              </w:rPr>
            </w:pPr>
          </w:p>
        </w:tc>
        <w:tc>
          <w:tcPr>
            <w:tcW w:w="1991" w:type="dxa"/>
            <w:gridSpan w:val="2"/>
            <w:noWrap w:val="0"/>
            <w:vAlign w:val="center"/>
          </w:tcPr>
          <w:p>
            <w:pPr>
              <w:jc w:val="left"/>
              <w:rPr>
                <w:rFonts w:ascii="方正仿宋_GBK" w:hAnsi="方正仿宋_GBK" w:eastAsia="方正仿宋_GBK" w:cs="方正仿宋_GBK"/>
                <w:sz w:val="24"/>
              </w:rPr>
            </w:pPr>
          </w:p>
        </w:tc>
        <w:tc>
          <w:tcPr>
            <w:tcW w:w="1500" w:type="dxa"/>
            <w:noWrap w:val="0"/>
            <w:vAlign w:val="center"/>
          </w:tcPr>
          <w:p>
            <w:pPr>
              <w:jc w:val="left"/>
              <w:rPr>
                <w:rFonts w:ascii="方正仿宋_GBK" w:hAnsi="方正仿宋_GBK" w:eastAsia="方正仿宋_GBK" w:cs="方正仿宋_GBK"/>
                <w:sz w:val="24"/>
              </w:rPr>
            </w:pPr>
          </w:p>
        </w:tc>
        <w:tc>
          <w:tcPr>
            <w:tcW w:w="2145" w:type="dxa"/>
            <w:noWrap w:val="0"/>
            <w:vAlign w:val="center"/>
          </w:tcPr>
          <w:p>
            <w:pPr>
              <w:jc w:val="left"/>
              <w:rPr>
                <w:rFonts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45" w:type="dxa"/>
            <w:gridSpan w:val="8"/>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b/>
                <w:bCs/>
                <w:sz w:val="24"/>
              </w:rPr>
              <w:t>说明：同一职务有多人担任（如主要技术人员），应分行填写。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0545" w:type="dxa"/>
            <w:gridSpan w:val="8"/>
            <w:noWrap w:val="0"/>
            <w:vAlign w:val="center"/>
          </w:tcPr>
          <w:p>
            <w:pPr>
              <w:jc w:val="left"/>
              <w:rPr>
                <w:rFonts w:ascii="方正仿宋_GBK" w:hAnsi="方正仿宋_GBK" w:eastAsia="方正仿宋_GBK" w:cs="方正仿宋_GBK"/>
                <w:b/>
                <w:bCs/>
                <w:sz w:val="24"/>
              </w:rPr>
            </w:pPr>
            <w:r>
              <w:rPr>
                <w:rFonts w:hint="eastAsia" w:ascii="方正仿宋_GBK" w:hAnsi="方正仿宋_GBK" w:eastAsia="方正仿宋_GBK" w:cs="方正仿宋_GBK"/>
                <w:b/>
                <w:bCs/>
                <w:sz w:val="24"/>
              </w:rPr>
              <w:t>投标（响应）供应商关联关系情况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tcBorders>
              <w:bottom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序号</w:t>
            </w:r>
          </w:p>
        </w:tc>
        <w:tc>
          <w:tcPr>
            <w:tcW w:w="2345" w:type="dxa"/>
            <w:gridSpan w:val="2"/>
            <w:tcBorders>
              <w:bottom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关联关系类型</w:t>
            </w:r>
          </w:p>
        </w:tc>
        <w:tc>
          <w:tcPr>
            <w:tcW w:w="2061" w:type="dxa"/>
            <w:gridSpan w:val="2"/>
            <w:tcBorders>
              <w:bottom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关联主体名称</w:t>
            </w:r>
          </w:p>
        </w:tc>
        <w:tc>
          <w:tcPr>
            <w:tcW w:w="4845" w:type="dxa"/>
            <w:gridSpan w:val="3"/>
            <w:tcBorders>
              <w:bottom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1</w:t>
            </w:r>
          </w:p>
        </w:tc>
        <w:tc>
          <w:tcPr>
            <w:tcW w:w="2345"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控股股东</w:t>
            </w:r>
          </w:p>
        </w:tc>
        <w:tc>
          <w:tcPr>
            <w:tcW w:w="2061"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p>
        </w:tc>
        <w:tc>
          <w:tcPr>
            <w:tcW w:w="4845"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sz w:val="18"/>
                <w:szCs w:val="18"/>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2</w:t>
            </w:r>
          </w:p>
        </w:tc>
        <w:tc>
          <w:tcPr>
            <w:tcW w:w="2345"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管理关系</w:t>
            </w:r>
          </w:p>
        </w:tc>
        <w:tc>
          <w:tcPr>
            <w:tcW w:w="2061"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p>
        </w:tc>
        <w:tc>
          <w:tcPr>
            <w:tcW w:w="4845"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指对投标（响应）供应商不具有出资持股关系，但对其存在管理关系的主体。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45" w:type="dxa"/>
            <w:gridSpan w:val="8"/>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b/>
                <w:bCs/>
                <w:sz w:val="24"/>
              </w:rPr>
              <w:t>说明：同一关联关系类型有多个主体的，应分行填写。</w:t>
            </w:r>
          </w:p>
        </w:tc>
      </w:tr>
    </w:tbl>
    <w:p>
      <w:pPr>
        <w:rPr>
          <w:rFonts w:hint="default"/>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等线 Light">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Times">
    <w:altName w:val="DejaVu Sans"/>
    <w:panose1 w:val="02020603050405020304"/>
    <w:charset w:val="00"/>
    <w:family w:val="roman"/>
    <w:pitch w:val="default"/>
    <w:sig w:usb0="00000000" w:usb1="00000000" w:usb2="00000009" w:usb3="00000000" w:csb0="000001FF" w:csb1="00000000"/>
  </w:font>
  <w:font w:name="等线">
    <w:altName w:val="华文仿宋"/>
    <w:panose1 w:val="02010600030101010101"/>
    <w:charset w:val="86"/>
    <w:family w:val="auto"/>
    <w:pitch w:val="default"/>
    <w:sig w:usb0="00000000" w:usb1="00000000"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CA315F"/>
    <w:multiLevelType w:val="singleLevel"/>
    <w:tmpl w:val="33CA315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376E1AF"/>
    <w:rsid w:val="08EA3C34"/>
    <w:rsid w:val="0E1F23FA"/>
    <w:rsid w:val="11E07B6F"/>
    <w:rsid w:val="156009FD"/>
    <w:rsid w:val="163C3C0C"/>
    <w:rsid w:val="16EB8C75"/>
    <w:rsid w:val="1C387FA6"/>
    <w:rsid w:val="206568E9"/>
    <w:rsid w:val="27027B2E"/>
    <w:rsid w:val="270D16ED"/>
    <w:rsid w:val="27D17500"/>
    <w:rsid w:val="27F4D593"/>
    <w:rsid w:val="28991DCC"/>
    <w:rsid w:val="2A9E72CC"/>
    <w:rsid w:val="2B4E2D46"/>
    <w:rsid w:val="2BF768C0"/>
    <w:rsid w:val="2C027C88"/>
    <w:rsid w:val="2E32343F"/>
    <w:rsid w:val="2FFF7111"/>
    <w:rsid w:val="309317F7"/>
    <w:rsid w:val="328673D6"/>
    <w:rsid w:val="34A22009"/>
    <w:rsid w:val="35C97A69"/>
    <w:rsid w:val="360E0293"/>
    <w:rsid w:val="36B9DE90"/>
    <w:rsid w:val="375021F0"/>
    <w:rsid w:val="37BB58A2"/>
    <w:rsid w:val="3A575643"/>
    <w:rsid w:val="3ADB2718"/>
    <w:rsid w:val="3B334302"/>
    <w:rsid w:val="3BF706E3"/>
    <w:rsid w:val="3D5FDCFC"/>
    <w:rsid w:val="3D89020A"/>
    <w:rsid w:val="3DF6F9AE"/>
    <w:rsid w:val="3E97D9E0"/>
    <w:rsid w:val="3EDF37A9"/>
    <w:rsid w:val="3EFE69D5"/>
    <w:rsid w:val="3F7D16C5"/>
    <w:rsid w:val="3F7F3379"/>
    <w:rsid w:val="40CF0629"/>
    <w:rsid w:val="417E7959"/>
    <w:rsid w:val="42415594"/>
    <w:rsid w:val="428A7C17"/>
    <w:rsid w:val="434E9FD3"/>
    <w:rsid w:val="437028A4"/>
    <w:rsid w:val="47462CC7"/>
    <w:rsid w:val="48A028AB"/>
    <w:rsid w:val="4C46376A"/>
    <w:rsid w:val="4C7B12CE"/>
    <w:rsid w:val="4CF347EA"/>
    <w:rsid w:val="4D0F7FFF"/>
    <w:rsid w:val="4DAF1EFF"/>
    <w:rsid w:val="4EB6312B"/>
    <w:rsid w:val="4F414646"/>
    <w:rsid w:val="4FD6F2F1"/>
    <w:rsid w:val="523C7D0A"/>
    <w:rsid w:val="55C220B3"/>
    <w:rsid w:val="55E71B19"/>
    <w:rsid w:val="5630526E"/>
    <w:rsid w:val="56DF6CEF"/>
    <w:rsid w:val="5BB97AB4"/>
    <w:rsid w:val="5D3C0667"/>
    <w:rsid w:val="5DE61BF3"/>
    <w:rsid w:val="5ECA3D86"/>
    <w:rsid w:val="5F2BE56A"/>
    <w:rsid w:val="5F5F43E2"/>
    <w:rsid w:val="5F933480"/>
    <w:rsid w:val="5FF9B55D"/>
    <w:rsid w:val="603F6A66"/>
    <w:rsid w:val="611F03B9"/>
    <w:rsid w:val="64A70DF2"/>
    <w:rsid w:val="64BE438D"/>
    <w:rsid w:val="66320B8F"/>
    <w:rsid w:val="696E0130"/>
    <w:rsid w:val="697F749B"/>
    <w:rsid w:val="69E421A0"/>
    <w:rsid w:val="6A687275"/>
    <w:rsid w:val="6CBD9397"/>
    <w:rsid w:val="6CFFD566"/>
    <w:rsid w:val="6D1F1741"/>
    <w:rsid w:val="6D24799D"/>
    <w:rsid w:val="6E536BB7"/>
    <w:rsid w:val="6F152DFC"/>
    <w:rsid w:val="6F374316"/>
    <w:rsid w:val="6FC72380"/>
    <w:rsid w:val="6FE6CF1C"/>
    <w:rsid w:val="6FFBB02D"/>
    <w:rsid w:val="6FFBF92A"/>
    <w:rsid w:val="6FFF3210"/>
    <w:rsid w:val="6FFFEFA6"/>
    <w:rsid w:val="708C17E3"/>
    <w:rsid w:val="7232523A"/>
    <w:rsid w:val="73A730C7"/>
    <w:rsid w:val="73FB884D"/>
    <w:rsid w:val="7420296E"/>
    <w:rsid w:val="74695916"/>
    <w:rsid w:val="75047B9A"/>
    <w:rsid w:val="75BBC6C3"/>
    <w:rsid w:val="779BA6ED"/>
    <w:rsid w:val="77F720B8"/>
    <w:rsid w:val="797F9BD6"/>
    <w:rsid w:val="79DD35DB"/>
    <w:rsid w:val="7B5F633E"/>
    <w:rsid w:val="7B8C6B3B"/>
    <w:rsid w:val="7BD3E33C"/>
    <w:rsid w:val="7BE699F4"/>
    <w:rsid w:val="7BF7E217"/>
    <w:rsid w:val="7BFBCD12"/>
    <w:rsid w:val="7BFD330D"/>
    <w:rsid w:val="7BFF154C"/>
    <w:rsid w:val="7D9F3A20"/>
    <w:rsid w:val="7DD39989"/>
    <w:rsid w:val="7DFF958E"/>
    <w:rsid w:val="7E1075B0"/>
    <w:rsid w:val="7E9F479A"/>
    <w:rsid w:val="7EEE7B47"/>
    <w:rsid w:val="7EF71E93"/>
    <w:rsid w:val="7F3E03AF"/>
    <w:rsid w:val="7F6F401B"/>
    <w:rsid w:val="7FBB8900"/>
    <w:rsid w:val="7FD3F7FA"/>
    <w:rsid w:val="7FDADDCD"/>
    <w:rsid w:val="7FDF5948"/>
    <w:rsid w:val="7FEF7F5A"/>
    <w:rsid w:val="7FF5E820"/>
    <w:rsid w:val="7FF74490"/>
    <w:rsid w:val="7FFEECC4"/>
    <w:rsid w:val="87BD3D14"/>
    <w:rsid w:val="8F7D2C7C"/>
    <w:rsid w:val="9EFFBBA7"/>
    <w:rsid w:val="9FF753B3"/>
    <w:rsid w:val="9FFBEEC6"/>
    <w:rsid w:val="ADFC6FBD"/>
    <w:rsid w:val="AFEB3963"/>
    <w:rsid w:val="B6D90589"/>
    <w:rsid w:val="B6DEC6A6"/>
    <w:rsid w:val="B7F9C5CD"/>
    <w:rsid w:val="BA35B6BD"/>
    <w:rsid w:val="BBF78BA2"/>
    <w:rsid w:val="BBFF548B"/>
    <w:rsid w:val="BDBC3A5B"/>
    <w:rsid w:val="CEAEA899"/>
    <w:rsid w:val="D2CE3F2F"/>
    <w:rsid w:val="D36A69B0"/>
    <w:rsid w:val="D5F95192"/>
    <w:rsid w:val="DA9FE009"/>
    <w:rsid w:val="DADFCE23"/>
    <w:rsid w:val="DDB5A003"/>
    <w:rsid w:val="DE9EC0E6"/>
    <w:rsid w:val="DEB7FE68"/>
    <w:rsid w:val="DFFF69F1"/>
    <w:rsid w:val="E2C22F3A"/>
    <w:rsid w:val="E376E1AF"/>
    <w:rsid w:val="E739C22E"/>
    <w:rsid w:val="E77E6E49"/>
    <w:rsid w:val="EBEE48C6"/>
    <w:rsid w:val="EBFF8A67"/>
    <w:rsid w:val="EF7B1446"/>
    <w:rsid w:val="EFDB3774"/>
    <w:rsid w:val="EFF64497"/>
    <w:rsid w:val="F3EF54E1"/>
    <w:rsid w:val="F3FDA4BC"/>
    <w:rsid w:val="F5B6FB8B"/>
    <w:rsid w:val="F6BF16CA"/>
    <w:rsid w:val="F7F32983"/>
    <w:rsid w:val="F9FF7535"/>
    <w:rsid w:val="FAFE7B84"/>
    <w:rsid w:val="FB1E7D21"/>
    <w:rsid w:val="FDAFA9E9"/>
    <w:rsid w:val="FDFDDC21"/>
    <w:rsid w:val="FDFFDEC4"/>
    <w:rsid w:val="FE7304EF"/>
    <w:rsid w:val="FED7614B"/>
    <w:rsid w:val="FEFF1418"/>
    <w:rsid w:val="FEFF4A09"/>
    <w:rsid w:val="FF6EED0A"/>
    <w:rsid w:val="FFB66CC2"/>
    <w:rsid w:val="FFBF20E8"/>
    <w:rsid w:val="FFBFB86A"/>
    <w:rsid w:val="FFEE2DB0"/>
    <w:rsid w:val="FFEF2FC6"/>
    <w:rsid w:val="FFF7BB13"/>
    <w:rsid w:val="FFFAB5FB"/>
    <w:rsid w:val="FFFB3524"/>
    <w:rsid w:val="FFFB8AD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3"/>
    <w:basedOn w:val="5"/>
    <w:next w:val="1"/>
    <w:qFormat/>
    <w:uiPriority w:val="9"/>
    <w:pPr>
      <w:spacing w:before="260" w:after="260" w:line="240" w:lineRule="auto"/>
      <w:outlineLvl w:val="2"/>
    </w:pPr>
    <w:rPr>
      <w:rFonts w:ascii="宋体" w:hAnsi="宋体" w:eastAsia="宋体"/>
      <w:szCs w:val="32"/>
    </w:rPr>
  </w:style>
  <w:style w:type="paragraph" w:styleId="5">
    <w:name w:val="heading 4"/>
    <w:basedOn w:val="1"/>
    <w:next w:val="1"/>
    <w:qFormat/>
    <w:uiPriority w:val="9"/>
    <w:pPr>
      <w:keepNext/>
      <w:keepLines/>
      <w:spacing w:before="280" w:after="290" w:line="376" w:lineRule="auto"/>
      <w:outlineLvl w:val="3"/>
    </w:pPr>
    <w:rPr>
      <w:rFonts w:ascii="Arial" w:hAnsi="Arial" w:eastAsia="黑体"/>
      <w:b/>
      <w:bCs/>
      <w:sz w:val="28"/>
      <w:szCs w:val="28"/>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next w:val="1"/>
    <w:qFormat/>
    <w:uiPriority w:val="0"/>
    <w:pPr>
      <w:spacing w:after="120"/>
    </w:pPr>
  </w:style>
  <w:style w:type="paragraph" w:styleId="6">
    <w:name w:val="Normal Indent"/>
    <w:basedOn w:val="1"/>
    <w:qFormat/>
    <w:uiPriority w:val="0"/>
    <w:pPr>
      <w:ind w:firstLine="420"/>
    </w:pPr>
    <w:rPr>
      <w:szCs w:val="20"/>
    </w:rPr>
  </w:style>
  <w:style w:type="paragraph" w:styleId="7">
    <w:name w:val="annotation text"/>
    <w:basedOn w:val="1"/>
    <w:qFormat/>
    <w:uiPriority w:val="0"/>
    <w:pPr>
      <w:autoSpaceDE w:val="0"/>
      <w:autoSpaceDN w:val="0"/>
      <w:adjustRightInd w:val="0"/>
      <w:jc w:val="left"/>
      <w:textAlignment w:val="baseline"/>
    </w:pPr>
    <w:rPr>
      <w:rFonts w:ascii="宋体"/>
      <w:kern w:val="0"/>
      <w:sz w:val="34"/>
      <w:szCs w:val="20"/>
    </w:rPr>
  </w:style>
  <w:style w:type="paragraph" w:styleId="8">
    <w:name w:val="Block Text"/>
    <w:basedOn w:val="1"/>
    <w:qFormat/>
    <w:uiPriority w:val="0"/>
    <w:pPr>
      <w:tabs>
        <w:tab w:val="left" w:pos="426"/>
      </w:tabs>
      <w:spacing w:after="120"/>
      <w:ind w:left="1440" w:leftChars="700" w:right="1440" w:rightChars="700"/>
    </w:pPr>
  </w:style>
  <w:style w:type="paragraph" w:styleId="9">
    <w:name w:val="Plain Text"/>
    <w:basedOn w:val="1"/>
    <w:unhideWhenUsed/>
    <w:qFormat/>
    <w:uiPriority w:val="99"/>
    <w:rPr>
      <w:rFonts w:ascii="宋体" w:hAnsi="Calibri" w:cs="Courier New"/>
      <w:szCs w:val="21"/>
    </w:rPr>
  </w:style>
  <w:style w:type="paragraph" w:styleId="10">
    <w:name w:val="Body Text 2"/>
    <w:basedOn w:val="1"/>
    <w:qFormat/>
    <w:uiPriority w:val="0"/>
    <w:pPr>
      <w:spacing w:line="360" w:lineRule="auto"/>
    </w:pPr>
    <w:rPr>
      <w:sz w:val="24"/>
    </w:rPr>
  </w:style>
  <w:style w:type="paragraph" w:styleId="11">
    <w:name w:val="Normal (Web)"/>
    <w:basedOn w:val="1"/>
    <w:qFormat/>
    <w:uiPriority w:val="99"/>
    <w:pPr>
      <w:spacing w:before="0" w:beforeAutospacing="1" w:after="0" w:afterAutospacing="1"/>
      <w:ind w:left="0" w:right="0"/>
      <w:jc w:val="left"/>
    </w:pPr>
    <w:rPr>
      <w:kern w:val="0"/>
      <w:sz w:val="24"/>
      <w:lang w:val="en-US" w:eastAsia="zh-CN" w:bidi="ar"/>
    </w:rPr>
  </w:style>
  <w:style w:type="paragraph" w:styleId="12">
    <w:name w:val="Title"/>
    <w:basedOn w:val="1"/>
    <w:next w:val="1"/>
    <w:qFormat/>
    <w:uiPriority w:val="10"/>
    <w:pPr>
      <w:spacing w:before="240" w:after="60"/>
      <w:jc w:val="center"/>
      <w:outlineLvl w:val="0"/>
    </w:pPr>
    <w:rPr>
      <w:rFonts w:ascii="等线 Light" w:hAnsi="等线 Light" w:eastAsia="宋体" w:cs="Times New Roman"/>
      <w:b/>
      <w:bCs/>
      <w:sz w:val="32"/>
      <w:szCs w:val="32"/>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6">
    <w:name w:val="List Paragraph"/>
    <w:basedOn w:val="17"/>
    <w:qFormat/>
    <w:uiPriority w:val="34"/>
    <w:pPr>
      <w:ind w:firstLine="420" w:firstLineChars="200"/>
    </w:pPr>
  </w:style>
  <w:style w:type="paragraph" w:customStyle="1" w:styleId="17">
    <w:name w:val="星耀正文"/>
    <w:basedOn w:val="1"/>
    <w:qFormat/>
    <w:uiPriority w:val="3"/>
    <w:pPr>
      <w:ind w:firstLine="422" w:firstLineChars="200"/>
    </w:pPr>
    <w:rPr>
      <w:rFonts w:ascii="宋体" w:hAnsi="宋体" w:eastAsia="仿宋_GB2312"/>
      <w:bCs/>
    </w:rPr>
  </w:style>
  <w:style w:type="paragraph" w:customStyle="1" w:styleId="18">
    <w:name w:val="USE 1"/>
    <w:basedOn w:val="1"/>
    <w:qFormat/>
    <w:uiPriority w:val="0"/>
    <w:pPr>
      <w:spacing w:line="200" w:lineRule="atLeast"/>
      <w:jc w:val="left"/>
    </w:pPr>
    <w:rPr>
      <w:rFonts w:ascii="宋体" w:hAnsi="宋体"/>
      <w:b/>
      <w:sz w:val="24"/>
      <w:szCs w:val="28"/>
    </w:rPr>
  </w:style>
  <w:style w:type="paragraph" w:customStyle="1" w:styleId="19">
    <w:name w:val="l正文"/>
    <w:basedOn w:val="1"/>
    <w:qFormat/>
    <w:uiPriority w:val="0"/>
    <w:pPr>
      <w:spacing w:line="300" w:lineRule="auto"/>
      <w:ind w:firstLine="200" w:firstLineChars="200"/>
      <w:jc w:val="left"/>
    </w:pPr>
    <w:rPr>
      <w:rFonts w:ascii="楷体_GB2312" w:hAnsi="Times" w:eastAsia="楷体_GB2312" w:cs="等线"/>
      <w:sz w:val="24"/>
    </w:rPr>
  </w:style>
  <w:style w:type="paragraph" w:customStyle="1" w:styleId="20">
    <w:name w:val="_Style 3"/>
    <w:basedOn w:val="1"/>
    <w:next w:val="1"/>
    <w:qFormat/>
    <w:uiPriority w:val="99"/>
    <w:pPr>
      <w:spacing w:line="360" w:lineRule="auto"/>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5604</Words>
  <Characters>5802</Characters>
  <Lines>0</Lines>
  <Paragraphs>0</Paragraphs>
  <TotalTime>35</TotalTime>
  <ScaleCrop>false</ScaleCrop>
  <LinksUpToDate>false</LinksUpToDate>
  <CharactersWithSpaces>5928</CharactersWithSpaces>
  <Application>WPS Office_11.8.2.12128_F1E327BC-269C-435d-A152-05C5408002CA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2025-04-23T17:16:00Z</dcterms:created>
  <dc:creator>yang</dc:creator>
  <cp:lastModifiedBy>lxy</cp:lastModifiedBy>
  <dcterms:modified xsi:type="dcterms:W3CDTF">2026-10-20T17:23:51Z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2052-11.8.2.12128</vt:lpwstr>
  </property>
  <property fmtid="{D5CDD505-2E9C-101B-9397-08002B2CF9AE}" pid="3" name="ICV">
    <vt:lpwstr>72ED9643FCE879261839A16969D423C8</vt:lpwstr>
  </property>
  <property fmtid="{D5CDD505-2E9C-101B-9397-08002B2CF9AE}" pid="4" name="KSOTemplateDocerSaveRecord">
    <vt:lpwstr>eyJoZGlkIjoiOGU5YTE0MGQ1Nzc0NDg0MDkwYzRmZmI1M2MxMDZjNDUiLCJ1c2VySWQiOiI3NjI1MDM3NTIifQ==</vt:lpwstr>
  </property>
</Properties>
</file>