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00" w:lineRule="exact"/>
        <w:ind w:left="0" w:leftChars="0" w:firstLine="0" w:firstLineChars="0"/>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p>
    <w:p>
      <w:pPr>
        <w:pStyle w:val="2"/>
        <w:rPr>
          <w:rFonts w:hint="eastAsia"/>
          <w:lang w:eastAsia="zh-CN"/>
        </w:rPr>
      </w:pPr>
    </w:p>
    <w:p>
      <w:pPr>
        <w:spacing w:line="560" w:lineRule="exact"/>
        <w:ind w:firstLine="0" w:firstLineChars="0"/>
        <w:jc w:val="center"/>
        <w:rPr>
          <w:rFonts w:hint="eastAsia" w:ascii="宋体" w:hAnsi="宋体" w:cs="Arial"/>
          <w:b/>
          <w:bCs/>
          <w:sz w:val="44"/>
          <w:szCs w:val="44"/>
          <w:lang w:eastAsia="zh-CN"/>
        </w:rPr>
      </w:pPr>
      <w:r>
        <w:rPr>
          <w:rFonts w:hint="eastAsia" w:ascii="宋体" w:hAnsi="宋体" w:cs="Arial"/>
          <w:b/>
          <w:bCs/>
          <w:sz w:val="44"/>
          <w:szCs w:val="44"/>
          <w:lang w:eastAsia="zh-CN"/>
        </w:rPr>
        <w:t>2025-2026年度龙华区有关项目涉及油气长输管道安全评价报告、施工作业申请资料</w:t>
      </w:r>
    </w:p>
    <w:p>
      <w:pPr>
        <w:spacing w:line="560" w:lineRule="exact"/>
        <w:ind w:firstLine="0" w:firstLineChars="0"/>
        <w:jc w:val="center"/>
        <w:rPr>
          <w:rFonts w:hint="eastAsia" w:ascii="宋体" w:hAnsi="宋体" w:cs="Arial"/>
          <w:b/>
          <w:bCs/>
          <w:sz w:val="44"/>
          <w:szCs w:val="44"/>
          <w:lang w:val="en-US" w:eastAsia="zh-CN"/>
        </w:rPr>
      </w:pPr>
      <w:r>
        <w:rPr>
          <w:rFonts w:hint="eastAsia" w:ascii="宋体" w:hAnsi="宋体" w:cs="Arial"/>
          <w:b/>
          <w:bCs/>
          <w:sz w:val="44"/>
          <w:szCs w:val="44"/>
          <w:lang w:eastAsia="zh-CN"/>
        </w:rPr>
        <w:t>核查技术支持服务</w:t>
      </w:r>
      <w:r>
        <w:rPr>
          <w:rFonts w:hint="eastAsia" w:ascii="宋体" w:hAnsi="宋体" w:cs="Arial"/>
          <w:b/>
          <w:bCs/>
          <w:sz w:val="44"/>
          <w:szCs w:val="44"/>
        </w:rPr>
        <w:t>项目</w:t>
      </w:r>
    </w:p>
    <w:p>
      <w:pPr>
        <w:spacing w:line="360" w:lineRule="auto"/>
        <w:ind w:left="0" w:leftChars="0" w:firstLine="0" w:firstLineChars="0"/>
        <w:jc w:val="both"/>
        <w:rPr>
          <w:rFonts w:ascii="黑体" w:hAnsi="宋体" w:eastAsia="黑体"/>
          <w:b/>
          <w:bCs/>
          <w:sz w:val="32"/>
          <w:szCs w:val="32"/>
        </w:rPr>
      </w:pPr>
    </w:p>
    <w:p>
      <w:pPr>
        <w:spacing w:line="360" w:lineRule="auto"/>
        <w:jc w:val="both"/>
        <w:rPr>
          <w:rFonts w:ascii="黑体" w:hAnsi="宋体" w:eastAsia="黑体"/>
          <w:b/>
          <w:bCs/>
          <w:sz w:val="32"/>
          <w:szCs w:val="32"/>
        </w:rPr>
      </w:pPr>
    </w:p>
    <w:p>
      <w:pPr>
        <w:spacing w:line="360" w:lineRule="auto"/>
        <w:ind w:left="0" w:leftChars="0" w:firstLine="0" w:firstLineChars="0"/>
        <w:jc w:val="center"/>
        <w:rPr>
          <w:rFonts w:ascii="黑体" w:hAnsi="宋体" w:eastAsia="黑体"/>
          <w:b/>
          <w:bCs/>
          <w:sz w:val="72"/>
          <w:szCs w:val="72"/>
        </w:rPr>
      </w:pPr>
      <w:r>
        <w:rPr>
          <w:rFonts w:hint="eastAsia" w:ascii="黑体" w:hAnsi="黑体" w:eastAsia="黑体"/>
          <w:b/>
          <w:bCs/>
          <w:sz w:val="72"/>
          <w:szCs w:val="72"/>
        </w:rPr>
        <w:t>招</w:t>
      </w:r>
    </w:p>
    <w:p>
      <w:pPr>
        <w:spacing w:line="360" w:lineRule="auto"/>
        <w:ind w:left="0" w:leftChars="0" w:firstLine="0" w:firstLineChars="0"/>
        <w:jc w:val="center"/>
        <w:rPr>
          <w:rFonts w:ascii="黑体" w:hAnsi="宋体" w:eastAsia="黑体"/>
          <w:b/>
          <w:bCs/>
          <w:sz w:val="72"/>
          <w:szCs w:val="72"/>
        </w:rPr>
      </w:pPr>
    </w:p>
    <w:p>
      <w:pPr>
        <w:spacing w:line="360" w:lineRule="auto"/>
        <w:ind w:left="0" w:leftChars="0" w:firstLine="0" w:firstLineChars="0"/>
        <w:jc w:val="center"/>
        <w:rPr>
          <w:rFonts w:ascii="黑体" w:hAnsi="宋体" w:eastAsia="黑体"/>
          <w:b/>
          <w:bCs/>
          <w:sz w:val="72"/>
          <w:szCs w:val="72"/>
        </w:rPr>
      </w:pPr>
      <w:r>
        <w:rPr>
          <w:rFonts w:hint="eastAsia" w:ascii="黑体" w:hAnsi="黑体" w:eastAsia="黑体"/>
          <w:b/>
          <w:bCs/>
          <w:sz w:val="72"/>
          <w:szCs w:val="72"/>
        </w:rPr>
        <w:t>标</w:t>
      </w:r>
    </w:p>
    <w:p>
      <w:pPr>
        <w:spacing w:line="360" w:lineRule="auto"/>
        <w:ind w:left="0" w:leftChars="0" w:firstLine="0" w:firstLineChars="0"/>
        <w:jc w:val="center"/>
        <w:rPr>
          <w:rFonts w:ascii="黑体" w:hAnsi="宋体" w:eastAsia="黑体"/>
          <w:b/>
          <w:bCs/>
          <w:sz w:val="48"/>
          <w:szCs w:val="48"/>
        </w:rPr>
      </w:pPr>
    </w:p>
    <w:p>
      <w:pPr>
        <w:spacing w:line="360" w:lineRule="auto"/>
        <w:ind w:left="0" w:leftChars="0" w:firstLine="0" w:firstLineChars="0"/>
        <w:jc w:val="center"/>
        <w:rPr>
          <w:rFonts w:hint="eastAsia" w:ascii="黑体" w:hAnsi="黑体" w:eastAsia="黑体"/>
          <w:b/>
          <w:bCs/>
          <w:sz w:val="72"/>
          <w:szCs w:val="72"/>
        </w:rPr>
      </w:pPr>
      <w:r>
        <w:rPr>
          <w:rFonts w:hint="eastAsia" w:ascii="黑体" w:hAnsi="黑体" w:eastAsia="黑体"/>
          <w:b/>
          <w:bCs/>
          <w:sz w:val="72"/>
          <w:szCs w:val="72"/>
        </w:rPr>
        <w:t>书</w:t>
      </w:r>
    </w:p>
    <w:p>
      <w:pPr>
        <w:pStyle w:val="6"/>
      </w:pPr>
    </w:p>
    <w:p>
      <w:pPr>
        <w:spacing w:line="600" w:lineRule="exact"/>
        <w:jc w:val="center"/>
        <w:rPr>
          <w:rFonts w:ascii="宋体" w:hAnsi="宋体"/>
          <w:b/>
          <w:bCs/>
          <w:sz w:val="32"/>
          <w:szCs w:val="32"/>
        </w:rPr>
      </w:pPr>
      <w:r>
        <w:rPr>
          <w:rFonts w:hint="eastAsia" w:ascii="宋体" w:hAnsi="宋体"/>
          <w:b/>
          <w:bCs/>
          <w:sz w:val="32"/>
          <w:szCs w:val="32"/>
        </w:rPr>
        <w:t>深圳市龙华区发展和改革局</w:t>
      </w:r>
    </w:p>
    <w:p>
      <w:pPr>
        <w:spacing w:line="600" w:lineRule="exact"/>
        <w:jc w:val="center"/>
        <w:rPr>
          <w:rFonts w:ascii="宋体" w:hAnsi="宋体" w:cs="宋体"/>
          <w:b/>
          <w:bCs/>
          <w:sz w:val="44"/>
          <w:szCs w:val="44"/>
        </w:rPr>
        <w:sectPr>
          <w:footerReference r:id="rId5" w:type="default"/>
          <w:pgSz w:w="11906" w:h="16838"/>
          <w:pgMar w:top="2098" w:right="1474" w:bottom="1984" w:left="1587" w:header="720" w:footer="720" w:gutter="0"/>
          <w:pgNumType w:fmt="decimal"/>
          <w:cols w:space="720" w:num="1"/>
          <w:docGrid w:type="lines" w:linePitch="312" w:charSpace="0"/>
        </w:sectPr>
      </w:pPr>
      <w:r>
        <w:rPr>
          <w:rFonts w:hint="eastAsia" w:ascii="宋体" w:hAnsi="宋体"/>
          <w:b/>
          <w:bCs/>
          <w:sz w:val="32"/>
          <w:szCs w:val="32"/>
        </w:rPr>
        <w:t>20</w:t>
      </w:r>
      <w:r>
        <w:rPr>
          <w:rFonts w:ascii="宋体" w:hAnsi="宋体"/>
          <w:b/>
          <w:bCs/>
          <w:sz w:val="32"/>
          <w:szCs w:val="32"/>
        </w:rPr>
        <w:t>2</w:t>
      </w:r>
      <w:r>
        <w:rPr>
          <w:rFonts w:hint="eastAsia" w:ascii="宋体" w:hAnsi="宋体"/>
          <w:b/>
          <w:bCs/>
          <w:sz w:val="32"/>
          <w:szCs w:val="32"/>
          <w:lang w:val="en-US" w:eastAsia="zh-CN"/>
        </w:rPr>
        <w:t>5</w:t>
      </w:r>
      <w:r>
        <w:rPr>
          <w:rFonts w:hint="eastAsia" w:ascii="宋体" w:hAnsi="宋体"/>
          <w:b/>
          <w:bCs/>
          <w:sz w:val="32"/>
          <w:szCs w:val="32"/>
        </w:rPr>
        <w:t>年</w:t>
      </w:r>
      <w:r>
        <w:rPr>
          <w:rFonts w:hint="eastAsia" w:ascii="宋体" w:hAnsi="宋体"/>
          <w:b/>
          <w:bCs/>
          <w:sz w:val="32"/>
          <w:szCs w:val="32"/>
          <w:lang w:val="en-US" w:eastAsia="zh-CN"/>
        </w:rPr>
        <w:t>7</w:t>
      </w:r>
      <w:r>
        <w:rPr>
          <w:rFonts w:hint="eastAsia" w:ascii="宋体" w:hAnsi="宋体"/>
          <w:b/>
          <w:bCs/>
          <w:color w:val="auto"/>
          <w:sz w:val="32"/>
          <w:szCs w:val="32"/>
          <w:highlight w:val="none"/>
        </w:rPr>
        <w:t>月</w:t>
      </w:r>
    </w:p>
    <w:p>
      <w:pPr>
        <w:autoSpaceDE/>
        <w:autoSpaceDN/>
        <w:adjustRightInd w:val="0"/>
        <w:snapToGrid w:val="0"/>
        <w:spacing w:line="560" w:lineRule="exact"/>
        <w:ind w:firstLine="0" w:firstLineChars="0"/>
        <w:jc w:val="center"/>
        <w:rPr>
          <w:rFonts w:hint="eastAsia" w:ascii="宋体" w:hAnsi="宋体" w:cs="Arial"/>
          <w:b/>
          <w:bCs/>
          <w:sz w:val="44"/>
          <w:szCs w:val="44"/>
          <w:lang w:eastAsia="zh-CN"/>
        </w:rPr>
      </w:pPr>
      <w:r>
        <w:rPr>
          <w:rFonts w:hint="eastAsia" w:ascii="宋体" w:hAnsi="宋体" w:cs="Arial"/>
          <w:b/>
          <w:bCs/>
          <w:sz w:val="44"/>
          <w:szCs w:val="44"/>
          <w:lang w:eastAsia="zh-CN"/>
        </w:rPr>
        <w:t>2025-2026年度龙华区有关项目涉及油气长输管道安全评价报告、施工作业申请资料</w:t>
      </w:r>
    </w:p>
    <w:p>
      <w:pPr>
        <w:autoSpaceDE/>
        <w:autoSpaceDN/>
        <w:adjustRightInd w:val="0"/>
        <w:snapToGrid w:val="0"/>
        <w:spacing w:line="560" w:lineRule="exact"/>
        <w:ind w:firstLine="0" w:firstLineChars="0"/>
        <w:jc w:val="center"/>
        <w:rPr>
          <w:rFonts w:hint="eastAsia" w:ascii="宋体" w:hAnsi="宋体" w:cs="Arial"/>
          <w:b/>
          <w:bCs/>
          <w:sz w:val="44"/>
          <w:szCs w:val="44"/>
          <w:lang w:val="en-US" w:eastAsia="zh-CN"/>
        </w:rPr>
      </w:pPr>
      <w:r>
        <w:rPr>
          <w:rFonts w:hint="eastAsia" w:ascii="宋体" w:hAnsi="宋体" w:cs="Arial"/>
          <w:b/>
          <w:bCs/>
          <w:sz w:val="44"/>
          <w:szCs w:val="44"/>
          <w:lang w:eastAsia="zh-CN"/>
        </w:rPr>
        <w:t>核查技术支持服务项目</w:t>
      </w:r>
    </w:p>
    <w:p>
      <w:pPr>
        <w:adjustRightInd w:val="0"/>
        <w:snapToGrid w:val="0"/>
        <w:jc w:val="center"/>
        <w:rPr>
          <w:rFonts w:ascii="宋体" w:hAnsi="宋体" w:cs="Arial"/>
          <w:b/>
          <w:bCs/>
          <w:sz w:val="44"/>
          <w:szCs w:val="44"/>
        </w:rPr>
      </w:pPr>
    </w:p>
    <w:p>
      <w:pPr>
        <w:spacing w:line="560" w:lineRule="exact"/>
        <w:ind w:firstLine="642" w:firstLineChars="200"/>
        <w:outlineLvl w:val="0"/>
        <w:rPr>
          <w:rFonts w:ascii="黑体" w:hAnsi="黑体" w:eastAsia="黑体"/>
          <w:b/>
          <w:bCs/>
          <w:sz w:val="32"/>
          <w:szCs w:val="32"/>
        </w:rPr>
      </w:pPr>
    </w:p>
    <w:p>
      <w:pPr>
        <w:adjustRightInd w:val="0"/>
        <w:snapToGrid w:val="0"/>
        <w:spacing w:line="560" w:lineRule="exact"/>
        <w:ind w:firstLine="640" w:firstLineChars="200"/>
        <w:outlineLvl w:val="0"/>
        <w:rPr>
          <w:rFonts w:ascii="黑体" w:hAnsi="黑体" w:eastAsia="黑体"/>
          <w:b w:val="0"/>
          <w:bCs w:val="0"/>
          <w:sz w:val="32"/>
          <w:szCs w:val="32"/>
        </w:rPr>
      </w:pPr>
      <w:r>
        <w:rPr>
          <w:rFonts w:hint="eastAsia" w:ascii="黑体" w:hAnsi="黑体" w:eastAsia="黑体"/>
          <w:b w:val="0"/>
          <w:bCs w:val="0"/>
          <w:sz w:val="32"/>
          <w:szCs w:val="32"/>
        </w:rPr>
        <w:t>一、项目概况</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（一）项目名称：</w:t>
      </w:r>
      <w:r>
        <w:rPr>
          <w:rFonts w:hint="eastAsia" w:hAnsi="仿宋" w:cs="仿宋_GB2312"/>
          <w:sz w:val="32"/>
          <w:szCs w:val="32"/>
          <w:lang w:eastAsia="zh-CN"/>
        </w:rPr>
        <w:t>2025-2026</w:t>
      </w:r>
      <w:r>
        <w:rPr>
          <w:rFonts w:hint="eastAsia" w:ascii="仿宋_GB2312" w:hAnsi="仿宋" w:eastAsia="仿宋_GB2312" w:cs="仿宋_GB2312"/>
          <w:sz w:val="32"/>
          <w:szCs w:val="32"/>
          <w:lang w:eastAsia="zh-CN"/>
        </w:rPr>
        <w:t>年度龙华区有关项目涉及油气长输管道安全评价报告、施工作业</w:t>
      </w:r>
      <w:r>
        <w:rPr>
          <w:rFonts w:hint="eastAsia" w:hAnsi="仿宋" w:cs="仿宋_GB2312"/>
          <w:sz w:val="32"/>
          <w:szCs w:val="32"/>
          <w:lang w:eastAsia="zh-CN"/>
        </w:rPr>
        <w:t>申请</w:t>
      </w:r>
      <w:r>
        <w:rPr>
          <w:rFonts w:hint="eastAsia" w:ascii="仿宋_GB2312" w:hAnsi="仿宋" w:eastAsia="仿宋_GB2312" w:cs="仿宋_GB2312"/>
          <w:sz w:val="32"/>
          <w:szCs w:val="32"/>
          <w:lang w:eastAsia="zh-CN"/>
        </w:rPr>
        <w:t>资料核查技术支持服务项目</w:t>
      </w:r>
    </w:p>
    <w:p>
      <w:pPr>
        <w:adjustRightInd w:val="0"/>
        <w:snapToGrid w:val="0"/>
        <w:spacing w:line="560" w:lineRule="exact"/>
        <w:ind w:firstLine="640" w:firstLineChars="200"/>
        <w:outlineLvl w:val="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（二）服务期限：</w:t>
      </w:r>
      <w:r>
        <w:rPr>
          <w:rFonts w:hint="eastAsia" w:hAnsi="仿宋" w:cs="仿宋_GB2312"/>
          <w:sz w:val="32"/>
          <w:szCs w:val="32"/>
          <w:lang w:val="en-US" w:eastAsia="zh-CN"/>
        </w:rPr>
        <w:t>1年</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（三）项目预算：预算金额不超过</w:t>
      </w:r>
      <w:r>
        <w:rPr>
          <w:rFonts w:hint="eastAsia" w:hAnsi="仿宋" w:cs="仿宋_GB2312"/>
          <w:sz w:val="32"/>
          <w:szCs w:val="32"/>
          <w:lang w:val="en-US" w:eastAsia="zh-CN"/>
        </w:rPr>
        <w:t>70.46</w:t>
      </w:r>
      <w:r>
        <w:rPr>
          <w:rFonts w:hint="eastAsia" w:ascii="仿宋_GB2312" w:hAnsi="仿宋" w:eastAsia="仿宋_GB2312" w:cs="仿宋_GB2312"/>
          <w:sz w:val="32"/>
          <w:szCs w:val="32"/>
        </w:rPr>
        <w:t>万元</w:t>
      </w:r>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二、项目内容</w:t>
      </w:r>
    </w:p>
    <w:p>
      <w:pPr>
        <w:pStyle w:val="11"/>
        <w:numPr>
          <w:ilvl w:val="255"/>
          <w:numId w:val="0"/>
        </w:numPr>
        <w:spacing w:line="560" w:lineRule="exact"/>
        <w:ind w:firstLine="640"/>
        <w:rPr>
          <w:rFonts w:ascii="楷体_GB2312" w:hAnsi="楷体_GB2312" w:eastAsia="楷体_GB2312" w:cs="楷体_GB2312"/>
          <w:kern w:val="2"/>
          <w:sz w:val="32"/>
          <w:lang w:eastAsia="zh-CN" w:bidi="ar-SA"/>
        </w:rPr>
      </w:pPr>
      <w:bookmarkStart w:id="0" w:name="_Toc97237404"/>
      <w:r>
        <w:rPr>
          <w:rFonts w:hint="eastAsia" w:ascii="楷体_GB2312" w:hAnsi="楷体_GB2312" w:eastAsia="楷体_GB2312" w:cs="楷体_GB2312"/>
          <w:kern w:val="2"/>
          <w:sz w:val="32"/>
          <w:lang w:eastAsia="zh-CN" w:bidi="ar-SA"/>
        </w:rPr>
        <w:t>（一）安全评价报告审核流程</w:t>
      </w:r>
    </w:p>
    <w:p>
      <w:pPr>
        <w:pStyle w:val="11"/>
        <w:numPr>
          <w:ilvl w:val="255"/>
          <w:numId w:val="0"/>
        </w:numPr>
        <w:spacing w:line="560" w:lineRule="exact"/>
        <w:ind w:firstLine="640"/>
        <w:rPr>
          <w:rFonts w:ascii="仿宋_GB2312" w:hAnsi="仿宋_GB2312" w:eastAsia="仿宋_GB2312" w:cs="仿宋_GB2312"/>
          <w:kern w:val="2"/>
          <w:sz w:val="32"/>
          <w:lang w:eastAsia="zh-CN" w:bidi="ar-SA"/>
        </w:rPr>
      </w:pPr>
      <w:r>
        <w:rPr>
          <w:rFonts w:ascii="仿宋_GB2312" w:hAnsi="仿宋_GB2312" w:eastAsia="仿宋_GB2312" w:cs="仿宋_GB2312"/>
          <w:kern w:val="2"/>
          <w:sz w:val="32"/>
          <w:lang w:eastAsia="zh-CN" w:bidi="ar-SA"/>
        </w:rPr>
        <w:t>1.</w:t>
      </w:r>
      <w:r>
        <w:rPr>
          <w:rFonts w:hint="eastAsia" w:ascii="仿宋_GB2312" w:hAnsi="仿宋_GB2312" w:eastAsia="仿宋_GB2312" w:cs="仿宋_GB2312"/>
          <w:kern w:val="2"/>
          <w:sz w:val="32"/>
          <w:lang w:eastAsia="zh-CN" w:bidi="ar-SA"/>
        </w:rPr>
        <w:t>初步核查</w:t>
      </w:r>
    </w:p>
    <w:p>
      <w:pPr>
        <w:pStyle w:val="11"/>
        <w:numPr>
          <w:ilvl w:val="255"/>
          <w:numId w:val="0"/>
        </w:numPr>
        <w:spacing w:line="560" w:lineRule="exact"/>
        <w:ind w:firstLine="640"/>
        <w:rPr>
          <w:rFonts w:ascii="仿宋_GB2312" w:hAnsi="仿宋_GB2312" w:eastAsia="仿宋_GB2312" w:cs="仿宋_GB2312"/>
          <w:kern w:val="2"/>
          <w:sz w:val="32"/>
          <w:lang w:eastAsia="zh-CN" w:bidi="ar-SA"/>
        </w:rPr>
      </w:pPr>
      <w:r>
        <w:rPr>
          <w:rFonts w:hint="eastAsia" w:ascii="仿宋_GB2312" w:hAnsi="仿宋_GB2312" w:eastAsia="仿宋_GB2312" w:cs="仿宋_GB2312"/>
          <w:kern w:val="2"/>
          <w:sz w:val="32"/>
          <w:lang w:eastAsia="zh-CN" w:bidi="ar-SA"/>
        </w:rPr>
        <w:t>根据《安全评价通则》相关法规标准等要求</w:t>
      </w:r>
      <w:r>
        <w:rPr>
          <w:rFonts w:ascii="仿宋_GB2312" w:hAnsi="仿宋_GB2312" w:eastAsia="仿宋_GB2312" w:cs="仿宋_GB2312"/>
          <w:kern w:val="2"/>
          <w:sz w:val="32"/>
          <w:lang w:eastAsia="zh-CN" w:bidi="ar-SA"/>
        </w:rPr>
        <w:t>,对报告的结构、危险有害因素辨识、评价单元划分、定性定量评价、对策措施建议、安全评价结论等方面进行核查。</w:t>
      </w:r>
    </w:p>
    <w:p>
      <w:pPr>
        <w:pStyle w:val="11"/>
        <w:numPr>
          <w:ilvl w:val="255"/>
          <w:numId w:val="0"/>
        </w:numPr>
        <w:spacing w:line="560" w:lineRule="exact"/>
        <w:ind w:firstLine="640"/>
        <w:rPr>
          <w:rFonts w:ascii="仿宋_GB2312" w:hAnsi="仿宋_GB2312" w:eastAsia="仿宋_GB2312" w:cs="仿宋_GB2312"/>
          <w:kern w:val="2"/>
          <w:sz w:val="32"/>
          <w:lang w:eastAsia="zh-CN" w:bidi="ar-SA"/>
        </w:rPr>
      </w:pPr>
      <w:r>
        <w:rPr>
          <w:rFonts w:ascii="仿宋_GB2312" w:hAnsi="仿宋_GB2312" w:eastAsia="仿宋_GB2312" w:cs="仿宋_GB2312"/>
          <w:kern w:val="2"/>
          <w:sz w:val="32"/>
          <w:lang w:eastAsia="zh-CN" w:bidi="ar-SA"/>
        </w:rPr>
        <w:t>2.距离核查</w:t>
      </w:r>
    </w:p>
    <w:p>
      <w:pPr>
        <w:pStyle w:val="11"/>
        <w:numPr>
          <w:ilvl w:val="255"/>
          <w:numId w:val="0"/>
        </w:numPr>
        <w:spacing w:line="560" w:lineRule="exact"/>
        <w:ind w:firstLine="641"/>
        <w:rPr>
          <w:rFonts w:hint="eastAsia" w:ascii="仿宋_GB2312" w:hAnsi="仿宋_GB2312" w:eastAsia="仿宋_GB2312" w:cs="仿宋_GB2312"/>
          <w:kern w:val="2"/>
          <w:sz w:val="32"/>
          <w:lang w:eastAsia="zh-CN" w:bidi="ar-SA"/>
        </w:rPr>
      </w:pPr>
      <w:r>
        <w:rPr>
          <w:rFonts w:hint="eastAsia" w:ascii="仿宋_GB2312" w:hAnsi="仿宋_GB2312" w:eastAsia="仿宋_GB2312" w:cs="仿宋_GB2312"/>
          <w:kern w:val="2"/>
          <w:sz w:val="32"/>
          <w:lang w:eastAsia="zh-CN" w:bidi="ar-SA"/>
        </w:rPr>
        <w:t>根据国家相关法律法规、标准规范，对报告中涉及油气长输管道的安全距离数据符合性进行核查。</w:t>
      </w:r>
    </w:p>
    <w:p>
      <w:pPr>
        <w:pStyle w:val="11"/>
        <w:numPr>
          <w:ilvl w:val="255"/>
          <w:numId w:val="0"/>
        </w:numPr>
        <w:spacing w:line="560" w:lineRule="exact"/>
        <w:ind w:firstLine="641"/>
        <w:rPr>
          <w:rFonts w:ascii="仿宋_GB2312" w:hAnsi="仿宋_GB2312" w:eastAsia="仿宋_GB2312" w:cs="仿宋_GB2312"/>
          <w:kern w:val="2"/>
          <w:sz w:val="32"/>
          <w:lang w:eastAsia="zh-CN" w:bidi="ar-SA"/>
        </w:rPr>
      </w:pPr>
      <w:r>
        <w:rPr>
          <w:rFonts w:ascii="仿宋_GB2312" w:hAnsi="仿宋_GB2312" w:eastAsia="仿宋_GB2312" w:cs="仿宋_GB2312"/>
          <w:kern w:val="2"/>
          <w:sz w:val="32"/>
          <w:lang w:eastAsia="zh-CN" w:bidi="ar-SA"/>
        </w:rPr>
        <w:t>3.复核</w:t>
      </w:r>
    </w:p>
    <w:p>
      <w:pPr>
        <w:pStyle w:val="11"/>
        <w:numPr>
          <w:ilvl w:val="255"/>
          <w:numId w:val="0"/>
        </w:numPr>
        <w:spacing w:line="560" w:lineRule="exact"/>
        <w:ind w:firstLine="641"/>
        <w:rPr>
          <w:rFonts w:ascii="仿宋_GB2312" w:hAnsi="仿宋_GB2312" w:eastAsia="仿宋_GB2312" w:cs="仿宋_GB2312"/>
          <w:kern w:val="2"/>
          <w:sz w:val="32"/>
          <w:lang w:eastAsia="zh-CN" w:bidi="ar-SA"/>
        </w:rPr>
      </w:pPr>
      <w:r>
        <w:rPr>
          <w:rFonts w:hint="eastAsia" w:ascii="仿宋_GB2312" w:hAnsi="仿宋_GB2312" w:eastAsia="仿宋_GB2312" w:cs="仿宋_GB2312"/>
          <w:kern w:val="2"/>
          <w:sz w:val="32"/>
          <w:lang w:eastAsia="zh-CN" w:bidi="ar-SA"/>
        </w:rPr>
        <w:t>对修改后的安全评价报告再次进行核查，确保安评报告初核存在的问题已修改到位。</w:t>
      </w:r>
    </w:p>
    <w:p>
      <w:pPr>
        <w:pStyle w:val="11"/>
        <w:numPr>
          <w:ilvl w:val="255"/>
          <w:numId w:val="0"/>
        </w:numPr>
        <w:spacing w:line="560" w:lineRule="exact"/>
        <w:ind w:firstLine="640"/>
        <w:rPr>
          <w:rFonts w:ascii="仿宋_GB2312" w:hAnsi="仿宋_GB2312" w:eastAsia="仿宋_GB2312" w:cs="仿宋_GB2312"/>
          <w:kern w:val="2"/>
          <w:sz w:val="32"/>
          <w:lang w:eastAsia="zh-CN" w:bidi="ar-SA"/>
        </w:rPr>
      </w:pPr>
      <w:r>
        <w:rPr>
          <w:rFonts w:ascii="仿宋_GB2312" w:hAnsi="仿宋_GB2312" w:eastAsia="仿宋_GB2312" w:cs="仿宋_GB2312"/>
          <w:kern w:val="2"/>
          <w:sz w:val="32"/>
          <w:lang w:eastAsia="zh-CN" w:bidi="ar-SA"/>
        </w:rPr>
        <w:t>4.组织专家评审</w:t>
      </w:r>
    </w:p>
    <w:p>
      <w:pPr>
        <w:pStyle w:val="11"/>
        <w:numPr>
          <w:ilvl w:val="255"/>
          <w:numId w:val="0"/>
        </w:numPr>
        <w:spacing w:line="560" w:lineRule="exact"/>
        <w:ind w:firstLine="640"/>
        <w:rPr>
          <w:rFonts w:ascii="仿宋_GB2312" w:hAnsi="仿宋_GB2312" w:eastAsia="仿宋_GB2312" w:cs="仿宋_GB2312"/>
          <w:kern w:val="2"/>
          <w:sz w:val="32"/>
          <w:lang w:eastAsia="zh-CN" w:bidi="ar-SA"/>
        </w:rPr>
      </w:pPr>
      <w:r>
        <w:rPr>
          <w:rFonts w:hint="eastAsia" w:ascii="仿宋_GB2312" w:hAnsi="仿宋_GB2312" w:eastAsia="仿宋_GB2312" w:cs="仿宋_GB2312"/>
          <w:kern w:val="2"/>
          <w:sz w:val="32"/>
          <w:lang w:eastAsia="zh-CN" w:bidi="ar-SA"/>
        </w:rPr>
        <w:t>对修改后符合评审条件的安全评价报告，组织召开专家评审，邀请专家就安全评价报告相关内容进行审核，研究在落实管道保护措施的前提下，项目建设风险是否可控，并现场出具专家评审意见，督促项目建设单位进一步修改完善安全评价报告内容。</w:t>
      </w:r>
    </w:p>
    <w:p>
      <w:pPr>
        <w:pStyle w:val="11"/>
        <w:numPr>
          <w:ilvl w:val="255"/>
          <w:numId w:val="0"/>
        </w:numPr>
        <w:spacing w:line="560" w:lineRule="exact"/>
        <w:ind w:firstLine="640"/>
        <w:rPr>
          <w:rFonts w:ascii="仿宋_GB2312" w:hAnsi="仿宋_GB2312" w:eastAsia="仿宋_GB2312" w:cs="仿宋_GB2312"/>
          <w:kern w:val="2"/>
          <w:sz w:val="32"/>
          <w:lang w:eastAsia="zh-CN" w:bidi="ar-SA"/>
        </w:rPr>
      </w:pPr>
      <w:r>
        <w:rPr>
          <w:rFonts w:ascii="仿宋_GB2312" w:hAnsi="仿宋_GB2312" w:eastAsia="仿宋_GB2312" w:cs="仿宋_GB2312"/>
          <w:kern w:val="2"/>
          <w:sz w:val="32"/>
          <w:lang w:eastAsia="zh-CN" w:bidi="ar-SA"/>
        </w:rPr>
        <w:t>5.出具意见</w:t>
      </w:r>
    </w:p>
    <w:p>
      <w:pPr>
        <w:pStyle w:val="11"/>
        <w:numPr>
          <w:ilvl w:val="255"/>
          <w:numId w:val="0"/>
        </w:numPr>
        <w:spacing w:line="560" w:lineRule="exact"/>
        <w:ind w:firstLine="640"/>
        <w:rPr>
          <w:rFonts w:ascii="仿宋_GB2312" w:hAnsi="仿宋_GB2312" w:eastAsia="仿宋_GB2312" w:cs="仿宋_GB2312"/>
          <w:kern w:val="2"/>
          <w:sz w:val="32"/>
          <w:lang w:eastAsia="zh-CN" w:bidi="ar-SA"/>
        </w:rPr>
      </w:pPr>
      <w:r>
        <w:rPr>
          <w:rFonts w:hint="eastAsia" w:ascii="仿宋_GB2312" w:hAnsi="仿宋_GB2312" w:eastAsia="仿宋_GB2312" w:cs="仿宋_GB2312"/>
          <w:kern w:val="2"/>
          <w:sz w:val="32"/>
          <w:lang w:eastAsia="zh-CN" w:bidi="ar-SA"/>
        </w:rPr>
        <w:t>结合专家评审意见、现场距离核查情况，查询有关法律法规，对项目建设提出下一步工作要求，出具最终核查意见。</w:t>
      </w:r>
    </w:p>
    <w:p>
      <w:pPr>
        <w:pStyle w:val="11"/>
        <w:numPr>
          <w:ilvl w:val="255"/>
          <w:numId w:val="0"/>
        </w:numPr>
        <w:spacing w:line="560" w:lineRule="exact"/>
        <w:ind w:firstLine="640"/>
        <w:rPr>
          <w:rFonts w:ascii="楷体_GB2312" w:hAnsi="楷体_GB2312" w:eastAsia="楷体_GB2312" w:cs="楷体_GB2312"/>
          <w:kern w:val="2"/>
          <w:sz w:val="32"/>
          <w:lang w:eastAsia="zh-CN" w:bidi="ar-SA"/>
        </w:rPr>
      </w:pPr>
      <w:r>
        <w:rPr>
          <w:rFonts w:hint="eastAsia" w:ascii="楷体_GB2312" w:hAnsi="楷体_GB2312" w:eastAsia="楷体_GB2312" w:cs="楷体_GB2312"/>
          <w:kern w:val="2"/>
          <w:sz w:val="32"/>
          <w:lang w:eastAsia="zh-CN" w:bidi="ar-SA"/>
        </w:rPr>
        <w:t>（二）施工作业申请材料审核流程</w:t>
      </w:r>
    </w:p>
    <w:p>
      <w:pPr>
        <w:pStyle w:val="11"/>
        <w:numPr>
          <w:ilvl w:val="255"/>
          <w:numId w:val="0"/>
        </w:numPr>
        <w:spacing w:line="560" w:lineRule="exact"/>
        <w:ind w:firstLine="640"/>
        <w:rPr>
          <w:rFonts w:ascii="仿宋_GB2312" w:hAnsi="仿宋_GB2312" w:eastAsia="仿宋_GB2312" w:cs="仿宋_GB2312"/>
          <w:kern w:val="2"/>
          <w:sz w:val="32"/>
          <w:lang w:eastAsia="zh-CN" w:bidi="ar-SA"/>
        </w:rPr>
      </w:pPr>
      <w:r>
        <w:rPr>
          <w:rFonts w:ascii="仿宋_GB2312" w:hAnsi="仿宋_GB2312" w:eastAsia="仿宋_GB2312" w:cs="仿宋_GB2312"/>
          <w:kern w:val="2"/>
          <w:sz w:val="32"/>
          <w:lang w:eastAsia="zh-CN" w:bidi="ar-SA"/>
        </w:rPr>
        <w:t>1.</w:t>
      </w:r>
      <w:r>
        <w:rPr>
          <w:rFonts w:hint="eastAsia" w:ascii="仿宋_GB2312" w:hAnsi="仿宋_GB2312" w:eastAsia="仿宋_GB2312" w:cs="仿宋_GB2312"/>
          <w:kern w:val="2"/>
          <w:sz w:val="32"/>
          <w:lang w:eastAsia="zh-CN" w:bidi="ar-SA"/>
        </w:rPr>
        <w:t>初步核查</w:t>
      </w:r>
    </w:p>
    <w:p>
      <w:pPr>
        <w:pStyle w:val="11"/>
        <w:numPr>
          <w:ilvl w:val="255"/>
          <w:numId w:val="0"/>
        </w:numPr>
        <w:spacing w:line="560" w:lineRule="exact"/>
        <w:ind w:firstLine="640"/>
        <w:rPr>
          <w:rFonts w:ascii="仿宋_GB2312" w:hAnsi="仿宋_GB2312" w:eastAsia="仿宋_GB2312" w:cs="仿宋_GB2312"/>
          <w:kern w:val="2"/>
          <w:sz w:val="32"/>
          <w:lang w:eastAsia="zh-CN" w:bidi="ar-SA"/>
        </w:rPr>
      </w:pPr>
      <w:r>
        <w:rPr>
          <w:rFonts w:hint="eastAsia" w:ascii="仿宋_GB2312" w:hAnsi="仿宋_GB2312" w:eastAsia="仿宋_GB2312" w:cs="仿宋_GB2312"/>
          <w:kern w:val="2"/>
          <w:sz w:val="32"/>
          <w:lang w:eastAsia="zh-CN" w:bidi="ar-SA"/>
        </w:rPr>
        <w:t>核查各单位报送至龙华区发展和改革局的涉及油气长输管道的施工作业方案与事故应急预案，包括施工作业方案的完整性</w:t>
      </w:r>
      <w:r>
        <w:rPr>
          <w:rFonts w:hint="eastAsia" w:ascii="仿宋_GB2312" w:hAnsi="仿宋_GB2312" w:cs="仿宋_GB2312"/>
          <w:kern w:val="2"/>
          <w:sz w:val="32"/>
          <w:lang w:eastAsia="zh-CN" w:bidi="ar-SA"/>
        </w:rPr>
        <w:t>（应包括但不限于以下内容：编制依据、工程概况、总体布置、工期安排、施工技术措施、管道保护措施、安全保证措施、施工作业人员管道保护知识培训记录、保障安全施工作业的设备设施清单等；方案应符合国家、省、市有关法律及规范要求）</w:t>
      </w:r>
      <w:r>
        <w:rPr>
          <w:rFonts w:hint="eastAsia" w:ascii="仿宋_GB2312" w:hAnsi="仿宋_GB2312" w:eastAsia="仿宋_GB2312" w:cs="仿宋_GB2312"/>
          <w:kern w:val="2"/>
          <w:sz w:val="32"/>
          <w:lang w:eastAsia="zh-CN" w:bidi="ar-SA"/>
        </w:rPr>
        <w:t>、管道保护措施的合理性、事故应急预案内容的完整性</w:t>
      </w:r>
      <w:r>
        <w:rPr>
          <w:rFonts w:hint="eastAsia" w:ascii="仿宋_GB2312" w:hAnsi="仿宋_GB2312" w:cs="仿宋_GB2312"/>
          <w:kern w:val="2"/>
          <w:sz w:val="32"/>
          <w:lang w:eastAsia="zh-CN" w:bidi="ar-SA"/>
        </w:rPr>
        <w:t>（应包括应急指</w:t>
      </w:r>
      <w:bookmarkStart w:id="3" w:name="_GoBack"/>
      <w:r>
        <w:rPr>
          <w:rFonts w:hint="eastAsia" w:ascii="仿宋_GB2312" w:hAnsi="仿宋_GB2312" w:cs="仿宋_GB2312"/>
          <w:kern w:val="2"/>
          <w:sz w:val="32"/>
          <w:lang w:eastAsia="zh-CN" w:bidi="ar-SA"/>
        </w:rPr>
        <w:t>挥小组及职责、施工引起的管道及管道附属设施破坏等现场处置</w:t>
      </w:r>
      <w:bookmarkEnd w:id="3"/>
      <w:r>
        <w:rPr>
          <w:rFonts w:hint="eastAsia" w:ascii="仿宋_GB2312" w:hAnsi="仿宋_GB2312" w:cs="仿宋_GB2312"/>
          <w:kern w:val="2"/>
          <w:sz w:val="32"/>
          <w:lang w:eastAsia="zh-CN" w:bidi="ar-SA"/>
        </w:rPr>
        <w:t>流程、处置措施等内容）</w:t>
      </w:r>
      <w:r>
        <w:rPr>
          <w:rFonts w:hint="eastAsia" w:ascii="仿宋_GB2312" w:hAnsi="仿宋_GB2312" w:eastAsia="仿宋_GB2312" w:cs="仿宋_GB2312"/>
          <w:kern w:val="2"/>
          <w:sz w:val="32"/>
          <w:lang w:eastAsia="zh-CN" w:bidi="ar-SA"/>
        </w:rPr>
        <w:t>、应急处置流程与处置措施的合理性，施工动土作业方案与事故应急预案的真实性不在核查范围。</w:t>
      </w:r>
    </w:p>
    <w:p>
      <w:pPr>
        <w:pStyle w:val="11"/>
        <w:numPr>
          <w:ilvl w:val="255"/>
          <w:numId w:val="0"/>
        </w:numPr>
        <w:spacing w:line="560" w:lineRule="exact"/>
        <w:ind w:firstLine="640"/>
        <w:rPr>
          <w:rFonts w:ascii="仿宋_GB2312" w:hAnsi="仿宋_GB2312" w:eastAsia="仿宋_GB2312" w:cs="仿宋_GB2312"/>
          <w:kern w:val="2"/>
          <w:sz w:val="32"/>
          <w:lang w:eastAsia="zh-CN" w:bidi="ar-SA"/>
        </w:rPr>
      </w:pPr>
      <w:r>
        <w:rPr>
          <w:rFonts w:ascii="仿宋_GB2312" w:hAnsi="仿宋_GB2312" w:eastAsia="仿宋_GB2312" w:cs="仿宋_GB2312"/>
          <w:kern w:val="2"/>
          <w:sz w:val="32"/>
          <w:lang w:eastAsia="zh-CN" w:bidi="ar-SA"/>
        </w:rPr>
        <w:t>2.复核</w:t>
      </w:r>
    </w:p>
    <w:p>
      <w:pPr>
        <w:pStyle w:val="11"/>
        <w:numPr>
          <w:ilvl w:val="255"/>
          <w:numId w:val="0"/>
        </w:numPr>
        <w:spacing w:line="560" w:lineRule="exact"/>
        <w:ind w:firstLine="640"/>
        <w:rPr>
          <w:rFonts w:ascii="仿宋_GB2312" w:hAnsi="仿宋_GB2312" w:eastAsia="仿宋_GB2312" w:cs="仿宋_GB2312"/>
          <w:kern w:val="2"/>
          <w:sz w:val="32"/>
          <w:lang w:eastAsia="zh-CN" w:bidi="ar-SA"/>
        </w:rPr>
      </w:pPr>
      <w:r>
        <w:rPr>
          <w:rFonts w:hint="eastAsia" w:ascii="仿宋_GB2312" w:hAnsi="仿宋_GB2312" w:eastAsia="仿宋_GB2312" w:cs="仿宋_GB2312"/>
          <w:kern w:val="2"/>
          <w:sz w:val="32"/>
          <w:lang w:eastAsia="zh-CN" w:bidi="ar-SA"/>
        </w:rPr>
        <w:t>对修改后的施工作业方案、事故应急预案再次进行核查，确保施工作业方案、事故应急预案初核存在的问题已修改到位。</w:t>
      </w:r>
    </w:p>
    <w:p>
      <w:pPr>
        <w:pStyle w:val="11"/>
        <w:numPr>
          <w:ilvl w:val="255"/>
          <w:numId w:val="0"/>
        </w:numPr>
        <w:spacing w:line="560" w:lineRule="exact"/>
        <w:ind w:firstLine="640"/>
        <w:rPr>
          <w:rFonts w:ascii="仿宋_GB2312" w:hAnsi="仿宋_GB2312" w:eastAsia="仿宋_GB2312" w:cs="仿宋_GB2312"/>
          <w:kern w:val="2"/>
          <w:sz w:val="32"/>
          <w:lang w:eastAsia="zh-CN" w:bidi="ar-SA"/>
        </w:rPr>
      </w:pPr>
      <w:r>
        <w:rPr>
          <w:rFonts w:ascii="仿宋_GB2312" w:hAnsi="仿宋_GB2312" w:eastAsia="仿宋_GB2312" w:cs="仿宋_GB2312"/>
          <w:kern w:val="2"/>
          <w:sz w:val="32"/>
          <w:lang w:eastAsia="zh-CN" w:bidi="ar-SA"/>
        </w:rPr>
        <w:t>3.组织专家评审</w:t>
      </w:r>
    </w:p>
    <w:p>
      <w:pPr>
        <w:pStyle w:val="11"/>
        <w:numPr>
          <w:ilvl w:val="255"/>
          <w:numId w:val="0"/>
        </w:numPr>
        <w:spacing w:line="560" w:lineRule="exact"/>
        <w:ind w:firstLine="640"/>
        <w:rPr>
          <w:rFonts w:ascii="仿宋_GB2312" w:hAnsi="仿宋_GB2312" w:eastAsia="仿宋_GB2312" w:cs="仿宋_GB2312"/>
          <w:kern w:val="2"/>
          <w:sz w:val="32"/>
          <w:lang w:eastAsia="zh-CN" w:bidi="ar-SA"/>
        </w:rPr>
      </w:pPr>
      <w:r>
        <w:rPr>
          <w:rFonts w:hint="eastAsia" w:ascii="仿宋_GB2312" w:hAnsi="仿宋_GB2312" w:eastAsia="仿宋_GB2312" w:cs="仿宋_GB2312"/>
          <w:kern w:val="2"/>
          <w:sz w:val="32"/>
          <w:lang w:eastAsia="zh-CN" w:bidi="ar-SA"/>
        </w:rPr>
        <w:t>对修改后符合评审条件的施工作业</w:t>
      </w:r>
      <w:r>
        <w:rPr>
          <w:rFonts w:hint="eastAsia" w:ascii="仿宋_GB2312" w:hAnsi="仿宋_GB2312" w:cs="仿宋_GB2312"/>
          <w:kern w:val="2"/>
          <w:sz w:val="32"/>
          <w:lang w:eastAsia="zh-CN" w:bidi="ar-SA"/>
        </w:rPr>
        <w:t>申请</w:t>
      </w:r>
      <w:r>
        <w:rPr>
          <w:rFonts w:hint="eastAsia" w:ascii="仿宋_GB2312" w:hAnsi="仿宋_GB2312" w:eastAsia="仿宋_GB2312" w:cs="仿宋_GB2312"/>
          <w:kern w:val="2"/>
          <w:sz w:val="32"/>
          <w:lang w:eastAsia="zh-CN" w:bidi="ar-SA"/>
        </w:rPr>
        <w:t>材料，组织召开专家评审，邀请专家就施工</w:t>
      </w:r>
      <w:r>
        <w:rPr>
          <w:rFonts w:hint="eastAsia" w:ascii="仿宋_GB2312" w:hAnsi="仿宋_GB2312" w:cs="仿宋_GB2312"/>
          <w:kern w:val="2"/>
          <w:sz w:val="32"/>
          <w:lang w:eastAsia="zh-CN" w:bidi="ar-SA"/>
        </w:rPr>
        <w:t>作业</w:t>
      </w:r>
      <w:r>
        <w:rPr>
          <w:rFonts w:hint="eastAsia" w:ascii="仿宋_GB2312" w:hAnsi="仿宋_GB2312" w:eastAsia="仿宋_GB2312" w:cs="仿宋_GB2312"/>
          <w:kern w:val="2"/>
          <w:sz w:val="32"/>
          <w:lang w:eastAsia="zh-CN" w:bidi="ar-SA"/>
        </w:rPr>
        <w:t>方案和</w:t>
      </w:r>
      <w:r>
        <w:rPr>
          <w:rFonts w:hint="eastAsia" w:ascii="仿宋_GB2312" w:hAnsi="仿宋_GB2312" w:cs="仿宋_GB2312"/>
          <w:kern w:val="2"/>
          <w:sz w:val="32"/>
          <w:lang w:eastAsia="zh-CN" w:bidi="ar-SA"/>
        </w:rPr>
        <w:t>事故</w:t>
      </w:r>
      <w:r>
        <w:rPr>
          <w:rFonts w:hint="eastAsia" w:ascii="仿宋_GB2312" w:hAnsi="仿宋_GB2312" w:eastAsia="仿宋_GB2312" w:cs="仿宋_GB2312"/>
          <w:kern w:val="2"/>
          <w:sz w:val="32"/>
          <w:lang w:eastAsia="zh-CN" w:bidi="ar-SA"/>
        </w:rPr>
        <w:t>应急预案相关内容进行审核，研究在落实管道保护措施的前提下，项目建设风险是否可控，并现场出具专家评审意见，督促项目建设单位进一步修改完善施工</w:t>
      </w:r>
      <w:r>
        <w:rPr>
          <w:rFonts w:hint="eastAsia" w:ascii="仿宋_GB2312" w:hAnsi="仿宋_GB2312" w:cs="仿宋_GB2312"/>
          <w:kern w:val="2"/>
          <w:sz w:val="32"/>
          <w:lang w:eastAsia="zh-CN" w:bidi="ar-SA"/>
        </w:rPr>
        <w:t>作业</w:t>
      </w:r>
      <w:r>
        <w:rPr>
          <w:rFonts w:hint="eastAsia" w:ascii="仿宋_GB2312" w:hAnsi="仿宋_GB2312" w:eastAsia="仿宋_GB2312" w:cs="仿宋_GB2312"/>
          <w:kern w:val="2"/>
          <w:sz w:val="32"/>
          <w:lang w:eastAsia="zh-CN" w:bidi="ar-SA"/>
        </w:rPr>
        <w:t>方案和</w:t>
      </w:r>
      <w:r>
        <w:rPr>
          <w:rFonts w:hint="eastAsia" w:ascii="仿宋_GB2312" w:hAnsi="仿宋_GB2312" w:cs="仿宋_GB2312"/>
          <w:kern w:val="2"/>
          <w:sz w:val="32"/>
          <w:lang w:eastAsia="zh-CN" w:bidi="ar-SA"/>
        </w:rPr>
        <w:t>事故</w:t>
      </w:r>
      <w:r>
        <w:rPr>
          <w:rFonts w:hint="eastAsia" w:ascii="仿宋_GB2312" w:hAnsi="仿宋_GB2312" w:eastAsia="仿宋_GB2312" w:cs="仿宋_GB2312"/>
          <w:kern w:val="2"/>
          <w:sz w:val="32"/>
          <w:lang w:eastAsia="zh-CN" w:bidi="ar-SA"/>
        </w:rPr>
        <w:t>应急预案</w:t>
      </w:r>
      <w:r>
        <w:rPr>
          <w:rFonts w:hint="eastAsia" w:ascii="仿宋_GB2312" w:hAnsi="微软雅黑" w:eastAsia="仿宋_GB2312" w:cs="微软雅黑"/>
          <w:kern w:val="2"/>
          <w:sz w:val="32"/>
          <w:lang w:eastAsia="zh-CN" w:bidi="ar-SA"/>
        </w:rPr>
        <w:t>等</w:t>
      </w:r>
      <w:r>
        <w:rPr>
          <w:rFonts w:hint="eastAsia" w:ascii="仿宋_GB2312" w:hAnsi="仿宋_GB2312" w:eastAsia="仿宋_GB2312" w:cs="仿宋_GB2312"/>
          <w:kern w:val="2"/>
          <w:sz w:val="32"/>
          <w:lang w:eastAsia="zh-CN" w:bidi="ar-SA"/>
        </w:rPr>
        <w:t>施工作业</w:t>
      </w:r>
      <w:r>
        <w:rPr>
          <w:rFonts w:hint="eastAsia" w:ascii="仿宋_GB2312" w:hAnsi="仿宋_GB2312" w:cs="仿宋_GB2312"/>
          <w:kern w:val="2"/>
          <w:sz w:val="32"/>
          <w:lang w:eastAsia="zh-CN" w:bidi="ar-SA"/>
        </w:rPr>
        <w:t>申请</w:t>
      </w:r>
      <w:r>
        <w:rPr>
          <w:rFonts w:hint="eastAsia" w:ascii="仿宋_GB2312" w:hAnsi="仿宋_GB2312" w:eastAsia="仿宋_GB2312" w:cs="仿宋_GB2312"/>
          <w:kern w:val="2"/>
          <w:sz w:val="32"/>
          <w:lang w:eastAsia="zh-CN" w:bidi="ar-SA"/>
        </w:rPr>
        <w:t>材料内容。</w:t>
      </w:r>
    </w:p>
    <w:p>
      <w:pPr>
        <w:pStyle w:val="11"/>
        <w:numPr>
          <w:ilvl w:val="255"/>
          <w:numId w:val="0"/>
        </w:numPr>
        <w:spacing w:line="560" w:lineRule="exact"/>
        <w:ind w:firstLine="640"/>
        <w:rPr>
          <w:rFonts w:ascii="仿宋_GB2312" w:hAnsi="仿宋_GB2312" w:eastAsia="仿宋_GB2312" w:cs="仿宋_GB2312"/>
          <w:kern w:val="2"/>
          <w:sz w:val="32"/>
          <w:lang w:eastAsia="zh-CN" w:bidi="ar-SA"/>
        </w:rPr>
      </w:pPr>
      <w:r>
        <w:rPr>
          <w:rFonts w:ascii="仿宋_GB2312" w:hAnsi="仿宋_GB2312" w:eastAsia="仿宋_GB2312" w:cs="仿宋_GB2312"/>
          <w:kern w:val="2"/>
          <w:sz w:val="32"/>
          <w:lang w:eastAsia="zh-CN" w:bidi="ar-SA"/>
        </w:rPr>
        <w:t>4.出具意见</w:t>
      </w:r>
    </w:p>
    <w:p>
      <w:pPr>
        <w:pStyle w:val="11"/>
        <w:numPr>
          <w:ilvl w:val="255"/>
          <w:numId w:val="0"/>
        </w:numPr>
        <w:spacing w:line="560" w:lineRule="exact"/>
        <w:ind w:firstLine="640"/>
        <w:rPr>
          <w:rFonts w:ascii="仿宋_GB2312" w:hAnsi="仿宋_GB2312" w:eastAsia="仿宋_GB2312" w:cs="仿宋_GB2312"/>
          <w:kern w:val="2"/>
          <w:sz w:val="32"/>
          <w:lang w:eastAsia="zh-CN" w:bidi="ar-SA"/>
        </w:rPr>
      </w:pPr>
      <w:r>
        <w:rPr>
          <w:rFonts w:hint="eastAsia" w:ascii="仿宋_GB2312" w:hAnsi="仿宋_GB2312" w:eastAsia="仿宋_GB2312" w:cs="仿宋_GB2312"/>
          <w:kern w:val="2"/>
          <w:sz w:val="32"/>
          <w:lang w:eastAsia="zh-CN" w:bidi="ar-SA"/>
        </w:rPr>
        <w:t>结合专家评审意见，查询有关法律法规，对项目建设提出下一步工作要求，出具最终核查意见。</w:t>
      </w:r>
      <w:bookmarkEnd w:id="0"/>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三、项目技术要求</w:t>
      </w:r>
    </w:p>
    <w:p>
      <w:pPr>
        <w:adjustRightInd w:val="0"/>
        <w:snapToGrid w:val="0"/>
        <w:spacing w:line="560" w:lineRule="exact"/>
        <w:ind w:firstLine="640" w:firstLineChars="200"/>
        <w:outlineLvl w:val="0"/>
        <w:rPr>
          <w:rFonts w:hint="eastAsia" w:ascii="仿宋_GB2312" w:hAnsi="仿宋_GB2312" w:eastAsia="仿宋_GB2312" w:cs="仿宋_GB2312"/>
          <w:szCs w:val="21"/>
        </w:rPr>
      </w:pPr>
      <w:r>
        <w:rPr>
          <w:rFonts w:hint="eastAsia" w:ascii="仿宋_GB2312" w:hAnsi="仿宋_GB2312" w:eastAsia="仿宋_GB2312" w:cs="仿宋_GB2312"/>
          <w:b w:val="0"/>
          <w:szCs w:val="21"/>
        </w:rPr>
        <w:t>（</w:t>
      </w:r>
      <w:r>
        <w:rPr>
          <w:rFonts w:hint="eastAsia" w:ascii="仿宋_GB2312" w:hAnsi="仿宋_GB2312" w:eastAsia="仿宋_GB2312" w:cs="仿宋_GB2312"/>
          <w:b w:val="0"/>
          <w:szCs w:val="21"/>
          <w:lang w:val="en-US" w:eastAsia="zh-CN"/>
        </w:rPr>
        <w:t>一）</w:t>
      </w:r>
      <w:r>
        <w:rPr>
          <w:rFonts w:hint="eastAsia" w:hAnsi="仿宋_GB2312" w:cs="仿宋_GB2312"/>
          <w:sz w:val="32"/>
          <w:szCs w:val="21"/>
          <w:lang w:eastAsia="zh-CN"/>
        </w:rPr>
        <w:t>2025-2026</w:t>
      </w:r>
      <w:r>
        <w:rPr>
          <w:rFonts w:hint="eastAsia" w:ascii="仿宋_GB2312" w:hAnsi="仿宋_GB2312" w:eastAsia="仿宋_GB2312" w:cs="仿宋_GB2312"/>
          <w:sz w:val="32"/>
          <w:szCs w:val="21"/>
          <w:lang w:eastAsia="zh-CN"/>
        </w:rPr>
        <w:t>年度龙华区有关项目涉及油气长输管道安全评价报告、施工作业</w:t>
      </w:r>
      <w:r>
        <w:rPr>
          <w:rFonts w:hint="eastAsia" w:hAnsi="仿宋_GB2312" w:cs="仿宋_GB2312"/>
          <w:sz w:val="32"/>
          <w:szCs w:val="21"/>
          <w:lang w:eastAsia="zh-CN"/>
        </w:rPr>
        <w:t>申请</w:t>
      </w:r>
      <w:r>
        <w:rPr>
          <w:rFonts w:hint="eastAsia" w:ascii="仿宋_GB2312" w:hAnsi="仿宋_GB2312" w:eastAsia="仿宋_GB2312" w:cs="仿宋_GB2312"/>
          <w:sz w:val="32"/>
          <w:szCs w:val="21"/>
          <w:lang w:eastAsia="zh-CN"/>
        </w:rPr>
        <w:t>资料核查技术支持服务项目</w:t>
      </w:r>
      <w:r>
        <w:rPr>
          <w:rFonts w:hint="eastAsia" w:ascii="仿宋_GB2312" w:hAnsi="仿宋_GB2312" w:eastAsia="仿宋_GB2312" w:cs="仿宋_GB2312"/>
          <w:b w:val="0"/>
          <w:szCs w:val="21"/>
          <w:lang w:val="en-US" w:eastAsia="zh-CN"/>
        </w:rPr>
        <w:t>遵循</w:t>
      </w:r>
      <w:r>
        <w:rPr>
          <w:rFonts w:hint="eastAsia" w:ascii="仿宋_GB2312" w:hAnsi="仿宋_GB2312" w:eastAsia="仿宋_GB2312" w:cs="仿宋_GB2312"/>
          <w:b w:val="0"/>
          <w:szCs w:val="21"/>
        </w:rPr>
        <w:t>国家颁布的有关法律、法规及政策要求，符合相关的技术规范和标准。</w:t>
      </w:r>
    </w:p>
    <w:p>
      <w:pPr>
        <w:keepNext w:val="0"/>
        <w:keepLines w:val="0"/>
        <w:pageBreakBefore w:val="0"/>
        <w:widowControl w:val="0"/>
        <w:kinsoku/>
        <w:wordWrap/>
        <w:overflowPunct/>
        <w:topLinePunct w:val="0"/>
        <w:autoSpaceDE/>
        <w:autoSpaceDN/>
        <w:bidi w:val="0"/>
        <w:adjustRightInd/>
        <w:snapToGrid/>
        <w:spacing w:line="560" w:lineRule="exact"/>
        <w:ind w:leftChars="0" w:firstLine="640"/>
        <w:jc w:val="both"/>
        <w:textAlignment w:val="auto"/>
        <w:rPr>
          <w:rFonts w:hint="eastAsia" w:ascii="仿宋_GB2312" w:hAnsi="仿宋_GB2312" w:eastAsia="仿宋_GB2312" w:cs="仿宋_GB2312"/>
          <w:kern w:val="2"/>
          <w:sz w:val="32"/>
          <w:szCs w:val="21"/>
          <w:lang w:eastAsia="zh-CN" w:bidi="ar-SA"/>
        </w:rPr>
      </w:pPr>
      <w:r>
        <w:rPr>
          <w:rFonts w:hint="eastAsia" w:ascii="仿宋_GB2312" w:hAnsi="仿宋_GB2312" w:eastAsia="仿宋_GB2312" w:cs="仿宋_GB2312"/>
          <w:b w:val="0"/>
          <w:szCs w:val="21"/>
        </w:rPr>
        <w:t>（二）</w:t>
      </w:r>
      <w:r>
        <w:rPr>
          <w:rFonts w:hint="eastAsia" w:ascii="仿宋_GB2312" w:hAnsi="仿宋_GB2312" w:eastAsia="仿宋_GB2312" w:cs="仿宋_GB2312"/>
          <w:b w:val="0"/>
          <w:szCs w:val="21"/>
          <w:lang w:val="en-US" w:eastAsia="zh-CN"/>
        </w:rPr>
        <w:t>项目开展</w:t>
      </w:r>
      <w:r>
        <w:rPr>
          <w:rFonts w:hint="eastAsia" w:ascii="仿宋_GB2312" w:hAnsi="仿宋_GB2312" w:eastAsia="仿宋_GB2312" w:cs="仿宋_GB2312"/>
          <w:b w:val="0"/>
          <w:szCs w:val="21"/>
        </w:rPr>
        <w:t>过程中应当进行深入调查研究，</w:t>
      </w:r>
      <w:r>
        <w:rPr>
          <w:rFonts w:hint="eastAsia" w:ascii="仿宋_GB2312" w:hAnsi="仿宋_GB2312" w:eastAsia="仿宋_GB2312" w:cs="仿宋_GB2312"/>
          <w:kern w:val="2"/>
          <w:sz w:val="32"/>
          <w:szCs w:val="21"/>
          <w:lang w:eastAsia="zh-CN" w:bidi="ar-SA"/>
        </w:rPr>
        <w:t>全面</w:t>
      </w:r>
      <w:r>
        <w:rPr>
          <w:rFonts w:hint="eastAsia" w:hAnsi="仿宋_GB2312" w:cs="仿宋_GB2312"/>
          <w:kern w:val="2"/>
          <w:sz w:val="32"/>
          <w:szCs w:val="21"/>
          <w:lang w:eastAsia="zh-CN" w:bidi="ar-SA"/>
        </w:rPr>
        <w:t>分析</w:t>
      </w:r>
      <w:r>
        <w:rPr>
          <w:rFonts w:hint="eastAsia" w:ascii="仿宋_GB2312" w:hAnsi="仿宋_GB2312" w:eastAsia="仿宋_GB2312" w:cs="仿宋_GB2312"/>
          <w:kern w:val="2"/>
          <w:sz w:val="32"/>
          <w:szCs w:val="21"/>
          <w:lang w:eastAsia="zh-CN" w:bidi="ar-SA"/>
        </w:rPr>
        <w:t>油气长输管道领域风险点危险源，辨识、评估</w:t>
      </w:r>
      <w:r>
        <w:rPr>
          <w:rFonts w:hint="eastAsia" w:hAnsi="仿宋_GB2312" w:cs="仿宋_GB2312"/>
          <w:kern w:val="2"/>
          <w:sz w:val="32"/>
          <w:szCs w:val="21"/>
          <w:lang w:eastAsia="zh-CN" w:bidi="ar-SA"/>
        </w:rPr>
        <w:t>项目涉油气长输管道</w:t>
      </w:r>
      <w:r>
        <w:rPr>
          <w:rFonts w:hint="eastAsia" w:ascii="仿宋_GB2312" w:hAnsi="仿宋_GB2312" w:eastAsia="仿宋_GB2312" w:cs="仿宋_GB2312"/>
          <w:kern w:val="2"/>
          <w:sz w:val="32"/>
          <w:szCs w:val="21"/>
          <w:lang w:eastAsia="zh-CN" w:bidi="ar-SA"/>
        </w:rPr>
        <w:t>安全风险。</w:t>
      </w:r>
      <w:bookmarkStart w:id="1" w:name="_Hlk35510040"/>
    </w:p>
    <w:bookmarkEnd w:id="1"/>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四、项目成果交付要求</w:t>
      </w:r>
    </w:p>
    <w:p>
      <w:pPr>
        <w:pStyle w:val="11"/>
        <w:numPr>
          <w:ilvl w:val="0"/>
          <w:numId w:val="1"/>
        </w:numPr>
        <w:spacing w:line="560" w:lineRule="exact"/>
        <w:ind w:firstLine="640"/>
        <w:jc w:val="both"/>
        <w:rPr>
          <w:rFonts w:hint="eastAsia" w:ascii="仿宋_GB2312" w:hAnsi="仿宋_GB2312" w:eastAsia="仿宋_GB2312" w:cs="仿宋_GB2312"/>
          <w:bCs/>
          <w:kern w:val="2"/>
          <w:sz w:val="32"/>
          <w:szCs w:val="32"/>
          <w:lang w:eastAsia="zh-CN" w:bidi="ar-SA"/>
        </w:rPr>
      </w:pPr>
      <w:bookmarkStart w:id="2" w:name="_Hlk102754525"/>
      <w:r>
        <w:rPr>
          <w:rFonts w:hint="eastAsia" w:ascii="仿宋_GB2312" w:hAnsi="仿宋_GB2312" w:eastAsia="仿宋_GB2312" w:cs="仿宋_GB2312"/>
          <w:bCs/>
          <w:kern w:val="2"/>
          <w:sz w:val="32"/>
          <w:szCs w:val="32"/>
          <w:lang w:eastAsia="zh-CN" w:bidi="ar-SA"/>
        </w:rPr>
        <w:t>安全评价报告审查意见表（每项目</w:t>
      </w:r>
      <w:r>
        <w:rPr>
          <w:rFonts w:hint="eastAsia" w:ascii="仿宋_GB2312" w:hAnsi="仿宋_GB2312" w:eastAsia="仿宋_GB2312" w:cs="仿宋_GB2312"/>
          <w:bCs/>
          <w:kern w:val="2"/>
          <w:sz w:val="32"/>
          <w:szCs w:val="32"/>
          <w:lang w:val="en-US" w:eastAsia="zh-CN" w:bidi="ar-SA"/>
        </w:rPr>
        <w:t>1份</w:t>
      </w:r>
      <w:r>
        <w:rPr>
          <w:rFonts w:hint="eastAsia" w:ascii="仿宋_GB2312" w:hAnsi="仿宋_GB2312" w:eastAsia="仿宋_GB2312" w:cs="仿宋_GB2312"/>
          <w:bCs/>
          <w:kern w:val="2"/>
          <w:sz w:val="32"/>
          <w:szCs w:val="32"/>
          <w:lang w:eastAsia="zh-CN" w:bidi="ar-SA"/>
        </w:rPr>
        <w:t>）</w:t>
      </w:r>
      <w:r>
        <w:rPr>
          <w:rFonts w:hint="eastAsia" w:ascii="仿宋_GB2312" w:hAnsi="仿宋_GB2312" w:cs="仿宋_GB2312"/>
          <w:bCs/>
          <w:kern w:val="2"/>
          <w:sz w:val="32"/>
          <w:szCs w:val="32"/>
          <w:lang w:eastAsia="zh-CN" w:bidi="ar-SA"/>
        </w:rPr>
        <w:t>；</w:t>
      </w:r>
    </w:p>
    <w:p>
      <w:pPr>
        <w:pStyle w:val="11"/>
        <w:numPr>
          <w:ilvl w:val="0"/>
          <w:numId w:val="1"/>
        </w:numPr>
        <w:spacing w:line="560" w:lineRule="exact"/>
        <w:ind w:firstLine="640"/>
        <w:jc w:val="both"/>
        <w:rPr>
          <w:rFonts w:ascii="仿宋_GB2312" w:hAnsi="仿宋_GB2312" w:eastAsia="仿宋_GB2312" w:cs="仿宋_GB2312"/>
          <w:bCs/>
          <w:kern w:val="2"/>
          <w:sz w:val="32"/>
          <w:szCs w:val="32"/>
          <w:lang w:eastAsia="zh-CN" w:bidi="ar-SA"/>
        </w:rPr>
      </w:pPr>
      <w:r>
        <w:rPr>
          <w:rFonts w:hint="eastAsia" w:ascii="仿宋_GB2312" w:hAnsi="仿宋_GB2312" w:eastAsia="仿宋_GB2312" w:cs="仿宋_GB2312"/>
          <w:bCs/>
          <w:kern w:val="2"/>
          <w:sz w:val="32"/>
          <w:szCs w:val="32"/>
          <w:lang w:eastAsia="zh-CN" w:bidi="ar-SA"/>
        </w:rPr>
        <w:t>可能影响石油天然气管道保护的施工作业</w:t>
      </w:r>
      <w:r>
        <w:rPr>
          <w:rFonts w:hint="eastAsia" w:ascii="仿宋_GB2312" w:hAnsi="仿宋_GB2312" w:cs="仿宋_GB2312"/>
          <w:bCs/>
          <w:kern w:val="2"/>
          <w:sz w:val="32"/>
          <w:szCs w:val="32"/>
          <w:lang w:eastAsia="zh-CN" w:bidi="ar-SA"/>
        </w:rPr>
        <w:t>申请</w:t>
      </w:r>
      <w:r>
        <w:rPr>
          <w:rFonts w:hint="eastAsia" w:ascii="仿宋_GB2312" w:hAnsi="仿宋_GB2312" w:eastAsia="仿宋_GB2312" w:cs="仿宋_GB2312"/>
          <w:bCs/>
          <w:kern w:val="2"/>
          <w:sz w:val="32"/>
          <w:szCs w:val="32"/>
          <w:lang w:eastAsia="zh-CN" w:bidi="ar-SA"/>
        </w:rPr>
        <w:t>材料审核意见表</w:t>
      </w:r>
      <w:r>
        <w:rPr>
          <w:rFonts w:hint="eastAsia" w:ascii="仿宋_GB2312" w:hAnsi="仿宋_GB2312" w:cs="仿宋_GB2312"/>
          <w:bCs/>
          <w:kern w:val="2"/>
          <w:sz w:val="32"/>
          <w:szCs w:val="32"/>
          <w:lang w:eastAsia="zh-CN" w:bidi="ar-SA"/>
        </w:rPr>
        <w:t>（每项目</w:t>
      </w:r>
      <w:r>
        <w:rPr>
          <w:rFonts w:hint="eastAsia" w:ascii="仿宋_GB2312" w:hAnsi="仿宋_GB2312" w:cs="仿宋_GB2312"/>
          <w:bCs/>
          <w:kern w:val="2"/>
          <w:sz w:val="32"/>
          <w:szCs w:val="32"/>
          <w:lang w:val="en-US" w:eastAsia="zh-CN" w:bidi="ar-SA"/>
        </w:rPr>
        <w:t>1份</w:t>
      </w:r>
      <w:r>
        <w:rPr>
          <w:rFonts w:hint="eastAsia" w:ascii="仿宋_GB2312" w:hAnsi="仿宋_GB2312" w:cs="仿宋_GB2312"/>
          <w:bCs/>
          <w:kern w:val="2"/>
          <w:sz w:val="32"/>
          <w:szCs w:val="32"/>
          <w:lang w:eastAsia="zh-CN" w:bidi="ar-SA"/>
        </w:rPr>
        <w:t>）。</w:t>
      </w:r>
    </w:p>
    <w:bookmarkEnd w:id="2"/>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五、项目保密要求</w:t>
      </w:r>
    </w:p>
    <w:p>
      <w:pPr>
        <w:spacing w:line="560" w:lineRule="exact"/>
        <w:ind w:firstLine="640" w:firstLineChars="200"/>
        <w:rPr>
          <w:rFonts w:hint="eastAsia" w:ascii="仿宋_GB2312" w:hAnsi="Times New Roman" w:eastAsia="仿宋_GB2312" w:cs="Times New Roman"/>
          <w:bCs/>
          <w:sz w:val="32"/>
          <w:szCs w:val="32"/>
        </w:rPr>
      </w:pPr>
      <w:r>
        <w:rPr>
          <w:rFonts w:hint="eastAsia" w:ascii="仿宋_GB2312" w:hAnsi="Times New Roman" w:eastAsia="仿宋_GB2312" w:cs="Times New Roman"/>
          <w:bCs/>
          <w:sz w:val="32"/>
          <w:szCs w:val="32"/>
        </w:rPr>
        <w:t>中标人应当对其在项目开展过程中所知悉的国家秘密、商业秘密和技术秘密负有保密责任，建立并实施相应的保密措施，具体保密要求如下：</w:t>
      </w:r>
    </w:p>
    <w:p>
      <w:pPr>
        <w:pStyle w:val="5"/>
        <w:keepNext w:val="0"/>
        <w:keepLines w:val="0"/>
        <w:spacing w:before="0" w:after="0" w:line="560" w:lineRule="exact"/>
        <w:ind w:firstLine="640" w:firstLineChars="200"/>
        <w:rPr>
          <w:rFonts w:hint="eastAsia" w:ascii="仿宋_GB2312" w:hAnsi="Times New Roman" w:eastAsia="仿宋_GB2312"/>
          <w:b w:val="0"/>
        </w:rPr>
      </w:pPr>
      <w:r>
        <w:rPr>
          <w:rFonts w:hint="eastAsia" w:ascii="仿宋_GB2312" w:hAnsi="Times New Roman" w:eastAsia="仿宋_GB2312"/>
          <w:b w:val="0"/>
        </w:rPr>
        <w:t>（一）中标人不得利用所获取、掌握的采购人及其他政府部门的任何保密内容从事采购人及其他政府部门授权工作以外的任何事情，不得披露、允许第三方使用。</w:t>
      </w:r>
    </w:p>
    <w:p>
      <w:pPr>
        <w:pStyle w:val="5"/>
        <w:keepNext w:val="0"/>
        <w:keepLines w:val="0"/>
        <w:spacing w:before="0" w:after="0" w:line="560" w:lineRule="exact"/>
        <w:ind w:firstLine="640" w:firstLineChars="200"/>
        <w:rPr>
          <w:rFonts w:hint="eastAsia" w:ascii="仿宋_GB2312" w:hAnsi="Times New Roman" w:eastAsia="仿宋_GB2312"/>
          <w:b w:val="0"/>
        </w:rPr>
      </w:pPr>
      <w:r>
        <w:rPr>
          <w:rFonts w:hint="eastAsia" w:ascii="仿宋_GB2312" w:hAnsi="Times New Roman" w:eastAsia="仿宋_GB2312"/>
          <w:b w:val="0"/>
        </w:rPr>
        <w:t>（二）中标人按照采购人要求完成项目后，须立即将项目成果提交采购人存档，未经采购人许可，不得向第三方披露。</w:t>
      </w:r>
    </w:p>
    <w:p>
      <w:pPr>
        <w:pStyle w:val="5"/>
        <w:keepNext w:val="0"/>
        <w:keepLines w:val="0"/>
        <w:spacing w:before="0" w:after="0" w:line="560" w:lineRule="exact"/>
        <w:ind w:firstLine="640" w:firstLineChars="200"/>
        <w:rPr>
          <w:rFonts w:hint="eastAsia" w:ascii="仿宋_GB2312" w:hAnsi="Times New Roman" w:eastAsia="仿宋_GB2312"/>
          <w:b w:val="0"/>
        </w:rPr>
      </w:pPr>
      <w:r>
        <w:rPr>
          <w:rFonts w:hint="eastAsia" w:ascii="仿宋_GB2312" w:hAnsi="Times New Roman" w:eastAsia="仿宋_GB2312"/>
          <w:b w:val="0"/>
        </w:rPr>
        <w:t>（三）中标人应建立相应的保密制度，明确项目开展过程中各环节的保密性要求，确保相关资料和信息的保密性。</w:t>
      </w:r>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六、投标资格要求</w:t>
      </w:r>
    </w:p>
    <w:p>
      <w:pPr>
        <w:widowControl w:val="0"/>
        <w:autoSpaceDE/>
        <w:autoSpaceDN/>
        <w:spacing w:line="560" w:lineRule="exact"/>
        <w:ind w:firstLine="640"/>
        <w:jc w:val="both"/>
        <w:rPr>
          <w:rFonts w:hint="eastAsia" w:ascii="仿宋_GB2312" w:hAnsi="Times New Roman" w:eastAsia="仿宋_GB2312" w:cs="Times New Roman"/>
          <w:bCs/>
          <w:kern w:val="2"/>
          <w:sz w:val="32"/>
          <w:szCs w:val="32"/>
          <w:lang w:eastAsia="zh-CN" w:bidi="ar-SA"/>
        </w:rPr>
      </w:pPr>
      <w:r>
        <w:rPr>
          <w:rFonts w:hint="eastAsia" w:ascii="仿宋_GB2312" w:hAnsi="Times New Roman" w:eastAsia="仿宋_GB2312" w:cs="Times New Roman"/>
          <w:bCs/>
          <w:kern w:val="2"/>
          <w:sz w:val="32"/>
          <w:szCs w:val="32"/>
          <w:lang w:eastAsia="zh-CN" w:bidi="ar-SA"/>
        </w:rPr>
        <w:t xml:space="preserve">（一）具有独立承担民事责任能力的在中华人民共和国境内注册的法人或具有独立承担民事责任能力的其它组织（提供营业执照或事业单位法人证书等法人证明扫描件）。 </w:t>
      </w:r>
    </w:p>
    <w:p>
      <w:pPr>
        <w:widowControl w:val="0"/>
        <w:autoSpaceDE/>
        <w:autoSpaceDN/>
        <w:spacing w:line="560" w:lineRule="exact"/>
        <w:ind w:firstLine="640"/>
        <w:jc w:val="both"/>
        <w:rPr>
          <w:rFonts w:hint="eastAsia" w:ascii="仿宋_GB2312" w:hAnsi="Times New Roman" w:eastAsia="仿宋_GB2312" w:cs="Times New Roman"/>
          <w:bCs/>
          <w:kern w:val="2"/>
          <w:sz w:val="32"/>
          <w:szCs w:val="32"/>
          <w:lang w:eastAsia="zh-CN" w:bidi="ar-SA"/>
        </w:rPr>
      </w:pPr>
      <w:r>
        <w:rPr>
          <w:rFonts w:hint="eastAsia" w:ascii="仿宋_GB2312" w:hAnsi="Times New Roman" w:eastAsia="仿宋_GB2312" w:cs="Times New Roman"/>
          <w:bCs/>
          <w:kern w:val="2"/>
          <w:sz w:val="32"/>
          <w:szCs w:val="32"/>
          <w:lang w:eastAsia="zh-CN" w:bidi="ar-SA"/>
        </w:rPr>
        <w:t xml:space="preserve">（二）参加本次政府采购活动前3年内在经营活动中没有重大违法记录（提供信用中国网或中国政府采购网或深圳市政府采购监督管理网或深圳公共资源交易中心市区政府采购统一平台或“国家企业信用信息公示系统等官网查询记录证明，并在《政府采购投标及履约承诺函》中作出声明）。 </w:t>
      </w:r>
    </w:p>
    <w:p>
      <w:pPr>
        <w:widowControl w:val="0"/>
        <w:autoSpaceDE/>
        <w:autoSpaceDN/>
        <w:spacing w:line="560" w:lineRule="exact"/>
        <w:ind w:firstLine="640"/>
        <w:jc w:val="both"/>
        <w:rPr>
          <w:rFonts w:hint="eastAsia" w:ascii="仿宋_GB2312" w:hAnsi="Times New Roman" w:eastAsia="仿宋_GB2312" w:cs="Times New Roman"/>
          <w:bCs/>
          <w:kern w:val="2"/>
          <w:sz w:val="32"/>
          <w:szCs w:val="32"/>
          <w:lang w:eastAsia="zh-CN" w:bidi="ar-SA"/>
        </w:rPr>
      </w:pPr>
      <w:r>
        <w:rPr>
          <w:rFonts w:hint="eastAsia" w:ascii="仿宋_GB2312" w:hAnsi="Times New Roman" w:eastAsia="仿宋_GB2312" w:cs="Times New Roman"/>
          <w:bCs/>
          <w:kern w:val="2"/>
          <w:sz w:val="32"/>
          <w:szCs w:val="32"/>
          <w:lang w:eastAsia="zh-CN" w:bidi="ar-SA"/>
        </w:rPr>
        <w:t>（三）参与本项目政府采购活动时不存在被有关部门禁止参与政府采购活动且在有效期内的情况（由供应商在《政府采购投标及履约承诺函》中作出声明）。</w:t>
      </w:r>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七、投标时间、地点及联系人</w:t>
      </w:r>
    </w:p>
    <w:p>
      <w:pPr>
        <w:pStyle w:val="5"/>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（一）投标时</w:t>
      </w:r>
      <w:r>
        <w:rPr>
          <w:rFonts w:hint="eastAsia" w:ascii="仿宋_GB2312" w:hAnsi="Times New Roman" w:eastAsia="仿宋_GB2312"/>
          <w:b w:val="0"/>
          <w:highlight w:val="none"/>
        </w:rPr>
        <w:t>间：</w:t>
      </w:r>
      <w:r>
        <w:rPr>
          <w:rFonts w:ascii="仿宋_GB2312" w:hAnsi="Times New Roman" w:eastAsia="仿宋_GB2312"/>
          <w:b w:val="0"/>
          <w:color w:val="auto"/>
          <w:highlight w:val="none"/>
        </w:rPr>
        <w:t>202</w:t>
      </w:r>
      <w:r>
        <w:rPr>
          <w:rFonts w:hint="eastAsia" w:hAnsi="Times New Roman"/>
          <w:b w:val="0"/>
          <w:color w:val="auto"/>
          <w:highlight w:val="none"/>
          <w:lang w:val="en-US" w:eastAsia="zh-CN"/>
        </w:rPr>
        <w:t>5</w:t>
      </w:r>
      <w:r>
        <w:rPr>
          <w:rFonts w:hint="eastAsia" w:ascii="仿宋_GB2312" w:hAnsi="Times New Roman" w:eastAsia="仿宋_GB2312"/>
          <w:b w:val="0"/>
          <w:color w:val="auto"/>
          <w:highlight w:val="none"/>
        </w:rPr>
        <w:t>年</w:t>
      </w:r>
      <w:r>
        <w:rPr>
          <w:rFonts w:hint="eastAsia" w:hAnsi="Times New Roman"/>
          <w:b w:val="0"/>
          <w:color w:val="auto"/>
          <w:highlight w:val="none"/>
          <w:lang w:val="en-US" w:eastAsia="zh-CN"/>
        </w:rPr>
        <w:t>7</w:t>
      </w:r>
      <w:r>
        <w:rPr>
          <w:rFonts w:hint="eastAsia" w:ascii="仿宋_GB2312" w:hAnsi="Times New Roman" w:eastAsia="仿宋_GB2312"/>
          <w:b w:val="0"/>
          <w:color w:val="auto"/>
          <w:highlight w:val="none"/>
        </w:rPr>
        <w:t>月</w:t>
      </w:r>
      <w:r>
        <w:rPr>
          <w:rFonts w:hint="eastAsia" w:hAnsi="Times New Roman"/>
          <w:b w:val="0"/>
          <w:color w:val="auto"/>
          <w:highlight w:val="none"/>
          <w:lang w:val="en-US" w:eastAsia="zh-CN"/>
        </w:rPr>
        <w:t>15</w:t>
      </w:r>
      <w:r>
        <w:rPr>
          <w:rFonts w:hint="eastAsia" w:ascii="仿宋_GB2312" w:hAnsi="Times New Roman" w:eastAsia="仿宋_GB2312"/>
          <w:b w:val="0"/>
          <w:color w:val="auto"/>
          <w:highlight w:val="none"/>
        </w:rPr>
        <w:t>日至</w:t>
      </w:r>
      <w:r>
        <w:rPr>
          <w:rFonts w:ascii="仿宋_GB2312" w:hAnsi="Times New Roman" w:eastAsia="仿宋_GB2312"/>
          <w:b w:val="0"/>
          <w:color w:val="auto"/>
          <w:highlight w:val="none"/>
        </w:rPr>
        <w:t>202</w:t>
      </w:r>
      <w:r>
        <w:rPr>
          <w:rFonts w:hint="eastAsia" w:hAnsi="Times New Roman"/>
          <w:b w:val="0"/>
          <w:color w:val="auto"/>
          <w:highlight w:val="none"/>
          <w:lang w:val="en-US" w:eastAsia="zh-CN"/>
        </w:rPr>
        <w:t>5</w:t>
      </w:r>
      <w:r>
        <w:rPr>
          <w:rFonts w:hint="eastAsia" w:ascii="仿宋_GB2312" w:hAnsi="Times New Roman" w:eastAsia="仿宋_GB2312"/>
          <w:b w:val="0"/>
          <w:color w:val="auto"/>
          <w:highlight w:val="none"/>
        </w:rPr>
        <w:t>年</w:t>
      </w:r>
      <w:r>
        <w:rPr>
          <w:rFonts w:hint="eastAsia" w:hAnsi="Times New Roman"/>
          <w:b w:val="0"/>
          <w:color w:val="auto"/>
          <w:highlight w:val="none"/>
          <w:lang w:val="en-US" w:eastAsia="zh-CN"/>
        </w:rPr>
        <w:t>7</w:t>
      </w:r>
      <w:r>
        <w:rPr>
          <w:rFonts w:hint="eastAsia" w:ascii="仿宋_GB2312" w:hAnsi="Times New Roman" w:eastAsia="仿宋_GB2312"/>
          <w:b w:val="0"/>
          <w:color w:val="auto"/>
          <w:highlight w:val="none"/>
        </w:rPr>
        <w:t>月</w:t>
      </w:r>
      <w:r>
        <w:rPr>
          <w:rFonts w:hint="eastAsia" w:hAnsi="Times New Roman"/>
          <w:b w:val="0"/>
          <w:color w:val="auto"/>
          <w:highlight w:val="none"/>
          <w:lang w:val="en-US" w:eastAsia="zh-CN"/>
        </w:rPr>
        <w:t>17</w:t>
      </w:r>
      <w:r>
        <w:rPr>
          <w:rFonts w:hint="eastAsia" w:ascii="仿宋_GB2312" w:hAnsi="Times New Roman" w:eastAsia="仿宋_GB2312"/>
          <w:b w:val="0"/>
          <w:color w:val="auto"/>
          <w:highlight w:val="none"/>
        </w:rPr>
        <w:t>日</w:t>
      </w:r>
      <w:r>
        <w:rPr>
          <w:rFonts w:hint="eastAsia" w:ascii="仿宋_GB2312" w:hAnsi="Times New Roman" w:eastAsia="仿宋_GB2312"/>
          <w:b w:val="0"/>
          <w:color w:val="auto"/>
          <w:highlight w:val="none"/>
          <w:lang w:val="en-US" w:eastAsia="zh-CN"/>
        </w:rPr>
        <w:t>（以正式发布为准）</w:t>
      </w:r>
      <w:r>
        <w:rPr>
          <w:rFonts w:hint="eastAsia" w:ascii="仿宋_GB2312" w:hAnsi="Times New Roman" w:eastAsia="仿宋_GB2312"/>
          <w:b w:val="0"/>
          <w:highlight w:val="none"/>
        </w:rPr>
        <w:t>，上午</w:t>
      </w:r>
      <w:r>
        <w:rPr>
          <w:rFonts w:ascii="仿宋_GB2312" w:hAnsi="Times New Roman" w:eastAsia="仿宋_GB2312"/>
          <w:b w:val="0"/>
          <w:highlight w:val="none"/>
        </w:rPr>
        <w:t>9:00-</w:t>
      </w:r>
      <w:r>
        <w:rPr>
          <w:rFonts w:ascii="仿宋_GB2312" w:hAnsi="Times New Roman" w:eastAsia="仿宋_GB2312"/>
          <w:b w:val="0"/>
        </w:rPr>
        <w:t>12:00，下午2:00-</w:t>
      </w:r>
      <w:r>
        <w:rPr>
          <w:rFonts w:hint="eastAsia" w:hAnsi="Times New Roman"/>
          <w:b w:val="0"/>
          <w:lang w:val="en-US" w:eastAsia="zh-CN"/>
        </w:rPr>
        <w:t>6</w:t>
      </w:r>
      <w:r>
        <w:rPr>
          <w:rFonts w:ascii="仿宋_GB2312" w:hAnsi="Times New Roman" w:eastAsia="仿宋_GB2312"/>
          <w:b w:val="0"/>
        </w:rPr>
        <w:t>:</w:t>
      </w:r>
      <w:r>
        <w:rPr>
          <w:rFonts w:hint="eastAsia" w:hAnsi="Times New Roman"/>
          <w:b w:val="0"/>
          <w:lang w:val="en-US" w:eastAsia="zh-CN"/>
        </w:rPr>
        <w:t>00</w:t>
      </w:r>
      <w:r>
        <w:rPr>
          <w:rFonts w:ascii="仿宋_GB2312" w:hAnsi="Times New Roman" w:eastAsia="仿宋_GB2312"/>
          <w:b w:val="0"/>
        </w:rPr>
        <w:t>（节假日除外）。逾期未投标将不再受理。</w:t>
      </w:r>
    </w:p>
    <w:p>
      <w:pPr>
        <w:pStyle w:val="5"/>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（二）投标地点：深圳市龙华区龙华街道清泉路7号富康行政服务办公区</w:t>
      </w:r>
      <w:r>
        <w:rPr>
          <w:rFonts w:hint="eastAsia" w:hAnsi="Times New Roman"/>
          <w:b w:val="0"/>
          <w:lang w:val="en-US" w:eastAsia="zh-CN"/>
        </w:rPr>
        <w:t>20</w:t>
      </w:r>
      <w:r>
        <w:rPr>
          <w:rFonts w:hint="eastAsia" w:ascii="仿宋_GB2312" w:hAnsi="Times New Roman" w:eastAsia="仿宋_GB2312"/>
          <w:b w:val="0"/>
          <w:lang w:eastAsia="zh-CN"/>
        </w:rPr>
        <w:t>楼</w:t>
      </w:r>
      <w:r>
        <w:rPr>
          <w:rFonts w:hint="eastAsia" w:ascii="仿宋_GB2312" w:hAnsi="Times New Roman" w:eastAsia="仿宋_GB2312"/>
          <w:b w:val="0"/>
          <w:lang w:val="en-US" w:eastAsia="zh-CN"/>
        </w:rPr>
        <w:t>，</w:t>
      </w:r>
      <w:r>
        <w:rPr>
          <w:rFonts w:hint="eastAsia" w:ascii="仿宋_GB2312" w:hAnsi="Times New Roman" w:eastAsia="仿宋_GB2312"/>
          <w:b w:val="0"/>
        </w:rPr>
        <w:t>深圳市龙华区发展和改革局</w:t>
      </w:r>
      <w:r>
        <w:rPr>
          <w:rFonts w:hint="eastAsia" w:ascii="仿宋_GB2312" w:hAnsi="Times New Roman" w:eastAsia="仿宋_GB2312"/>
          <w:b w:val="0"/>
          <w:lang w:eastAsia="zh-CN"/>
        </w:rPr>
        <w:t>办公室</w:t>
      </w:r>
      <w:r>
        <w:rPr>
          <w:rFonts w:ascii="仿宋_GB2312" w:hAnsi="Times New Roman" w:eastAsia="仿宋_GB2312"/>
          <w:b w:val="0"/>
        </w:rPr>
        <w:t>。</w:t>
      </w:r>
    </w:p>
    <w:p>
      <w:pPr>
        <w:pStyle w:val="5"/>
        <w:keepNext w:val="0"/>
        <w:keepLines w:val="0"/>
        <w:spacing w:before="0" w:after="0" w:line="560" w:lineRule="exact"/>
        <w:ind w:firstLine="640" w:firstLineChars="200"/>
        <w:rPr>
          <w:rFonts w:hint="default" w:ascii="仿宋_GB2312" w:hAnsi="Times New Roman" w:eastAsia="仿宋_GB2312"/>
          <w:lang w:val="en-US" w:eastAsia="zh-CN"/>
        </w:rPr>
      </w:pPr>
      <w:r>
        <w:rPr>
          <w:rFonts w:hint="eastAsia" w:ascii="仿宋_GB2312" w:hAnsi="Times New Roman" w:eastAsia="仿宋_GB2312"/>
          <w:b w:val="0"/>
        </w:rPr>
        <w:t>（三）联系</w:t>
      </w:r>
      <w:r>
        <w:rPr>
          <w:rFonts w:hint="eastAsia" w:ascii="仿宋_GB2312" w:hAnsi="Times New Roman" w:eastAsia="仿宋_GB2312"/>
          <w:b w:val="0"/>
          <w:lang w:eastAsia="zh-CN"/>
        </w:rPr>
        <w:t>人及</w:t>
      </w:r>
      <w:r>
        <w:rPr>
          <w:rFonts w:hint="eastAsia" w:ascii="仿宋_GB2312" w:hAnsi="Times New Roman" w:eastAsia="仿宋_GB2312"/>
          <w:b w:val="0"/>
        </w:rPr>
        <w:t>电话：</w:t>
      </w:r>
      <w:r>
        <w:rPr>
          <w:rFonts w:hint="eastAsia" w:hAnsi="Times New Roman"/>
          <w:b w:val="0"/>
          <w:lang w:eastAsia="zh-CN"/>
        </w:rPr>
        <w:t>朱小霞</w:t>
      </w:r>
      <w:r>
        <w:rPr>
          <w:rFonts w:hint="eastAsia" w:ascii="仿宋_GB2312" w:hAnsi="Times New Roman" w:eastAsia="仿宋_GB2312"/>
          <w:b w:val="0"/>
          <w:lang w:val="en-US" w:eastAsia="zh-CN"/>
        </w:rPr>
        <w:t>，0755-23338</w:t>
      </w:r>
      <w:r>
        <w:rPr>
          <w:rFonts w:hint="eastAsia" w:hAnsi="Times New Roman"/>
          <w:b w:val="0"/>
          <w:lang w:val="en-US" w:eastAsia="zh-CN"/>
        </w:rPr>
        <w:t>455。</w:t>
      </w:r>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八、投标文件递交内容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21"/>
          <w:lang w:val="en-US" w:eastAsia="zh-CN" w:bidi="ar-SA"/>
        </w:rPr>
      </w:pPr>
      <w:r>
        <w:rPr>
          <w:rFonts w:hint="eastAsia" w:ascii="仿宋_GB2312" w:hAnsi="仿宋_GB2312" w:eastAsia="仿宋_GB2312" w:cs="仿宋_GB2312"/>
          <w:b w:val="0"/>
          <w:bCs w:val="0"/>
          <w:kern w:val="2"/>
          <w:sz w:val="32"/>
          <w:szCs w:val="21"/>
          <w:lang w:val="en-US" w:eastAsia="zh-CN" w:bidi="ar-SA"/>
        </w:rPr>
        <w:t>（一）活动报价单。以表格形式列举每一项服务内容的技术人员等级、人数、工作天数和总价；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21"/>
          <w:lang w:val="en-US" w:eastAsia="zh-CN" w:bidi="ar-SA"/>
        </w:rPr>
      </w:pPr>
      <w:r>
        <w:rPr>
          <w:rFonts w:hint="eastAsia" w:ascii="仿宋_GB2312" w:hAnsi="仿宋_GB2312" w:eastAsia="仿宋_GB2312" w:cs="仿宋_GB2312"/>
          <w:b w:val="0"/>
          <w:bCs w:val="0"/>
          <w:kern w:val="2"/>
          <w:sz w:val="32"/>
          <w:szCs w:val="21"/>
          <w:lang w:val="en-US" w:eastAsia="zh-CN" w:bidi="ar-SA"/>
        </w:rPr>
        <w:t>（二）项目方案介绍。包括实施方案、重难点分析、质量保障措施及方案、服务承诺等相关描述；</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kern w:val="2"/>
          <w:sz w:val="32"/>
          <w:szCs w:val="21"/>
          <w:lang w:val="en-US" w:eastAsia="zh-CN" w:bidi="ar-SA"/>
        </w:rPr>
      </w:pPr>
      <w:r>
        <w:rPr>
          <w:rFonts w:hint="eastAsia" w:ascii="仿宋_GB2312" w:hAnsi="仿宋_GB2312" w:eastAsia="仿宋_GB2312" w:cs="仿宋_GB2312"/>
          <w:b w:val="0"/>
          <w:bCs w:val="0"/>
          <w:kern w:val="2"/>
          <w:sz w:val="32"/>
          <w:szCs w:val="21"/>
          <w:lang w:val="en-US" w:eastAsia="zh-CN" w:bidi="ar-SA"/>
        </w:rPr>
        <w:t>（三）公司简介。简要介绍公司背景、资质、获奖情况、供应商基本情况表等；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21"/>
          <w:lang w:val="en-US" w:eastAsia="zh-CN" w:bidi="ar-SA"/>
        </w:rPr>
      </w:pPr>
      <w:r>
        <w:rPr>
          <w:rFonts w:hint="eastAsia" w:ascii="仿宋_GB2312" w:hAnsi="仿宋_GB2312" w:eastAsia="仿宋_GB2312" w:cs="仿宋_GB2312"/>
          <w:b w:val="0"/>
          <w:bCs w:val="0"/>
          <w:kern w:val="2"/>
          <w:sz w:val="32"/>
          <w:szCs w:val="21"/>
          <w:lang w:val="en-US" w:eastAsia="zh-CN" w:bidi="ar-SA"/>
        </w:rPr>
        <w:t>（四）信誉证明材料。包括但不限于企业营业执照、注册登记信息证明、股东成分、投标及履约承诺函等信息；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21"/>
          <w:lang w:val="en-US" w:eastAsia="zh-CN" w:bidi="ar-SA"/>
        </w:rPr>
      </w:pPr>
      <w:r>
        <w:rPr>
          <w:rFonts w:hint="eastAsia" w:ascii="仿宋_GB2312" w:hAnsi="仿宋_GB2312" w:eastAsia="仿宋_GB2312" w:cs="仿宋_GB2312"/>
          <w:b w:val="0"/>
          <w:bCs w:val="0"/>
          <w:kern w:val="2"/>
          <w:sz w:val="32"/>
          <w:szCs w:val="21"/>
          <w:lang w:val="en-US" w:eastAsia="zh-CN" w:bidi="ar-SA"/>
        </w:rPr>
        <w:t>（五）项目案例。列举既往活动项目案例，政府活动优先考虑，需提供佐证材料；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21"/>
          <w:lang w:val="en-US" w:eastAsia="zh-CN" w:bidi="ar-SA"/>
        </w:rPr>
      </w:pPr>
      <w:r>
        <w:rPr>
          <w:rFonts w:hint="eastAsia" w:ascii="仿宋_GB2312" w:hAnsi="仿宋_GB2312" w:eastAsia="仿宋_GB2312" w:cs="仿宋_GB2312"/>
          <w:b w:val="0"/>
          <w:bCs w:val="0"/>
          <w:kern w:val="2"/>
          <w:sz w:val="32"/>
          <w:szCs w:val="21"/>
          <w:lang w:val="en-US" w:eastAsia="zh-CN" w:bidi="ar-SA"/>
        </w:rPr>
        <w:t>（六）人员配备情况。包括但不限于项目成员学历证明、专业技术职称证书、社保清单。</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_GB2312" w:hAnsi="仿宋" w:eastAsia="仿宋_GB2312" w:cs="仿宋_GB2312"/>
          <w:sz w:val="32"/>
          <w:szCs w:val="32"/>
        </w:rPr>
        <w:t>投标文件一式</w:t>
      </w:r>
      <w:r>
        <w:rPr>
          <w:rFonts w:hint="eastAsia" w:ascii="仿宋_GB2312" w:hAnsi="仿宋" w:eastAsia="仿宋_GB2312" w:cs="仿宋_GB2312"/>
          <w:sz w:val="32"/>
          <w:szCs w:val="32"/>
          <w:lang w:eastAsia="zh-CN"/>
        </w:rPr>
        <w:t>五</w:t>
      </w:r>
      <w:r>
        <w:rPr>
          <w:rFonts w:hint="eastAsia" w:ascii="仿宋_GB2312" w:hAnsi="仿宋" w:eastAsia="仿宋_GB2312" w:cs="仿宋_GB2312"/>
          <w:sz w:val="32"/>
          <w:szCs w:val="32"/>
        </w:rPr>
        <w:t>份，整套</w:t>
      </w:r>
      <w:r>
        <w:rPr>
          <w:rFonts w:hint="eastAsia" w:ascii="仿宋_GB2312" w:hAnsi="仿宋" w:eastAsia="仿宋_GB2312" w:cs="仿宋_GB2312"/>
          <w:sz w:val="32"/>
          <w:szCs w:val="32"/>
          <w:lang w:eastAsia="zh-CN"/>
        </w:rPr>
        <w:t>纸质</w:t>
      </w:r>
      <w:r>
        <w:rPr>
          <w:rFonts w:hint="eastAsia" w:ascii="仿宋_GB2312" w:hAnsi="仿宋" w:eastAsia="仿宋_GB2312" w:cs="仿宋_GB2312"/>
          <w:sz w:val="32"/>
          <w:szCs w:val="32"/>
        </w:rPr>
        <w:t>材料密封并加盖骑缝章，封面注明投标人的名称、地址、联系人及手机号码。</w:t>
      </w:r>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九、重要提示</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投标单位有下列情况之一的，其投标将被拒绝或作无效投标处理：</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（一）未在规定时间内将投标文件送达规定地点的。</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（二）投标人不具备投标资格要求，或未提交相应资格证明材料。</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（三）投标文件未按规定密封、签字、盖章。</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（四）投标文件无法定代表人签字或无法定代表人有效授权委托的。</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（五）分项报价或投标总价高于预算金额（最高投标限价）的。</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（六）同一项目出现两个及以上报价，且按规定无法确定哪个是有效报价。</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（八）所投服务在质量、技术、方案等方面没有实质性满足招标文件要求。</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（九）法律、法规规定的其他情形。</w:t>
      </w:r>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十、评标方法</w:t>
      </w:r>
    </w:p>
    <w:p>
      <w:pPr>
        <w:pStyle w:val="4"/>
        <w:spacing w:before="0" w:after="0" w:line="560" w:lineRule="exact"/>
        <w:ind w:firstLine="640"/>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（一）评分规则</w:t>
      </w:r>
    </w:p>
    <w:p>
      <w:pPr>
        <w:spacing w:line="560" w:lineRule="exact"/>
        <w:ind w:firstLine="640"/>
        <w:rPr>
          <w:rFonts w:ascii="黑体" w:hAnsi="黑体" w:eastAsia="黑体" w:cs="仿宋_GB2312"/>
          <w:bCs/>
          <w:color w:val="000000"/>
          <w:sz w:val="32"/>
          <w:szCs w:val="32"/>
          <w:lang w:eastAsia="zh-CN"/>
        </w:rPr>
      </w:pPr>
      <w:r>
        <w:rPr>
          <w:rFonts w:hint="eastAsia" w:ascii="仿宋_GB2312" w:hAnsi="仿宋_GB2312" w:eastAsia="仿宋_GB2312"/>
          <w:color w:val="000000"/>
          <w:sz w:val="32"/>
          <w:szCs w:val="32"/>
          <w:lang w:eastAsia="zh-CN"/>
        </w:rPr>
        <w:t>评标采用综合评分法。确定中标供应商按评审后得分由高到低顺序排列。得分相同的，按投标报价由低到高顺序排列。得分且投标报价相同的，按技术或服务方案优劣顺序排列。</w:t>
      </w:r>
    </w:p>
    <w:p>
      <w:pPr>
        <w:pStyle w:val="4"/>
        <w:spacing w:before="0" w:after="0" w:line="560" w:lineRule="exact"/>
        <w:ind w:firstLine="640"/>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（二）评分权重</w:t>
      </w:r>
    </w:p>
    <w:tbl>
      <w:tblPr>
        <w:tblStyle w:val="16"/>
        <w:tblW w:w="0"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883"/>
        <w:gridCol w:w="1681"/>
        <w:gridCol w:w="1724"/>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pStyle w:val="19"/>
              <w:spacing w:line="560" w:lineRule="exact"/>
              <w:ind w:firstLine="0" w:firstLineChars="0"/>
              <w:jc w:val="center"/>
              <w:rPr>
                <w:rFonts w:hint="eastAsia" w:ascii="仿宋_GB2312" w:hAnsi="仿宋_GB2312" w:cs="仿宋_GB2312"/>
                <w:bCs/>
                <w:color w:val="000000"/>
                <w:sz w:val="32"/>
                <w:szCs w:val="32"/>
              </w:rPr>
            </w:pPr>
            <w:r>
              <w:rPr>
                <w:rFonts w:hint="eastAsia" w:ascii="仿宋_GB2312" w:hAnsi="仿宋_GB2312" w:cs="仿宋_GB2312"/>
                <w:bCs/>
                <w:color w:val="000000"/>
                <w:sz w:val="32"/>
                <w:szCs w:val="32"/>
              </w:rPr>
              <w:t>评分内容</w:t>
            </w:r>
          </w:p>
        </w:tc>
        <w:tc>
          <w:tcPr>
            <w:tcW w:w="1883" w:type="dxa"/>
          </w:tcPr>
          <w:p>
            <w:pPr>
              <w:pStyle w:val="19"/>
              <w:spacing w:line="560" w:lineRule="exact"/>
              <w:ind w:firstLine="0" w:firstLineChars="0"/>
              <w:jc w:val="center"/>
              <w:rPr>
                <w:rFonts w:hint="eastAsia" w:ascii="仿宋_GB2312" w:hAnsi="仿宋_GB2312" w:cs="仿宋_GB2312"/>
                <w:bCs/>
                <w:color w:val="000000"/>
                <w:sz w:val="32"/>
                <w:szCs w:val="32"/>
              </w:rPr>
            </w:pPr>
            <w:r>
              <w:rPr>
                <w:rFonts w:hint="eastAsia" w:ascii="仿宋_GB2312" w:hAnsi="仿宋_GB2312" w:cs="仿宋_GB2312"/>
                <w:bCs/>
                <w:color w:val="000000"/>
                <w:sz w:val="32"/>
                <w:szCs w:val="32"/>
              </w:rPr>
              <w:t>商务能力</w:t>
            </w:r>
          </w:p>
        </w:tc>
        <w:tc>
          <w:tcPr>
            <w:tcW w:w="1681" w:type="dxa"/>
          </w:tcPr>
          <w:p>
            <w:pPr>
              <w:pStyle w:val="19"/>
              <w:spacing w:line="560" w:lineRule="exact"/>
              <w:ind w:firstLine="0" w:firstLineChars="0"/>
              <w:jc w:val="center"/>
              <w:rPr>
                <w:rFonts w:hint="eastAsia" w:ascii="仿宋_GB2312" w:hAnsi="仿宋_GB2312" w:cs="仿宋_GB2312"/>
                <w:bCs/>
                <w:color w:val="000000"/>
                <w:sz w:val="32"/>
                <w:szCs w:val="32"/>
              </w:rPr>
            </w:pPr>
            <w:r>
              <w:rPr>
                <w:rFonts w:hint="eastAsia" w:ascii="仿宋_GB2312" w:hAnsi="仿宋_GB2312" w:cs="仿宋_GB2312"/>
                <w:bCs/>
                <w:color w:val="000000"/>
                <w:sz w:val="32"/>
                <w:szCs w:val="32"/>
              </w:rPr>
              <w:t>技术能力</w:t>
            </w:r>
          </w:p>
        </w:tc>
        <w:tc>
          <w:tcPr>
            <w:tcW w:w="1724" w:type="dxa"/>
          </w:tcPr>
          <w:p>
            <w:pPr>
              <w:pStyle w:val="19"/>
              <w:spacing w:line="560" w:lineRule="exact"/>
              <w:ind w:firstLine="0" w:firstLineChars="0"/>
              <w:jc w:val="center"/>
              <w:rPr>
                <w:rFonts w:hint="eastAsia" w:ascii="仿宋_GB2312" w:hAnsi="仿宋_GB2312" w:cs="仿宋_GB2312"/>
                <w:bCs/>
                <w:color w:val="000000"/>
                <w:sz w:val="32"/>
                <w:szCs w:val="32"/>
              </w:rPr>
            </w:pPr>
            <w:r>
              <w:rPr>
                <w:rFonts w:hint="eastAsia" w:ascii="仿宋_GB2312" w:hAnsi="仿宋_GB2312" w:cs="仿宋_GB2312"/>
                <w:bCs/>
                <w:color w:val="000000"/>
                <w:sz w:val="32"/>
                <w:szCs w:val="32"/>
              </w:rPr>
              <w:t>人员配备</w:t>
            </w:r>
          </w:p>
        </w:tc>
        <w:tc>
          <w:tcPr>
            <w:tcW w:w="1808" w:type="dxa"/>
          </w:tcPr>
          <w:p>
            <w:pPr>
              <w:pStyle w:val="19"/>
              <w:spacing w:line="560" w:lineRule="exact"/>
              <w:ind w:firstLine="0" w:firstLineChars="0"/>
              <w:jc w:val="center"/>
              <w:rPr>
                <w:rFonts w:hint="eastAsia" w:ascii="仿宋_GB2312" w:hAnsi="仿宋_GB2312" w:cs="仿宋_GB2312"/>
                <w:bCs/>
                <w:color w:val="000000"/>
                <w:sz w:val="32"/>
                <w:szCs w:val="32"/>
              </w:rPr>
            </w:pPr>
            <w:r>
              <w:rPr>
                <w:rFonts w:hint="eastAsia" w:ascii="仿宋_GB2312" w:hAnsi="仿宋_GB2312" w:cs="仿宋_GB2312"/>
                <w:bCs/>
                <w:color w:val="000000"/>
                <w:sz w:val="32"/>
                <w:szCs w:val="32"/>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pStyle w:val="19"/>
              <w:spacing w:line="560" w:lineRule="exact"/>
              <w:ind w:firstLine="0" w:firstLineChars="0"/>
              <w:jc w:val="center"/>
              <w:rPr>
                <w:rFonts w:hint="eastAsia" w:ascii="仿宋_GB2312" w:hAnsi="仿宋_GB2312" w:cs="仿宋_GB2312"/>
                <w:b w:val="0"/>
                <w:bCs/>
                <w:color w:val="000000"/>
                <w:sz w:val="32"/>
                <w:szCs w:val="32"/>
              </w:rPr>
            </w:pPr>
            <w:r>
              <w:rPr>
                <w:rFonts w:hint="eastAsia" w:ascii="仿宋_GB2312" w:hAnsi="仿宋_GB2312" w:cs="仿宋_GB2312"/>
                <w:b w:val="0"/>
                <w:bCs/>
                <w:color w:val="000000"/>
                <w:sz w:val="32"/>
                <w:szCs w:val="32"/>
              </w:rPr>
              <w:t>分值</w:t>
            </w:r>
          </w:p>
        </w:tc>
        <w:tc>
          <w:tcPr>
            <w:tcW w:w="1883" w:type="dxa"/>
          </w:tcPr>
          <w:p>
            <w:pPr>
              <w:pStyle w:val="19"/>
              <w:spacing w:line="560" w:lineRule="exact"/>
              <w:ind w:firstLine="0" w:firstLineChars="0"/>
              <w:jc w:val="center"/>
              <w:rPr>
                <w:rFonts w:hint="eastAsia" w:ascii="仿宋_GB2312" w:hAnsi="仿宋_GB2312" w:cs="仿宋_GB2312"/>
                <w:b w:val="0"/>
                <w:bCs/>
                <w:color w:val="000000"/>
                <w:sz w:val="32"/>
                <w:szCs w:val="32"/>
              </w:rPr>
            </w:pPr>
            <w:r>
              <w:rPr>
                <w:rFonts w:ascii="仿宋_GB2312" w:hAnsi="仿宋_GB2312" w:cs="仿宋_GB2312"/>
                <w:b w:val="0"/>
                <w:bCs/>
                <w:color w:val="000000"/>
                <w:sz w:val="32"/>
                <w:szCs w:val="32"/>
              </w:rPr>
              <w:t>20</w:t>
            </w:r>
            <w:r>
              <w:rPr>
                <w:rFonts w:hint="eastAsia" w:ascii="仿宋_GB2312" w:hAnsi="仿宋_GB2312" w:cs="仿宋_GB2312"/>
                <w:b w:val="0"/>
                <w:bCs/>
                <w:color w:val="000000"/>
                <w:sz w:val="32"/>
                <w:szCs w:val="32"/>
              </w:rPr>
              <w:t>分</w:t>
            </w:r>
          </w:p>
        </w:tc>
        <w:tc>
          <w:tcPr>
            <w:tcW w:w="1681" w:type="dxa"/>
          </w:tcPr>
          <w:p>
            <w:pPr>
              <w:pStyle w:val="19"/>
              <w:spacing w:line="560" w:lineRule="exact"/>
              <w:ind w:firstLine="0" w:firstLineChars="0"/>
              <w:jc w:val="center"/>
              <w:rPr>
                <w:rFonts w:hint="eastAsia" w:ascii="仿宋_GB2312" w:hAnsi="仿宋_GB2312" w:eastAsia="仿宋_GB2312" w:cs="仿宋_GB2312"/>
                <w:b w:val="0"/>
                <w:bCs/>
                <w:color w:val="000000"/>
                <w:sz w:val="32"/>
                <w:szCs w:val="32"/>
                <w:lang w:eastAsia="zh-CN"/>
              </w:rPr>
            </w:pPr>
            <w:r>
              <w:rPr>
                <w:rFonts w:hint="eastAsia" w:ascii="仿宋_GB2312" w:hAnsi="仿宋_GB2312" w:cs="仿宋_GB2312"/>
                <w:b w:val="0"/>
                <w:bCs/>
                <w:color w:val="000000"/>
                <w:sz w:val="32"/>
                <w:szCs w:val="32"/>
                <w:lang w:eastAsia="zh-CN"/>
              </w:rPr>
              <w:t>40</w:t>
            </w:r>
            <w:r>
              <w:rPr>
                <w:rFonts w:hint="eastAsia" w:ascii="仿宋_GB2312" w:hAnsi="仿宋_GB2312" w:cs="仿宋_GB2312"/>
                <w:b w:val="0"/>
                <w:bCs/>
                <w:color w:val="000000"/>
                <w:sz w:val="32"/>
                <w:szCs w:val="32"/>
              </w:rPr>
              <w:t>分</w:t>
            </w:r>
          </w:p>
        </w:tc>
        <w:tc>
          <w:tcPr>
            <w:tcW w:w="1724" w:type="dxa"/>
          </w:tcPr>
          <w:p>
            <w:pPr>
              <w:pStyle w:val="19"/>
              <w:spacing w:line="560" w:lineRule="exact"/>
              <w:ind w:firstLine="0" w:firstLineChars="0"/>
              <w:jc w:val="center"/>
              <w:rPr>
                <w:rFonts w:hint="eastAsia" w:ascii="仿宋_GB2312" w:hAnsi="仿宋_GB2312" w:cs="仿宋_GB2312"/>
                <w:b w:val="0"/>
                <w:bCs/>
                <w:color w:val="000000"/>
                <w:sz w:val="32"/>
                <w:szCs w:val="32"/>
              </w:rPr>
            </w:pPr>
            <w:r>
              <w:rPr>
                <w:rFonts w:ascii="仿宋_GB2312" w:hAnsi="仿宋_GB2312" w:cs="仿宋_GB2312"/>
                <w:b w:val="0"/>
                <w:bCs/>
                <w:color w:val="000000"/>
                <w:sz w:val="32"/>
                <w:szCs w:val="32"/>
                <w:lang w:eastAsia="zh-CN"/>
              </w:rPr>
              <w:t>30</w:t>
            </w:r>
            <w:r>
              <w:rPr>
                <w:rFonts w:hint="eastAsia" w:ascii="仿宋_GB2312" w:hAnsi="仿宋_GB2312" w:cs="仿宋_GB2312"/>
                <w:b w:val="0"/>
                <w:bCs/>
                <w:color w:val="000000"/>
                <w:sz w:val="32"/>
                <w:szCs w:val="32"/>
              </w:rPr>
              <w:t>分</w:t>
            </w:r>
          </w:p>
        </w:tc>
        <w:tc>
          <w:tcPr>
            <w:tcW w:w="1808" w:type="dxa"/>
          </w:tcPr>
          <w:p>
            <w:pPr>
              <w:pStyle w:val="19"/>
              <w:spacing w:line="560" w:lineRule="exact"/>
              <w:ind w:firstLine="0" w:firstLineChars="0"/>
              <w:jc w:val="center"/>
              <w:rPr>
                <w:rFonts w:hint="eastAsia" w:ascii="仿宋_GB2312" w:hAnsi="仿宋_GB2312" w:cs="仿宋_GB2312"/>
                <w:b w:val="0"/>
                <w:bCs/>
                <w:color w:val="000000"/>
                <w:sz w:val="32"/>
                <w:szCs w:val="32"/>
              </w:rPr>
            </w:pPr>
            <w:r>
              <w:rPr>
                <w:rFonts w:ascii="仿宋_GB2312" w:hAnsi="仿宋_GB2312" w:cs="仿宋_GB2312"/>
                <w:b w:val="0"/>
                <w:bCs/>
                <w:color w:val="000000"/>
                <w:sz w:val="32"/>
                <w:szCs w:val="32"/>
                <w:lang w:eastAsia="zh-CN"/>
              </w:rPr>
              <w:t>1</w:t>
            </w:r>
            <w:r>
              <w:rPr>
                <w:rFonts w:hint="eastAsia" w:ascii="仿宋_GB2312" w:hAnsi="仿宋_GB2312" w:cs="仿宋_GB2312"/>
                <w:b w:val="0"/>
                <w:bCs/>
                <w:color w:val="000000"/>
                <w:sz w:val="32"/>
                <w:szCs w:val="32"/>
                <w:lang w:eastAsia="zh-CN"/>
              </w:rPr>
              <w:t>0</w:t>
            </w:r>
            <w:r>
              <w:rPr>
                <w:rFonts w:hint="eastAsia" w:ascii="仿宋_GB2312" w:hAnsi="仿宋_GB2312" w:cs="仿宋_GB2312"/>
                <w:b w:val="0"/>
                <w:bCs/>
                <w:color w:val="000000"/>
                <w:sz w:val="32"/>
                <w:szCs w:val="32"/>
              </w:rPr>
              <w:t>分</w:t>
            </w:r>
          </w:p>
        </w:tc>
      </w:tr>
    </w:tbl>
    <w:p>
      <w:pPr>
        <w:pStyle w:val="4"/>
        <w:spacing w:before="0" w:after="0" w:line="560" w:lineRule="exact"/>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（三）评分标准</w:t>
      </w:r>
    </w:p>
    <w:p>
      <w:pPr>
        <w:pStyle w:val="10"/>
        <w:autoSpaceDE/>
        <w:autoSpaceDN/>
        <w:spacing w:after="0"/>
        <w:ind w:left="0" w:leftChars="0" w:right="0" w:rightChars="0" w:firstLine="643"/>
        <w:rPr>
          <w:rFonts w:hint="eastAsia" w:ascii="仿宋_GB2312" w:hAnsi="仿宋_GB2312" w:eastAsia="仿宋_GB2312" w:cs="仿宋_GB2312"/>
          <w:b/>
          <w:bCs/>
          <w:sz w:val="32"/>
          <w:szCs w:val="32"/>
          <w:lang w:eastAsia="zh-CN"/>
        </w:rPr>
      </w:pPr>
      <w:r>
        <w:rPr>
          <w:rFonts w:hint="eastAsia" w:ascii="仿宋_GB2312" w:hAnsi="仿宋_GB2312" w:eastAsia="仿宋_GB2312"/>
          <w:b/>
          <w:bCs/>
          <w:color w:val="000000"/>
          <w:sz w:val="32"/>
          <w:szCs w:val="32"/>
        </w:rPr>
        <w:t>1.商务能力</w:t>
      </w:r>
    </w:p>
    <w:tbl>
      <w:tblPr>
        <w:tblStyle w:val="15"/>
        <w:tblW w:w="873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359"/>
        <w:gridCol w:w="3473"/>
        <w:gridCol w:w="3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blHeader/>
        </w:trPr>
        <w:tc>
          <w:tcPr>
            <w:tcW w:w="5349" w:type="dxa"/>
            <w:gridSpan w:val="3"/>
            <w:vAlign w:val="center"/>
          </w:tcPr>
          <w:p>
            <w:pPr>
              <w:widowControl/>
              <w:spacing w:line="560" w:lineRule="exact"/>
              <w:ind w:firstLine="0" w:firstLineChars="0"/>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项目</w:t>
            </w:r>
          </w:p>
        </w:tc>
        <w:tc>
          <w:tcPr>
            <w:tcW w:w="3387" w:type="dxa"/>
            <w:vAlign w:val="center"/>
          </w:tcPr>
          <w:p>
            <w:pPr>
              <w:widowControl/>
              <w:spacing w:line="560" w:lineRule="exact"/>
              <w:ind w:firstLine="0" w:firstLineChars="0"/>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6" w:hRule="atLeast"/>
          <w:tblHeader/>
        </w:trPr>
        <w:tc>
          <w:tcPr>
            <w:tcW w:w="517" w:type="dxa"/>
            <w:vMerge w:val="restart"/>
            <w:vAlign w:val="center"/>
          </w:tcPr>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商务能力评分2</w:t>
            </w:r>
            <w:r>
              <w:rPr>
                <w:rFonts w:ascii="仿宋_GB2312" w:hAnsi="仿宋_GB2312" w:eastAsia="仿宋_GB2312" w:cs="仿宋_GB2312"/>
                <w:color w:val="000000"/>
                <w:sz w:val="24"/>
                <w:szCs w:val="24"/>
                <w:lang w:eastAsia="zh-CN" w:bidi="ar"/>
              </w:rPr>
              <w:t>0</w:t>
            </w:r>
            <w:r>
              <w:rPr>
                <w:rFonts w:hint="eastAsia" w:ascii="仿宋_GB2312" w:hAnsi="仿宋_GB2312" w:eastAsia="仿宋_GB2312" w:cs="仿宋_GB2312"/>
                <w:color w:val="000000"/>
                <w:sz w:val="24"/>
                <w:szCs w:val="24"/>
                <w:lang w:eastAsia="zh-CN" w:bidi="ar"/>
              </w:rPr>
              <w:t>分</w:t>
            </w:r>
          </w:p>
        </w:tc>
        <w:tc>
          <w:tcPr>
            <w:tcW w:w="1359" w:type="dxa"/>
            <w:vAlign w:val="center"/>
          </w:tcPr>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资质</w:t>
            </w:r>
          </w:p>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（5分）</w:t>
            </w:r>
          </w:p>
        </w:tc>
        <w:tc>
          <w:tcPr>
            <w:tcW w:w="3473" w:type="dxa"/>
            <w:vAlign w:val="center"/>
          </w:tcPr>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具有</w:t>
            </w:r>
            <w:r>
              <w:rPr>
                <w:rFonts w:hint="eastAsia" w:ascii="汉仪书宋二S" w:hAnsi="汉仪书宋二S" w:eastAsia="汉仪书宋二S" w:cs="汉仪书宋二S"/>
                <w:color w:val="000000"/>
                <w:sz w:val="24"/>
                <w:szCs w:val="24"/>
                <w:lang w:eastAsia="zh-CN" w:bidi="ar"/>
              </w:rPr>
              <w:t>①</w:t>
            </w:r>
            <w:r>
              <w:rPr>
                <w:rFonts w:hint="eastAsia" w:ascii="仿宋_GB2312" w:hAnsi="仿宋_GB2312" w:eastAsia="仿宋_GB2312" w:cs="仿宋_GB2312"/>
                <w:color w:val="000000"/>
                <w:sz w:val="24"/>
                <w:szCs w:val="24"/>
                <w:lang w:eastAsia="zh-CN" w:bidi="ar"/>
              </w:rPr>
              <w:t>质量管理体系认证证书</w:t>
            </w:r>
            <w:r>
              <w:rPr>
                <w:rFonts w:hint="eastAsia" w:ascii="汉仪书宋二S" w:hAnsi="汉仪书宋二S" w:eastAsia="汉仪书宋二S" w:cs="汉仪书宋二S"/>
                <w:color w:val="000000"/>
                <w:sz w:val="24"/>
                <w:szCs w:val="24"/>
                <w:lang w:eastAsia="zh-CN" w:bidi="ar"/>
              </w:rPr>
              <w:t>②</w:t>
            </w:r>
            <w:r>
              <w:rPr>
                <w:rFonts w:hint="eastAsia" w:ascii="仿宋_GB2312" w:hAnsi="仿宋_GB2312" w:eastAsia="仿宋_GB2312" w:cs="仿宋_GB2312"/>
                <w:color w:val="000000"/>
                <w:sz w:val="24"/>
                <w:szCs w:val="24"/>
                <w:lang w:eastAsia="zh-CN" w:bidi="ar"/>
              </w:rPr>
              <w:t>环境管理体系认证证书</w:t>
            </w:r>
            <w:r>
              <w:rPr>
                <w:rFonts w:hint="eastAsia" w:ascii="汉仪书宋二S" w:hAnsi="汉仪书宋二S" w:eastAsia="汉仪书宋二S" w:cs="汉仪书宋二S"/>
                <w:color w:val="000000"/>
                <w:sz w:val="24"/>
                <w:szCs w:val="24"/>
                <w:lang w:eastAsia="zh-CN" w:bidi="ar"/>
              </w:rPr>
              <w:t>③</w:t>
            </w:r>
            <w:r>
              <w:rPr>
                <w:rFonts w:hint="eastAsia" w:ascii="仿宋_GB2312" w:hAnsi="仿宋_GB2312" w:eastAsia="仿宋_GB2312" w:cs="仿宋_GB2312"/>
                <w:color w:val="000000"/>
                <w:sz w:val="24"/>
                <w:szCs w:val="24"/>
                <w:lang w:eastAsia="zh-CN" w:bidi="ar"/>
              </w:rPr>
              <w:t>职业健康安全管理体系认证证书，每提供一个得</w:t>
            </w:r>
            <w:r>
              <w:rPr>
                <w:rFonts w:hint="eastAsia" w:ascii="仿宋_GB2312" w:hAnsi="仿宋_GB2312" w:eastAsia="仿宋_GB2312" w:cs="仿宋_GB2312"/>
                <w:color w:val="000000"/>
                <w:sz w:val="24"/>
                <w:szCs w:val="24"/>
                <w:lang w:val="en-US" w:eastAsia="zh-CN" w:bidi="ar"/>
              </w:rPr>
              <w:t>2</w:t>
            </w:r>
            <w:r>
              <w:rPr>
                <w:rFonts w:hint="eastAsia" w:ascii="仿宋_GB2312" w:hAnsi="仿宋_GB2312" w:eastAsia="仿宋_GB2312" w:cs="仿宋_GB2312"/>
                <w:color w:val="000000"/>
                <w:sz w:val="24"/>
                <w:szCs w:val="24"/>
                <w:lang w:eastAsia="zh-CN" w:bidi="ar"/>
              </w:rPr>
              <w:t>分。本项最高得分5分。</w:t>
            </w:r>
          </w:p>
        </w:tc>
        <w:tc>
          <w:tcPr>
            <w:tcW w:w="3387" w:type="dxa"/>
            <w:vAlign w:val="center"/>
          </w:tcPr>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提供有效的证书复印件并加盖投标人公章，未提供或不清晰无法判断的不得分。</w:t>
            </w:r>
          </w:p>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tblHeader/>
        </w:trPr>
        <w:tc>
          <w:tcPr>
            <w:tcW w:w="517" w:type="dxa"/>
            <w:vMerge w:val="continue"/>
            <w:vAlign w:val="center"/>
          </w:tcPr>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p>
        </w:tc>
        <w:tc>
          <w:tcPr>
            <w:tcW w:w="1359" w:type="dxa"/>
            <w:vAlign w:val="center"/>
          </w:tcPr>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经验</w:t>
            </w:r>
          </w:p>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（1</w:t>
            </w:r>
            <w:r>
              <w:rPr>
                <w:rFonts w:ascii="仿宋_GB2312" w:hAnsi="仿宋_GB2312" w:eastAsia="仿宋_GB2312" w:cs="仿宋_GB2312"/>
                <w:color w:val="000000"/>
                <w:sz w:val="24"/>
                <w:szCs w:val="24"/>
                <w:lang w:eastAsia="zh-CN" w:bidi="ar"/>
              </w:rPr>
              <w:t>0</w:t>
            </w:r>
            <w:r>
              <w:rPr>
                <w:rFonts w:hint="eastAsia" w:ascii="仿宋_GB2312" w:hAnsi="仿宋_GB2312" w:eastAsia="仿宋_GB2312" w:cs="仿宋_GB2312"/>
                <w:color w:val="000000"/>
                <w:sz w:val="24"/>
                <w:szCs w:val="24"/>
                <w:lang w:eastAsia="zh-CN" w:bidi="ar"/>
              </w:rPr>
              <w:t>分）</w:t>
            </w:r>
          </w:p>
        </w:tc>
        <w:tc>
          <w:tcPr>
            <w:tcW w:w="3473" w:type="dxa"/>
            <w:vAlign w:val="center"/>
          </w:tcPr>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承担过政府部门委托的安全管理服务、咨询、评价评估等项目的，每提供一项以往类似项目得</w:t>
            </w:r>
            <w:r>
              <w:rPr>
                <w:rFonts w:ascii="仿宋_GB2312" w:hAnsi="仿宋_GB2312" w:eastAsia="仿宋_GB2312" w:cs="仿宋_GB2312"/>
                <w:color w:val="000000"/>
                <w:sz w:val="24"/>
                <w:szCs w:val="24"/>
                <w:lang w:eastAsia="zh-CN" w:bidi="ar"/>
              </w:rPr>
              <w:t>2</w:t>
            </w:r>
            <w:r>
              <w:rPr>
                <w:rFonts w:hint="eastAsia" w:ascii="仿宋_GB2312" w:hAnsi="仿宋_GB2312" w:eastAsia="仿宋_GB2312" w:cs="仿宋_GB2312"/>
                <w:color w:val="000000"/>
                <w:sz w:val="24"/>
                <w:szCs w:val="24"/>
                <w:lang w:eastAsia="zh-CN" w:bidi="ar"/>
              </w:rPr>
              <w:t>分、本项最高得分为</w:t>
            </w:r>
            <w:r>
              <w:rPr>
                <w:rFonts w:ascii="仿宋_GB2312" w:hAnsi="仿宋_GB2312" w:eastAsia="仿宋_GB2312" w:cs="仿宋_GB2312"/>
                <w:color w:val="000000"/>
                <w:sz w:val="24"/>
                <w:szCs w:val="24"/>
                <w:lang w:eastAsia="zh-CN" w:bidi="ar"/>
              </w:rPr>
              <w:t>10</w:t>
            </w:r>
            <w:r>
              <w:rPr>
                <w:rFonts w:hint="eastAsia" w:ascii="仿宋_GB2312" w:hAnsi="仿宋_GB2312" w:eastAsia="仿宋_GB2312" w:cs="仿宋_GB2312"/>
                <w:color w:val="000000"/>
                <w:sz w:val="24"/>
                <w:szCs w:val="24"/>
                <w:lang w:eastAsia="zh-CN" w:bidi="ar"/>
              </w:rPr>
              <w:t>分。</w:t>
            </w:r>
          </w:p>
        </w:tc>
        <w:tc>
          <w:tcPr>
            <w:tcW w:w="3387" w:type="dxa"/>
            <w:vAlign w:val="center"/>
          </w:tcPr>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提供合同关键页（须清晰体现合同首页、项目内容、合同双方盖章、合同签订时间）复印件加盖投标人公章，未提供或不清晰无法判断的不得分。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8" w:hRule="atLeast"/>
          <w:tblHeader/>
        </w:trPr>
        <w:tc>
          <w:tcPr>
            <w:tcW w:w="517" w:type="dxa"/>
            <w:vMerge w:val="continue"/>
            <w:vAlign w:val="center"/>
          </w:tcPr>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p>
        </w:tc>
        <w:tc>
          <w:tcPr>
            <w:tcW w:w="1359" w:type="dxa"/>
            <w:vAlign w:val="center"/>
          </w:tcPr>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获奖情况</w:t>
            </w:r>
          </w:p>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（5分）</w:t>
            </w:r>
          </w:p>
        </w:tc>
        <w:tc>
          <w:tcPr>
            <w:tcW w:w="3473" w:type="dxa"/>
            <w:vAlign w:val="center"/>
          </w:tcPr>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获得省部级或以上科技奖。国家级的每提供一个奖项得2分，省部级的每提供一个得1分。本项最高得分5分。</w:t>
            </w:r>
          </w:p>
        </w:tc>
        <w:tc>
          <w:tcPr>
            <w:tcW w:w="3387" w:type="dxa"/>
            <w:vAlign w:val="center"/>
          </w:tcPr>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提供有效证明文件复印件并加盖投标人公章，未提供或不清晰无法判断的不得分。</w:t>
            </w:r>
          </w:p>
        </w:tc>
      </w:tr>
    </w:tbl>
    <w:p>
      <w:pPr>
        <w:spacing w:line="560" w:lineRule="exact"/>
        <w:ind w:firstLine="643"/>
        <w:rPr>
          <w:rFonts w:hint="eastAsia" w:ascii="仿宋_GB2312" w:hAnsi="仿宋_GB2312" w:eastAsia="仿宋_GB2312" w:cs="仿宋_GB2312"/>
          <w:b/>
          <w:bCs/>
          <w:color w:val="000000"/>
          <w:sz w:val="32"/>
          <w:szCs w:val="32"/>
          <w:lang w:eastAsia="zh-CN"/>
        </w:rPr>
      </w:pPr>
    </w:p>
    <w:p>
      <w:pPr>
        <w:numPr>
          <w:ilvl w:val="255"/>
          <w:numId w:val="0"/>
        </w:numPr>
        <w:spacing w:line="560" w:lineRule="exact"/>
        <w:ind w:firstLine="642"/>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eastAsia="zh-CN"/>
        </w:rPr>
        <w:t>2.</w:t>
      </w:r>
      <w:r>
        <w:rPr>
          <w:rFonts w:hint="eastAsia" w:ascii="仿宋_GB2312" w:hAnsi="仿宋_GB2312" w:eastAsia="仿宋_GB2312" w:cs="仿宋_GB2312"/>
          <w:b/>
          <w:bCs/>
          <w:color w:val="000000"/>
          <w:sz w:val="32"/>
          <w:szCs w:val="32"/>
        </w:rPr>
        <w:t>技术能力</w:t>
      </w:r>
    </w:p>
    <w:tbl>
      <w:tblPr>
        <w:tblStyle w:val="15"/>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428"/>
        <w:gridCol w:w="2434"/>
        <w:gridCol w:w="4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blHeader/>
        </w:trPr>
        <w:tc>
          <w:tcPr>
            <w:tcW w:w="4381" w:type="dxa"/>
            <w:gridSpan w:val="3"/>
            <w:vAlign w:val="center"/>
          </w:tcPr>
          <w:p>
            <w:pPr>
              <w:widowControl/>
              <w:spacing w:line="460" w:lineRule="exact"/>
              <w:ind w:firstLine="0" w:firstLineChars="0"/>
              <w:jc w:val="left"/>
              <w:textAlignment w:val="center"/>
              <w:rPr>
                <w:rFonts w:hint="eastAsia" w:ascii="仿宋_GB2312" w:hAnsi="仿宋_GB2312" w:eastAsia="仿宋_GB2312" w:cs="仿宋_GB2312"/>
                <w:b w:val="0"/>
                <w:bCs w:val="0"/>
                <w:color w:val="000000"/>
                <w:sz w:val="24"/>
                <w:szCs w:val="24"/>
                <w:lang w:bidi="ar"/>
              </w:rPr>
            </w:pPr>
            <w:r>
              <w:rPr>
                <w:rFonts w:hint="eastAsia" w:ascii="仿宋_GB2312" w:hAnsi="仿宋_GB2312" w:eastAsia="仿宋_GB2312" w:cs="仿宋_GB2312"/>
                <w:b w:val="0"/>
                <w:bCs w:val="0"/>
                <w:color w:val="000000"/>
                <w:sz w:val="24"/>
                <w:szCs w:val="24"/>
                <w:lang w:bidi="ar"/>
              </w:rPr>
              <w:t>项目</w:t>
            </w:r>
          </w:p>
        </w:tc>
        <w:tc>
          <w:tcPr>
            <w:tcW w:w="4370" w:type="dxa"/>
            <w:vAlign w:val="center"/>
          </w:tcPr>
          <w:p>
            <w:pPr>
              <w:widowControl/>
              <w:spacing w:line="460" w:lineRule="exact"/>
              <w:ind w:firstLine="0" w:firstLineChars="0"/>
              <w:jc w:val="left"/>
              <w:textAlignment w:val="center"/>
              <w:rPr>
                <w:rFonts w:hint="eastAsia" w:ascii="仿宋_GB2312" w:hAnsi="仿宋_GB2312" w:eastAsia="仿宋_GB2312" w:cs="仿宋_GB2312"/>
                <w:b w:val="0"/>
                <w:bCs w:val="0"/>
                <w:color w:val="000000"/>
                <w:sz w:val="24"/>
                <w:szCs w:val="24"/>
                <w:lang w:bidi="ar"/>
              </w:rPr>
            </w:pPr>
            <w:r>
              <w:rPr>
                <w:rFonts w:hint="eastAsia" w:ascii="仿宋_GB2312" w:hAnsi="仿宋_GB2312" w:eastAsia="仿宋_GB2312" w:cs="仿宋_GB2312"/>
                <w:b w:val="0"/>
                <w:bCs w:val="0"/>
                <w:color w:val="000000"/>
                <w:sz w:val="24"/>
                <w:szCs w:val="24"/>
                <w:lang w:bidi="ar"/>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39" w:hRule="atLeast"/>
        </w:trPr>
        <w:tc>
          <w:tcPr>
            <w:tcW w:w="519" w:type="dxa"/>
            <w:vMerge w:val="restart"/>
            <w:vAlign w:val="center"/>
          </w:tcPr>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技术能力评分40分</w:t>
            </w:r>
          </w:p>
        </w:tc>
        <w:tc>
          <w:tcPr>
            <w:tcW w:w="1428" w:type="dxa"/>
            <w:vAlign w:val="center"/>
          </w:tcPr>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实施方案</w:t>
            </w:r>
          </w:p>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（15分）</w:t>
            </w:r>
          </w:p>
        </w:tc>
        <w:tc>
          <w:tcPr>
            <w:tcW w:w="2434" w:type="dxa"/>
            <w:vAlign w:val="center"/>
          </w:tcPr>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p>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p>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实施方案包括项目背景、工作内容、进度安排、预期成果等内容。</w:t>
            </w:r>
          </w:p>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p>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p>
        </w:tc>
        <w:tc>
          <w:tcPr>
            <w:tcW w:w="4370" w:type="dxa"/>
            <w:vAlign w:val="center"/>
          </w:tcPr>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优：方案周全完整，表述清晰，有具体贴合项目实施计划的时间安排方式和良好保障措施，可操作性强；得15分。</w:t>
            </w:r>
          </w:p>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良：方案完整，有具体时间安排方式和保障措施，可操作性较好；得12分。</w:t>
            </w:r>
          </w:p>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中：方案较基本，有时间安排方式和保障措施，可操作性一般；得9分。</w:t>
            </w:r>
          </w:p>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差：方案无时间安排方式和保障措施，不具备可操作性；不得分。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519" w:type="dxa"/>
            <w:vMerge w:val="continue"/>
            <w:vAlign w:val="center"/>
          </w:tcPr>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p>
        </w:tc>
        <w:tc>
          <w:tcPr>
            <w:tcW w:w="1428" w:type="dxa"/>
            <w:vAlign w:val="center"/>
          </w:tcPr>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重难点分析</w:t>
            </w:r>
          </w:p>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（10分）</w:t>
            </w:r>
          </w:p>
        </w:tc>
        <w:tc>
          <w:tcPr>
            <w:tcW w:w="2434" w:type="dxa"/>
            <w:vAlign w:val="center"/>
          </w:tcPr>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对项目的重点、难点及其解决的应对措施具有针对性、合理性方案。</w:t>
            </w:r>
          </w:p>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p>
        </w:tc>
        <w:tc>
          <w:tcPr>
            <w:tcW w:w="4370" w:type="dxa"/>
            <w:vAlign w:val="center"/>
          </w:tcPr>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优：对项目重点难点分析透彻、应对措施针对性强；得10分。</w:t>
            </w:r>
          </w:p>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良：对项目重点难点分析基本清楚、应对措施针对性较好；得8分。</w:t>
            </w:r>
          </w:p>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 xml:space="preserve">中：对项目重点难点分析一般、应对措施针对性一般；得6分。 </w:t>
            </w:r>
          </w:p>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差：对项目重点难点分析不全面、应对措施差；不得分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55" w:hRule="atLeast"/>
        </w:trPr>
        <w:tc>
          <w:tcPr>
            <w:tcW w:w="519" w:type="dxa"/>
            <w:vMerge w:val="continue"/>
            <w:vAlign w:val="center"/>
          </w:tcPr>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p>
        </w:tc>
        <w:tc>
          <w:tcPr>
            <w:tcW w:w="1428" w:type="dxa"/>
            <w:vAlign w:val="center"/>
          </w:tcPr>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质量保障措施及方案（10分）</w:t>
            </w:r>
          </w:p>
        </w:tc>
        <w:tc>
          <w:tcPr>
            <w:tcW w:w="2434" w:type="dxa"/>
            <w:vAlign w:val="center"/>
          </w:tcPr>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对项目的质量保障措施具有针对性、合理性方案。</w:t>
            </w:r>
          </w:p>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p>
        </w:tc>
        <w:tc>
          <w:tcPr>
            <w:tcW w:w="4370" w:type="dxa"/>
            <w:vAlign w:val="center"/>
          </w:tcPr>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优：提供方案合理、可行的评价为优；得10分。</w:t>
            </w:r>
          </w:p>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良：提供方案较合理、可行的评价为良；得8分。</w:t>
            </w:r>
          </w:p>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中：提供方案基本合理、可行的评价为中；得6分。</w:t>
            </w:r>
          </w:p>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差：无法提供方案的评价为差；不得分。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vAlign w:val="center"/>
          </w:tcPr>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p>
        </w:tc>
        <w:tc>
          <w:tcPr>
            <w:tcW w:w="1428" w:type="dxa"/>
            <w:vAlign w:val="center"/>
          </w:tcPr>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服务承诺</w:t>
            </w:r>
          </w:p>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（5分）</w:t>
            </w:r>
          </w:p>
        </w:tc>
        <w:tc>
          <w:tcPr>
            <w:tcW w:w="2434" w:type="dxa"/>
            <w:vAlign w:val="center"/>
          </w:tcPr>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提供项目完成（服务期满）后的服务承诺</w:t>
            </w:r>
          </w:p>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p>
        </w:tc>
        <w:tc>
          <w:tcPr>
            <w:tcW w:w="4370" w:type="dxa"/>
            <w:vAlign w:val="center"/>
          </w:tcPr>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优：服务承诺现实性、明确性、利益、承诺性好；得5分。</w:t>
            </w:r>
          </w:p>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良：服务承诺现实性、明确性、利益性、承诺性较好；得4分。</w:t>
            </w:r>
          </w:p>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中：服务承诺现实性、明确性、利益性、承诺性一般；得3分。</w:t>
            </w:r>
          </w:p>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差：服务承诺现实性、明确性、利益性、承诺性差，或未提供服务承诺；不得分。</w:t>
            </w:r>
          </w:p>
        </w:tc>
      </w:tr>
    </w:tbl>
    <w:p>
      <w:pPr>
        <w:spacing w:line="560" w:lineRule="exact"/>
        <w:ind w:firstLine="643"/>
        <w:rPr>
          <w:rFonts w:hint="eastAsia" w:ascii="仿宋_GB2312" w:hAnsi="仿宋_GB2312" w:eastAsia="仿宋_GB2312"/>
          <w:b/>
          <w:bCs/>
          <w:color w:val="000000"/>
          <w:sz w:val="32"/>
          <w:szCs w:val="32"/>
          <w:lang w:eastAsia="zh-CN"/>
        </w:rPr>
      </w:pPr>
      <w:r>
        <w:rPr>
          <w:rFonts w:hint="eastAsia" w:ascii="仿宋_GB2312" w:hAnsi="仿宋_GB2312" w:eastAsia="仿宋_GB2312"/>
          <w:b/>
          <w:bCs/>
          <w:color w:val="000000"/>
          <w:sz w:val="32"/>
          <w:szCs w:val="32"/>
          <w:lang w:eastAsia="zh-CN"/>
        </w:rPr>
        <w:t>3.人员配备</w:t>
      </w:r>
    </w:p>
    <w:p>
      <w:pPr>
        <w:autoSpaceDE/>
        <w:autoSpaceDN/>
        <w:spacing w:line="560" w:lineRule="exact"/>
        <w:ind w:firstLine="640"/>
        <w:rPr>
          <w:rFonts w:hint="eastAsia" w:ascii="仿宋_GB2312" w:hAnsi="仿宋_GB2312" w:eastAsia="仿宋_GB2312" w:cs="仿宋_GB2312"/>
          <w:color w:val="000000"/>
          <w:sz w:val="32"/>
          <w:szCs w:val="32"/>
          <w:lang w:eastAsia="zh-CN" w:bidi="ar"/>
        </w:rPr>
      </w:pPr>
      <w:r>
        <w:rPr>
          <w:rFonts w:ascii="仿宋_GB2312" w:hAnsi="仿宋_GB2312" w:eastAsia="仿宋_GB2312" w:cs="仿宋_GB2312"/>
          <w:color w:val="000000"/>
          <w:sz w:val="32"/>
          <w:szCs w:val="32"/>
          <w:lang w:eastAsia="zh-CN" w:bidi="ar"/>
        </w:rPr>
        <w:t>结合项目实际情况，供应商需组建不少于4名专业人员组成的项目团队，保障项目顺利实施。定标小组根据项目要求对项目负责人和项目团队人员配备进行综合评价，满分30分。</w:t>
      </w:r>
    </w:p>
    <w:tbl>
      <w:tblPr>
        <w:tblStyle w:val="15"/>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428"/>
        <w:gridCol w:w="3801"/>
        <w:gridCol w:w="3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blHeader/>
        </w:trPr>
        <w:tc>
          <w:tcPr>
            <w:tcW w:w="5748" w:type="dxa"/>
            <w:gridSpan w:val="3"/>
            <w:vAlign w:val="center"/>
          </w:tcPr>
          <w:p>
            <w:pPr>
              <w:widowControl/>
              <w:spacing w:line="460" w:lineRule="exact"/>
              <w:ind w:firstLine="0" w:firstLineChars="0"/>
              <w:jc w:val="left"/>
              <w:textAlignment w:val="center"/>
              <w:rPr>
                <w:rFonts w:hint="eastAsia" w:ascii="仿宋_GB2312" w:hAnsi="仿宋_GB2312" w:eastAsia="仿宋_GB2312" w:cs="仿宋_GB2312"/>
                <w:b w:val="0"/>
                <w:bCs w:val="0"/>
                <w:color w:val="000000"/>
                <w:sz w:val="24"/>
                <w:szCs w:val="24"/>
                <w:lang w:bidi="ar"/>
              </w:rPr>
            </w:pPr>
            <w:r>
              <w:rPr>
                <w:rFonts w:hint="eastAsia" w:ascii="仿宋_GB2312" w:hAnsi="仿宋_GB2312" w:eastAsia="仿宋_GB2312" w:cs="仿宋_GB2312"/>
                <w:b w:val="0"/>
                <w:bCs w:val="0"/>
                <w:color w:val="000000"/>
                <w:sz w:val="24"/>
                <w:szCs w:val="24"/>
                <w:lang w:bidi="ar"/>
              </w:rPr>
              <w:t>项目</w:t>
            </w:r>
          </w:p>
        </w:tc>
        <w:tc>
          <w:tcPr>
            <w:tcW w:w="3003" w:type="dxa"/>
            <w:vAlign w:val="center"/>
          </w:tcPr>
          <w:p>
            <w:pPr>
              <w:widowControl/>
              <w:spacing w:line="460" w:lineRule="exact"/>
              <w:ind w:firstLine="0" w:firstLineChars="0"/>
              <w:jc w:val="left"/>
              <w:textAlignment w:val="center"/>
              <w:rPr>
                <w:rFonts w:hint="eastAsia" w:ascii="仿宋_GB2312" w:hAnsi="仿宋_GB2312" w:eastAsia="仿宋_GB2312" w:cs="仿宋_GB2312"/>
                <w:b w:val="0"/>
                <w:bCs w:val="0"/>
                <w:color w:val="000000"/>
                <w:sz w:val="24"/>
                <w:szCs w:val="24"/>
                <w:lang w:bidi="ar"/>
              </w:rPr>
            </w:pPr>
            <w:r>
              <w:rPr>
                <w:rFonts w:hint="eastAsia" w:ascii="仿宋_GB2312" w:hAnsi="仿宋_GB2312" w:eastAsia="仿宋_GB2312" w:cs="仿宋_GB2312"/>
                <w:b w:val="0"/>
                <w:bCs w:val="0"/>
                <w:color w:val="000000"/>
                <w:sz w:val="24"/>
                <w:szCs w:val="24"/>
                <w:lang w:bidi="ar"/>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atLeast"/>
        </w:trPr>
        <w:tc>
          <w:tcPr>
            <w:tcW w:w="519" w:type="dxa"/>
            <w:vMerge w:val="restart"/>
            <w:vAlign w:val="center"/>
          </w:tcPr>
          <w:p>
            <w:pPr>
              <w:widowControl/>
              <w:autoSpaceDE/>
              <w:autoSpaceDN/>
              <w:spacing w:line="460" w:lineRule="exact"/>
              <w:ind w:firstLine="0" w:firstLineChars="0"/>
              <w:jc w:val="left"/>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人员配备评分30分</w:t>
            </w:r>
          </w:p>
        </w:tc>
        <w:tc>
          <w:tcPr>
            <w:tcW w:w="1428" w:type="dxa"/>
            <w:vAlign w:val="center"/>
          </w:tcPr>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项目负责人（仅限1人）（本项目最高得分12分）</w:t>
            </w:r>
          </w:p>
        </w:tc>
        <w:tc>
          <w:tcPr>
            <w:tcW w:w="3801" w:type="dxa"/>
            <w:vAlign w:val="center"/>
          </w:tcPr>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项目负责人满足下述各小项要求且能提供有效证明文件的，得相应分；未能提供有效证明文件的，该小项得0分：</w:t>
            </w:r>
          </w:p>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a.具有高级技术职称的，得3分。</w:t>
            </w:r>
          </w:p>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b.具有硕士及以上学历的，得3分。</w:t>
            </w:r>
          </w:p>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 xml:space="preserve">c.具有注册安全工程师资格证书，得3分。 </w:t>
            </w:r>
          </w:p>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d.除注册安全工程师资格证书外，具有人力资源和社会保障部颁发的其他注册资格证书的，得3分。</w:t>
            </w:r>
          </w:p>
        </w:tc>
        <w:tc>
          <w:tcPr>
            <w:tcW w:w="3003" w:type="dxa"/>
            <w:vMerge w:val="restart"/>
            <w:vAlign w:val="center"/>
          </w:tcPr>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提供以下证明材料以供评审：</w:t>
            </w:r>
          </w:p>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 xml:space="preserve">①本项目拟派项目负责人和项目团队人员为投标人自有员工，需学历证书或毕业证书、专业技术职称证书等证明文件。 </w:t>
            </w:r>
          </w:p>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②社保部门出具的近三月（以当地社保局能提供的近三月社保查询证明为准）投标人为上述人员缴纳的社保清单（加盖社保部门公章），否则视为无效证明文件。</w:t>
            </w:r>
          </w:p>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注：以上所有复印件均须加盖投标人公章，未提供有效证明材料的不得分。</w:t>
            </w:r>
          </w:p>
          <w:p>
            <w:pPr>
              <w:widowControl/>
              <w:autoSpaceDE/>
              <w:autoSpaceDN/>
              <w:spacing w:line="460" w:lineRule="exact"/>
              <w:ind w:firstLine="0" w:firstLineChars="0"/>
              <w:jc w:val="left"/>
              <w:textAlignment w:val="center"/>
              <w:rPr>
                <w:rFonts w:hint="eastAsia" w:ascii="仿宋_GB2312" w:hAnsi="仿宋_GB2312" w:eastAsia="仿宋_GB2312" w:cs="仿宋_GB2312"/>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519" w:type="dxa"/>
            <w:vMerge w:val="continue"/>
            <w:vAlign w:val="center"/>
          </w:tcPr>
          <w:p>
            <w:pPr>
              <w:spacing w:line="276" w:lineRule="auto"/>
              <w:ind w:firstLine="0" w:firstLineChars="0"/>
              <w:jc w:val="center"/>
              <w:rPr>
                <w:rFonts w:hint="eastAsia" w:ascii="仿宋_GB2312" w:hAnsi="仿宋_GB2312" w:eastAsia="仿宋_GB2312" w:cs="仿宋_GB2312"/>
                <w:bCs/>
                <w:color w:val="000000"/>
                <w:sz w:val="32"/>
                <w:szCs w:val="32"/>
                <w:lang w:eastAsia="zh-CN"/>
              </w:rPr>
            </w:pPr>
          </w:p>
        </w:tc>
        <w:tc>
          <w:tcPr>
            <w:tcW w:w="1428" w:type="dxa"/>
            <w:vAlign w:val="center"/>
          </w:tcPr>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项目团队人员（不含项目负责人）（本项最高得18分）</w:t>
            </w:r>
          </w:p>
        </w:tc>
        <w:tc>
          <w:tcPr>
            <w:tcW w:w="3801" w:type="dxa"/>
            <w:vAlign w:val="center"/>
          </w:tcPr>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项目团队人员（不含项目负责人）满足下述各小项要求且能提供有效证明文件的，得相应分：</w:t>
            </w:r>
          </w:p>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a.具有研究生及以上学历或具有高级技术职称证书的，每有一人得</w:t>
            </w:r>
            <w:r>
              <w:rPr>
                <w:rFonts w:hint="eastAsia" w:ascii="仿宋_GB2312" w:hAnsi="仿宋_GB2312" w:eastAsia="仿宋_GB2312" w:cs="仿宋_GB2312"/>
                <w:color w:val="000000"/>
                <w:sz w:val="24"/>
                <w:szCs w:val="24"/>
                <w:lang w:val="en-US" w:eastAsia="zh-CN" w:bidi="ar"/>
              </w:rPr>
              <w:t>6</w:t>
            </w:r>
            <w:r>
              <w:rPr>
                <w:rFonts w:hint="eastAsia" w:ascii="仿宋_GB2312" w:hAnsi="仿宋_GB2312" w:eastAsia="仿宋_GB2312" w:cs="仿宋_GB2312"/>
                <w:color w:val="000000"/>
                <w:sz w:val="24"/>
                <w:szCs w:val="24"/>
                <w:lang w:eastAsia="zh-CN" w:bidi="ar"/>
              </w:rPr>
              <w:t>分。</w:t>
            </w:r>
          </w:p>
          <w:p>
            <w:pPr>
              <w:widowControl/>
              <w:autoSpaceDE/>
              <w:autoSpaceDN/>
              <w:spacing w:line="460" w:lineRule="exact"/>
              <w:ind w:firstLine="0" w:firstLineChars="0"/>
              <w:textAlignment w:val="center"/>
              <w:rPr>
                <w:rFonts w:hint="eastAsia" w:hAnsi="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b.具有本科及以上学历或具有注册安全工程师资格证书的，每有一人得</w:t>
            </w:r>
            <w:r>
              <w:rPr>
                <w:rFonts w:hint="eastAsia" w:ascii="仿宋_GB2312" w:hAnsi="仿宋_GB2312" w:eastAsia="仿宋_GB2312" w:cs="仿宋_GB2312"/>
                <w:color w:val="000000"/>
                <w:sz w:val="24"/>
                <w:szCs w:val="24"/>
                <w:lang w:val="en-US" w:eastAsia="zh-CN" w:bidi="ar"/>
              </w:rPr>
              <w:t>3</w:t>
            </w:r>
            <w:r>
              <w:rPr>
                <w:rFonts w:hint="eastAsia" w:ascii="仿宋_GB2312" w:hAnsi="仿宋_GB2312" w:eastAsia="仿宋_GB2312" w:cs="仿宋_GB2312"/>
                <w:color w:val="000000"/>
                <w:sz w:val="24"/>
                <w:szCs w:val="24"/>
                <w:lang w:eastAsia="zh-CN" w:bidi="ar"/>
              </w:rPr>
              <w:t>分。</w:t>
            </w:r>
          </w:p>
          <w:p>
            <w:pPr>
              <w:widowControl/>
              <w:autoSpaceDE/>
              <w:autoSpaceDN/>
              <w:spacing w:line="460" w:lineRule="exact"/>
              <w:ind w:firstLine="0" w:firstLineChars="0"/>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同一人不重复计分。</w:t>
            </w:r>
          </w:p>
        </w:tc>
        <w:tc>
          <w:tcPr>
            <w:tcW w:w="3003" w:type="dxa"/>
            <w:vMerge w:val="continue"/>
            <w:vAlign w:val="center"/>
          </w:tcPr>
          <w:p>
            <w:pPr>
              <w:widowControl/>
              <w:ind w:firstLine="0" w:firstLineChars="0"/>
              <w:rPr>
                <w:rFonts w:hint="eastAsia" w:ascii="仿宋_GB2312" w:hAnsi="仿宋_GB2312" w:eastAsia="仿宋_GB2312" w:cs="仿宋_GB2312"/>
                <w:bCs/>
                <w:color w:val="000000"/>
                <w:sz w:val="32"/>
                <w:szCs w:val="32"/>
                <w:lang w:eastAsia="zh-CN"/>
              </w:rPr>
            </w:pPr>
          </w:p>
        </w:tc>
      </w:tr>
    </w:tbl>
    <w:p>
      <w:pPr>
        <w:spacing w:line="560" w:lineRule="exact"/>
        <w:ind w:firstLine="643"/>
        <w:rPr>
          <w:rFonts w:hint="eastAsia" w:ascii="仿宋_GB2312" w:hAnsi="仿宋_GB2312" w:eastAsia="仿宋_GB2312"/>
          <w:b/>
          <w:bCs/>
          <w:color w:val="000000"/>
          <w:sz w:val="32"/>
          <w:szCs w:val="32"/>
          <w:lang w:eastAsia="zh-CN"/>
        </w:rPr>
      </w:pPr>
      <w:r>
        <w:rPr>
          <w:rFonts w:hint="eastAsia" w:ascii="仿宋_GB2312" w:hAnsi="仿宋_GB2312" w:eastAsia="仿宋_GB2312"/>
          <w:b/>
          <w:bCs/>
          <w:color w:val="000000"/>
          <w:sz w:val="32"/>
          <w:szCs w:val="32"/>
          <w:lang w:eastAsia="zh-CN"/>
        </w:rPr>
        <w:t>4.报价</w:t>
      </w:r>
    </w:p>
    <w:p>
      <w:pPr>
        <w:spacing w:line="560" w:lineRule="exact"/>
        <w:ind w:firstLine="640"/>
        <w:rPr>
          <w:rFonts w:hint="eastAsia" w:ascii="仿宋_GB2312" w:hAnsi="仿宋_GB2312" w:eastAsia="仿宋_GB2312" w:cs="仿宋_GB2312"/>
          <w:kern w:val="2"/>
          <w:sz w:val="32"/>
          <w:szCs w:val="32"/>
          <w:lang w:eastAsia="zh-CN" w:bidi="ar-SA"/>
        </w:rPr>
      </w:pPr>
      <w:r>
        <w:rPr>
          <w:rFonts w:ascii="仿宋_GB2312" w:hAnsi="仿宋" w:eastAsia="仿宋_GB2312" w:cs="仿宋_GB2312"/>
          <w:sz w:val="32"/>
          <w:szCs w:val="32"/>
          <w:lang w:eastAsia="zh-CN"/>
        </w:rPr>
        <w:t>投标报价不得超过项目预算金额</w:t>
      </w:r>
      <w:r>
        <w:rPr>
          <w:rFonts w:hint="eastAsia" w:ascii="仿宋_GB2312" w:hAnsi="仿宋_GB2312" w:eastAsia="仿宋_GB2312" w:cs="仿宋_GB2312"/>
          <w:kern w:val="2"/>
          <w:sz w:val="32"/>
          <w:szCs w:val="32"/>
          <w:lang w:eastAsia="zh-CN" w:bidi="ar-SA"/>
        </w:rPr>
        <w:t>。以投标人所报的有效报价中的最低价作为基准价，各投标人报价得分=（基准价/投标人报价）*10分。</w:t>
      </w:r>
    </w:p>
    <w:p>
      <w:pPr>
        <w:pStyle w:val="2"/>
        <w:rPr>
          <w:rFonts w:hint="eastAsia" w:ascii="仿宋_GB2312" w:hAnsi="仿宋_GB2312" w:eastAsia="仿宋_GB2312" w:cs="仿宋_GB2312"/>
          <w:kern w:val="2"/>
          <w:sz w:val="32"/>
          <w:szCs w:val="32"/>
          <w:lang w:eastAsia="zh-CN" w:bidi="ar-SA"/>
        </w:rPr>
      </w:pPr>
    </w:p>
    <w:p>
      <w:pPr>
        <w:adjustRightInd/>
        <w:snapToGrid/>
        <w:spacing w:line="560" w:lineRule="exact"/>
        <w:ind w:firstLine="640" w:firstLineChars="0"/>
        <w:rPr>
          <w:rFonts w:hint="eastAsia" w:hAnsi="宋体" w:cs="仿宋_GB2312"/>
          <w:sz w:val="32"/>
          <w:szCs w:val="22"/>
          <w:lang w:val="en-US" w:eastAsia="zh-CN"/>
        </w:rPr>
      </w:pPr>
      <w:r>
        <w:rPr>
          <w:rFonts w:hint="eastAsia" w:ascii="仿宋_GB2312" w:hAnsi="宋体" w:eastAsia="仿宋_GB2312" w:cs="仿宋_GB2312"/>
          <w:sz w:val="32"/>
          <w:szCs w:val="22"/>
        </w:rPr>
        <w:t>附件：</w:t>
      </w:r>
      <w:r>
        <w:rPr>
          <w:rFonts w:hint="eastAsia" w:hAnsi="宋体" w:cs="仿宋_GB2312"/>
          <w:sz w:val="32"/>
          <w:szCs w:val="22"/>
          <w:lang w:val="en-US" w:eastAsia="zh-CN"/>
        </w:rPr>
        <w:t>1.供应商基本情况表</w:t>
      </w:r>
    </w:p>
    <w:p>
      <w:pPr>
        <w:adjustRightInd w:val="0"/>
        <w:snapToGrid w:val="0"/>
        <w:spacing w:line="480" w:lineRule="exact"/>
        <w:ind w:firstLine="1600" w:firstLineChars="500"/>
        <w:rPr>
          <w:rFonts w:ascii="仿宋_GB2312" w:hAnsi="宋体" w:eastAsia="仿宋_GB2312" w:cs="仿宋_GB2312"/>
          <w:sz w:val="32"/>
          <w:szCs w:val="22"/>
        </w:rPr>
      </w:pPr>
      <w:r>
        <w:rPr>
          <w:rFonts w:hint="eastAsia" w:hAnsi="宋体" w:cs="仿宋_GB2312"/>
          <w:sz w:val="32"/>
          <w:szCs w:val="22"/>
          <w:lang w:val="en-US" w:eastAsia="zh-CN"/>
        </w:rPr>
        <w:t>2.</w:t>
      </w:r>
      <w:r>
        <w:rPr>
          <w:rFonts w:hint="eastAsia" w:ascii="仿宋_GB2312" w:hAnsi="宋体" w:eastAsia="仿宋_GB2312" w:cs="仿宋_GB2312"/>
          <w:sz w:val="32"/>
          <w:szCs w:val="22"/>
        </w:rPr>
        <w:t>投标及履约承诺函</w:t>
      </w:r>
    </w:p>
    <w:p>
      <w:pPr>
        <w:jc w:val="left"/>
        <w:rPr>
          <w:rFonts w:ascii="仿宋" w:hAnsi="仿宋" w:eastAsia="仿宋" w:cs="仿宋_GB2312"/>
          <w:sz w:val="32"/>
          <w:szCs w:val="32"/>
        </w:rPr>
      </w:pPr>
      <w:r>
        <w:rPr>
          <w:rFonts w:ascii="仿宋" w:hAnsi="仿宋" w:eastAsia="仿宋" w:cs="仿宋_GB2312"/>
          <w:sz w:val="32"/>
          <w:szCs w:val="32"/>
        </w:rPr>
        <w:br w:type="page"/>
      </w:r>
    </w:p>
    <w:p>
      <w:pPr>
        <w:pStyle w:val="21"/>
        <w:keepNext w:val="0"/>
        <w:keepLines w:val="0"/>
        <w:pageBreakBefore w:val="0"/>
        <w:kinsoku/>
        <w:wordWrap/>
        <w:topLinePunct w:val="0"/>
        <w:bidi w:val="0"/>
        <w:adjustRightInd/>
        <w:spacing w:beforeAutospacing="0" w:afterAutospacing="0" w:line="560" w:lineRule="exact"/>
        <w:ind w:firstLine="0" w:firstLineChars="0"/>
        <w:jc w:val="left"/>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附件1</w:t>
      </w:r>
    </w:p>
    <w:p>
      <w:pPr>
        <w:pStyle w:val="9"/>
        <w:snapToGrid w:val="0"/>
        <w:spacing w:before="0" w:after="0" w:line="560" w:lineRule="exact"/>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pPr>
        <w:spacing w:line="560" w:lineRule="exact"/>
        <w:ind w:firstLine="0" w:firstLineChars="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6"/>
        <w:tblW w:w="9737" w:type="dxa"/>
        <w:tblInd w:w="-4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028"/>
        <w:gridCol w:w="1217"/>
        <w:gridCol w:w="1256"/>
        <w:gridCol w:w="774"/>
        <w:gridCol w:w="1145"/>
        <w:gridCol w:w="1467"/>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1" w:type="dxa"/>
            <w:gridSpan w:val="2"/>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3312" w:type="dxa"/>
            <w:gridSpan w:val="2"/>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1" w:type="dxa"/>
            <w:gridSpan w:val="2"/>
            <w:noWrap w:val="0"/>
            <w:vAlign w:val="center"/>
          </w:tcPr>
          <w:p>
            <w:pPr>
              <w:snapToGrid w:val="0"/>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snapToGrid w:val="0"/>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3312" w:type="dxa"/>
            <w:gridSpan w:val="2"/>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7" w:type="dxa"/>
            <w:gridSpan w:val="8"/>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9" w:type="dxa"/>
            <w:tcBorders>
              <w:bottom w:val="single" w:color="auto" w:sz="4" w:space="0"/>
            </w:tcBorders>
            <w:noWrap w:val="0"/>
            <w:vAlign w:val="center"/>
          </w:tcPr>
          <w:p>
            <w:pPr>
              <w:snapToGrid w:val="0"/>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345" w:type="dxa"/>
            <w:gridSpan w:val="2"/>
            <w:tcBorders>
              <w:bottom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1270" w:type="dxa"/>
            <w:tcBorders>
              <w:bottom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pPr>
              <w:snapToGrid w:val="0"/>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snapToGrid w:val="0"/>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812" w:type="dxa"/>
            <w:tcBorders>
              <w:bottom w:val="single" w:color="auto" w:sz="4" w:space="0"/>
            </w:tcBorders>
            <w:noWrap w:val="0"/>
            <w:vAlign w:val="center"/>
          </w:tcPr>
          <w:p>
            <w:pPr>
              <w:snapToGrid w:val="0"/>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snapToGrid w:val="0"/>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tcBorders>
            <w:noWrap w:val="0"/>
            <w:vAlign w:val="center"/>
          </w:tcPr>
          <w:p>
            <w:pPr>
              <w:spacing w:beforeLines="0" w:afterLines="0"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345" w:type="dxa"/>
            <w:gridSpan w:val="2"/>
            <w:tcBorders>
              <w:top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1270" w:type="dxa"/>
            <w:tcBorders>
              <w:top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812" w:type="dxa"/>
            <w:tcBorders>
              <w:top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9" w:type="dxa"/>
            <w:noWrap w:val="0"/>
            <w:vAlign w:val="center"/>
          </w:tcPr>
          <w:p>
            <w:pPr>
              <w:spacing w:beforeLines="0" w:afterLines="0"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345" w:type="dxa"/>
            <w:gridSpan w:val="2"/>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1270" w:type="dxa"/>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812" w:type="dxa"/>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pPr>
              <w:spacing w:beforeLines="0" w:afterLines="0"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345" w:type="dxa"/>
            <w:gridSpan w:val="2"/>
            <w:noWrap w:val="0"/>
            <w:vAlign w:val="center"/>
          </w:tcPr>
          <w:p>
            <w:pPr>
              <w:pStyle w:val="7"/>
              <w:snapToGrid w:val="0"/>
              <w:spacing w:line="240" w:lineRule="auto"/>
              <w:ind w:left="0" w:leftChars="0" w:firstLine="0" w:firstLineChars="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1270" w:type="dxa"/>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c>
          <w:tcPr>
            <w:tcW w:w="1812" w:type="dxa"/>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7" w:type="dxa"/>
            <w:gridSpan w:val="8"/>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737" w:type="dxa"/>
            <w:gridSpan w:val="8"/>
            <w:noWrap w:val="0"/>
            <w:vAlign w:val="center"/>
          </w:tcPr>
          <w:p>
            <w:pPr>
              <w:spacing w:line="240" w:lineRule="auto"/>
              <w:jc w:val="left"/>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bottom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345" w:type="dxa"/>
            <w:gridSpan w:val="2"/>
            <w:tcBorders>
              <w:bottom w:val="single" w:color="auto" w:sz="4" w:space="0"/>
            </w:tcBorders>
            <w:noWrap w:val="0"/>
            <w:vAlign w:val="center"/>
          </w:tcPr>
          <w:p>
            <w:pPr>
              <w:spacing w:line="240" w:lineRule="auto"/>
              <w:jc w:val="lef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2061" w:type="dxa"/>
            <w:gridSpan w:val="2"/>
            <w:tcBorders>
              <w:bottom w:val="single" w:color="auto" w:sz="4" w:space="0"/>
            </w:tcBorders>
            <w:noWrap w:val="0"/>
            <w:vAlign w:val="center"/>
          </w:tcPr>
          <w:p>
            <w:pPr>
              <w:spacing w:line="240" w:lineRule="auto"/>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512" w:type="dxa"/>
            <w:gridSpan w:val="3"/>
            <w:tcBorders>
              <w:bottom w:val="single" w:color="auto" w:sz="4" w:space="0"/>
            </w:tcBorders>
            <w:noWrap w:val="0"/>
            <w:vAlign w:val="center"/>
          </w:tcPr>
          <w:p>
            <w:pPr>
              <w:spacing w:line="240" w:lineRule="auto"/>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color w:val="auto"/>
                <w:sz w:val="24"/>
                <w:szCs w:val="24"/>
                <w:highlight w:val="none"/>
                <w:vertAlign w:val="baseline"/>
                <w:lang w:val="en-US" w:eastAsia="zh-CN"/>
              </w:rPr>
            </w:pPr>
          </w:p>
        </w:tc>
        <w:tc>
          <w:tcPr>
            <w:tcW w:w="451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方正仿宋_GBK" w:hAnsi="方正仿宋_GBK" w:eastAsia="方正仿宋_GBK" w:cs="方正仿宋_GBK"/>
                <w:color w:val="auto"/>
                <w:sz w:val="24"/>
                <w:szCs w:val="24"/>
                <w:highlight w:val="none"/>
                <w:vertAlign w:val="baseline"/>
                <w:lang w:val="en-US" w:eastAsia="zh-CN"/>
              </w:rPr>
            </w:pPr>
          </w:p>
        </w:tc>
        <w:tc>
          <w:tcPr>
            <w:tcW w:w="451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7"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pPr>
        <w:spacing w:line="560" w:lineRule="exact"/>
        <w:jc w:val="left"/>
        <w:sectPr>
          <w:headerReference r:id="rId6" w:type="default"/>
          <w:footerReference r:id="rId7" w:type="default"/>
          <w:pgSz w:w="11906" w:h="16838"/>
          <w:pgMar w:top="2098" w:right="1474" w:bottom="1984" w:left="1587" w:header="851" w:footer="283" w:gutter="0"/>
          <w:pgNumType w:fmt="decimal"/>
          <w:cols w:space="720" w:num="1"/>
          <w:docGrid w:type="lines" w:linePitch="312" w:charSpace="0"/>
        </w:sectPr>
      </w:pPr>
    </w:p>
    <w:p>
      <w:pPr>
        <w:adjustRightInd w:val="0"/>
        <w:snapToGrid w:val="0"/>
        <w:spacing w:line="480" w:lineRule="exact"/>
        <w:ind w:firstLine="0" w:firstLineChars="0"/>
        <w:jc w:val="left"/>
        <w:rPr>
          <w:rFonts w:hint="eastAsia" w:ascii="黑体" w:hAnsi="黑体" w:eastAsia="黑体" w:cs="黑体"/>
          <w:b/>
          <w:bCs/>
          <w:sz w:val="32"/>
          <w:szCs w:val="32"/>
          <w:lang w:val="en-US" w:eastAsia="zh-CN"/>
        </w:rPr>
      </w:pPr>
      <w:r>
        <w:rPr>
          <w:rFonts w:hint="eastAsia" w:ascii="黑体" w:hAnsi="黑体" w:eastAsia="黑体" w:cs="黑体"/>
          <w:sz w:val="32"/>
          <w:szCs w:val="22"/>
        </w:rPr>
        <w:t>附件</w:t>
      </w:r>
      <w:r>
        <w:rPr>
          <w:rFonts w:hint="eastAsia" w:ascii="黑体" w:hAnsi="黑体" w:eastAsia="黑体" w:cs="黑体"/>
          <w:sz w:val="32"/>
          <w:szCs w:val="22"/>
          <w:lang w:val="en-US" w:eastAsia="zh-CN"/>
        </w:rPr>
        <w:t>2</w:t>
      </w:r>
    </w:p>
    <w:p>
      <w:pPr>
        <w:adjustRightInd w:val="0"/>
        <w:snapToGrid w:val="0"/>
        <w:jc w:val="center"/>
        <w:rPr>
          <w:rFonts w:ascii="宋体" w:hAnsi="宋体" w:cs="宋体"/>
          <w:b/>
          <w:bCs/>
          <w:sz w:val="44"/>
          <w:szCs w:val="44"/>
        </w:rPr>
      </w:pPr>
      <w:r>
        <w:rPr>
          <w:rFonts w:hint="eastAsia" w:ascii="宋体" w:hAnsi="宋体" w:cs="宋体"/>
          <w:b/>
          <w:bCs/>
          <w:sz w:val="44"/>
          <w:szCs w:val="44"/>
        </w:rPr>
        <w:t>投标及履约承诺函</w:t>
      </w:r>
    </w:p>
    <w:p>
      <w:pPr>
        <w:adjustRightInd w:val="0"/>
        <w:snapToGrid w:val="0"/>
        <w:jc w:val="center"/>
        <w:rPr>
          <w:rFonts w:ascii="宋体" w:hAnsi="宋体" w:cs="宋体"/>
          <w:b/>
          <w:bCs/>
          <w:sz w:val="44"/>
          <w:szCs w:val="44"/>
        </w:rPr>
      </w:pP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我单位承诺：</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.如果中标，做到守信，不偷工减料，依照本项目招标文件需求内容、签署的采购合同及在投标中所作的一切承诺履约。项目验收达到全部指标合格，力争优良。</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.我单位已认真阅读本项目需求，我单位承诺按时递交标书。</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 xml:space="preserve">承诺投标人： </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单位地址：</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联系电话：</w:t>
      </w:r>
    </w:p>
    <w:p>
      <w:pPr>
        <w:adjustRightInd w:val="0"/>
        <w:snapToGrid w:val="0"/>
        <w:spacing w:line="480" w:lineRule="exact"/>
        <w:ind w:firstLine="640" w:firstLineChars="200"/>
        <w:rPr>
          <w:rFonts w:hint="default"/>
          <w:lang w:val="en-US" w:eastAsia="zh-CN"/>
        </w:rPr>
      </w:pPr>
      <w:r>
        <w:rPr>
          <w:rFonts w:hint="eastAsia" w:ascii="仿宋_GB2312" w:hAnsi="Times New Roman" w:eastAsia="仿宋_GB2312" w:cs="仿宋_GB2312"/>
          <w:sz w:val="32"/>
          <w:szCs w:val="22"/>
        </w:rPr>
        <w:t xml:space="preserve">日期：   年   月   日  </w:t>
      </w:r>
      <w:r>
        <w:rPr>
          <w:rFonts w:ascii="Times New Roman" w:hAnsi="Times New Roman" w:eastAsia="仿宋_GB2312"/>
          <w:sz w:val="32"/>
          <w:szCs w:val="22"/>
        </w:rPr>
        <w:t xml:space="preserve"> </w:t>
      </w:r>
    </w:p>
    <w:sectPr>
      <w:pgSz w:w="11906" w:h="16838"/>
      <w:pgMar w:top="2098" w:right="1474" w:bottom="1984" w:left="1587" w:header="851" w:footer="283"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w:altName w:val="DejaVu Sans"/>
    <w:panose1 w:val="02020603050405020304"/>
    <w:charset w:val="00"/>
    <w:family w:val="roman"/>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200001FF"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
    <w:altName w:val="URW Bookman"/>
    <w:panose1 w:val="00000000000000000000"/>
    <w:charset w:val="00"/>
    <w:family w:val="auto"/>
    <w:pitch w:val="default"/>
    <w:sig w:usb0="00000000" w:usb1="00000000" w:usb2="00000000" w:usb3="00000000" w:csb0="00000001" w:csb1="00000000"/>
  </w:font>
  <w:font w:name="URW Bookman">
    <w:panose1 w:val="00000000000000000000"/>
    <w:charset w:val="00"/>
    <w:family w:val="auto"/>
    <w:pitch w:val="default"/>
    <w:sig w:usb0="00000000" w:usb1="00000000" w:usb2="00000000" w:usb3="00000000" w:csb0="0000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楷体_GB2312">
    <w:panose1 w:val="02010609030101010101"/>
    <w:charset w:val="86"/>
    <w:family w:val="modern"/>
    <w:pitch w:val="default"/>
    <w:sig w:usb0="00000001" w:usb1="080E0000" w:usb2="00000000" w:usb3="00000000" w:csb0="00040000" w:csb1="00000000"/>
  </w:font>
  <w:font w:name="等线">
    <w:altName w:val="华文仿宋"/>
    <w:panose1 w:val="02010600030101010101"/>
    <w:charset w:val="00"/>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汉仪书宋二S">
    <w:altName w:val="方正书宋_GBK"/>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136525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7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BJj9n7VAAAABwEAAA8AAAAAAAAAAQAgAAAA&#10;OAAAAGRycy9kb3ducmV2LnhtbFBLAQIUABQAAAAIAIdO4kBrhfn7MQIAAGEEAAAOAAAAAAAAAAEA&#10;IAAAADoBAABkcnMvZTJvRG9jLnhtbFBLBQYAAAAABgAGAFkBAADdBQAAAAA=&#10;">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w:rPr>
        <w:lang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136525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ind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0.7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ASY/Z+1QAAAAcBAAAPAAAAAAAAAAEAIAAAADgAAABk&#10;cnMvZG93bnJldi54bWxQSwECFAAUAAAACACHTuJAr2PYMCwCAABVBAAADgAAAAAAAAABACAAAAA6&#10;AQAAZHJzL2Uyb0RvYy54bWxQSwUGAAAAAAYABgBZAQAA2AUAAAAA&#10;">
              <v:fill on="f" focussize="0,0"/>
              <v:stroke on="f" weight="0.5pt"/>
              <v:imagedata o:title=""/>
              <o:lock v:ext="edit" aspectratio="f"/>
              <v:textbox inset="0mm,0mm,0mm,0mm" style="mso-fit-shape-to-text:t;">
                <w:txbxContent>
                  <w:p>
                    <w:pPr>
                      <w:pStyle w:val="12"/>
                      <w:ind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12"/>
      <w:ind w:firstLine="360"/>
    </w:pPr>
  </w:p>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FD2210"/>
    <w:multiLevelType w:val="singleLevel"/>
    <w:tmpl w:val="7DFD221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4YmY3NWE5YzQ1MmFlMGU0YWU5Mzk2MDQwOWZkNjIifQ=="/>
  </w:docVars>
  <w:rsids>
    <w:rsidRoot w:val="151F6142"/>
    <w:rsid w:val="05311335"/>
    <w:rsid w:val="0E3D0531"/>
    <w:rsid w:val="0F3F4250"/>
    <w:rsid w:val="151F6142"/>
    <w:rsid w:val="1EE9E3FC"/>
    <w:rsid w:val="2022656C"/>
    <w:rsid w:val="37FEC04E"/>
    <w:rsid w:val="3B4FEDB4"/>
    <w:rsid w:val="3BA206C2"/>
    <w:rsid w:val="43C401ED"/>
    <w:rsid w:val="52EF4937"/>
    <w:rsid w:val="57BF72FC"/>
    <w:rsid w:val="57DD259F"/>
    <w:rsid w:val="58AF6F99"/>
    <w:rsid w:val="5BA31B45"/>
    <w:rsid w:val="5BE6DF44"/>
    <w:rsid w:val="5F7ADEE3"/>
    <w:rsid w:val="67B7531C"/>
    <w:rsid w:val="6D1DD8D9"/>
    <w:rsid w:val="6DBC849A"/>
    <w:rsid w:val="6FFD7696"/>
    <w:rsid w:val="74697909"/>
    <w:rsid w:val="77FF47E1"/>
    <w:rsid w:val="77FF58D7"/>
    <w:rsid w:val="797E0F52"/>
    <w:rsid w:val="79EF5EEC"/>
    <w:rsid w:val="79EFE9B9"/>
    <w:rsid w:val="7BAD8FA8"/>
    <w:rsid w:val="7DFB3746"/>
    <w:rsid w:val="7EDFC660"/>
    <w:rsid w:val="87DF2F9D"/>
    <w:rsid w:val="BEE300A6"/>
    <w:rsid w:val="BF3F267F"/>
    <w:rsid w:val="BFFEC55C"/>
    <w:rsid w:val="BFFFB0ED"/>
    <w:rsid w:val="C3EF4840"/>
    <w:rsid w:val="C55A4B02"/>
    <w:rsid w:val="CBFFDCB4"/>
    <w:rsid w:val="CE9E6D24"/>
    <w:rsid w:val="D778E718"/>
    <w:rsid w:val="DF1C4610"/>
    <w:rsid w:val="DF653801"/>
    <w:rsid w:val="E4FB787D"/>
    <w:rsid w:val="ED534893"/>
    <w:rsid w:val="EF6F8D42"/>
    <w:rsid w:val="F77F5CC9"/>
    <w:rsid w:val="FBBE7F81"/>
    <w:rsid w:val="FEFE19BD"/>
    <w:rsid w:val="FF9D453E"/>
    <w:rsid w:val="FFCEF394"/>
    <w:rsid w:val="FFFA3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200" w:firstLineChars="200"/>
      <w:jc w:val="both"/>
    </w:pPr>
    <w:rPr>
      <w:rFonts w:ascii="仿宋_GB2312" w:hAnsi="Times" w:eastAsia="仿宋_GB2312" w:cs="Times New Roman"/>
      <w:kern w:val="2"/>
      <w:sz w:val="32"/>
      <w:szCs w:val="32"/>
      <w:lang w:val="en-US" w:eastAsia="zh-CN" w:bidi="ar-SA"/>
    </w:rPr>
  </w:style>
  <w:style w:type="paragraph" w:styleId="4">
    <w:name w:val="heading 2"/>
    <w:basedOn w:val="1"/>
    <w:next w:val="1"/>
    <w:unhideWhenUsed/>
    <w:qFormat/>
    <w:uiPriority w:val="0"/>
    <w:pPr>
      <w:keepNext/>
      <w:keepLines/>
      <w:outlineLvl w:val="1"/>
    </w:pPr>
    <w:rPr>
      <w:rFonts w:eastAsia="楷体" w:asciiTheme="majorHAnsi" w:hAnsiTheme="majorHAnsi" w:cstheme="majorBidi"/>
      <w:bCs/>
      <w:szCs w:val="3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rPr>
      <w:rFonts w:ascii="??" w:hAnsi="??"/>
    </w:rPr>
  </w:style>
  <w:style w:type="paragraph" w:styleId="3">
    <w:name w:val="Body Text Indent"/>
    <w:basedOn w:val="1"/>
    <w:unhideWhenUsed/>
    <w:qFormat/>
    <w:uiPriority w:val="0"/>
    <w:pPr>
      <w:spacing w:after="120"/>
      <w:ind w:left="420" w:leftChars="200"/>
    </w:pPr>
  </w:style>
  <w:style w:type="paragraph" w:styleId="6">
    <w:name w:val="index 8"/>
    <w:basedOn w:val="1"/>
    <w:next w:val="1"/>
    <w:qFormat/>
    <w:uiPriority w:val="0"/>
    <w:pPr>
      <w:ind w:left="2940"/>
    </w:pPr>
  </w:style>
  <w:style w:type="paragraph" w:styleId="7">
    <w:name w:val="Normal Indent"/>
    <w:basedOn w:val="1"/>
    <w:next w:val="8"/>
    <w:qFormat/>
    <w:uiPriority w:val="0"/>
    <w:pPr>
      <w:ind w:firstLine="420" w:firstLineChars="200"/>
    </w:pPr>
  </w:style>
  <w:style w:type="paragraph" w:styleId="8">
    <w:name w:val="Body Text"/>
    <w:basedOn w:val="1"/>
    <w:next w:val="9"/>
    <w:semiHidden/>
    <w:unhideWhenUsed/>
    <w:qFormat/>
    <w:uiPriority w:val="99"/>
    <w:pPr>
      <w:spacing w:after="120"/>
    </w:pPr>
  </w:style>
  <w:style w:type="paragraph" w:styleId="9">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10">
    <w:name w:val="Block Text"/>
    <w:basedOn w:val="1"/>
    <w:qFormat/>
    <w:uiPriority w:val="0"/>
    <w:pPr>
      <w:tabs>
        <w:tab w:val="left" w:pos="426"/>
      </w:tabs>
      <w:spacing w:after="120"/>
      <w:ind w:left="1440" w:leftChars="700" w:right="1440" w:rightChars="700"/>
    </w:pPr>
  </w:style>
  <w:style w:type="paragraph" w:styleId="11">
    <w:name w:val="Plain Text"/>
    <w:basedOn w:val="1"/>
    <w:next w:val="6"/>
    <w:unhideWhenUsed/>
    <w:qFormat/>
    <w:uiPriority w:val="99"/>
    <w:rPr>
      <w:rFonts w:ascii="宋体" w:hAnsi="Courier New" w:cs="Courier New"/>
      <w:szCs w:val="21"/>
    </w:rPr>
  </w:style>
  <w:style w:type="paragraph" w:styleId="12">
    <w:name w:val="footer"/>
    <w:basedOn w:val="1"/>
    <w:unhideWhenUsed/>
    <w:qFormat/>
    <w:uiPriority w:val="0"/>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semiHidden/>
    <w:unhideWhenUsed/>
    <w:qFormat/>
    <w:uiPriority w:val="99"/>
    <w:pPr>
      <w:spacing w:beforeAutospacing="1" w:afterAutospacing="1"/>
      <w:jc w:val="left"/>
    </w:pPr>
    <w:rPr>
      <w:kern w:val="0"/>
      <w:sz w:val="24"/>
    </w:rPr>
  </w:style>
  <w:style w:type="table" w:styleId="16">
    <w:name w:val="Table Grid"/>
    <w:basedOn w:val="1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8">
    <w:name w:val="NormalCharacter"/>
    <w:qFormat/>
    <w:uiPriority w:val="0"/>
    <w:rPr>
      <w:rFonts w:asciiTheme="minorHAnsi" w:hAnsiTheme="minorHAnsi" w:eastAsiaTheme="minorEastAsia" w:cstheme="minorBidi"/>
      <w:kern w:val="2"/>
      <w:sz w:val="21"/>
      <w:szCs w:val="22"/>
      <w:lang w:val="en-US" w:eastAsia="zh-CN" w:bidi="ar-SA"/>
    </w:rPr>
  </w:style>
  <w:style w:type="paragraph" w:customStyle="1" w:styleId="19">
    <w:name w:val="USE 1"/>
    <w:basedOn w:val="1"/>
    <w:qFormat/>
    <w:uiPriority w:val="0"/>
    <w:pPr>
      <w:spacing w:line="200" w:lineRule="atLeast"/>
      <w:jc w:val="left"/>
    </w:pPr>
    <w:rPr>
      <w:rFonts w:ascii="宋体" w:hAnsi="宋体"/>
      <w:b/>
      <w:sz w:val="24"/>
      <w:szCs w:val="28"/>
    </w:rPr>
  </w:style>
  <w:style w:type="character" w:customStyle="1" w:styleId="20">
    <w:name w:val="font11"/>
    <w:basedOn w:val="17"/>
    <w:qFormat/>
    <w:uiPriority w:val="0"/>
    <w:rPr>
      <w:rFonts w:hint="eastAsia" w:ascii="仿宋_GB2312" w:eastAsia="仿宋_GB2312" w:cs="仿宋_GB2312"/>
      <w:color w:val="000000"/>
      <w:sz w:val="24"/>
      <w:szCs w:val="24"/>
      <w:u w:val="none"/>
    </w:rPr>
  </w:style>
  <w:style w:type="paragraph" w:customStyle="1" w:styleId="21">
    <w:name w:val="l正文"/>
    <w:basedOn w:val="1"/>
    <w:qFormat/>
    <w:uiPriority w:val="0"/>
    <w:pPr>
      <w:spacing w:line="300" w:lineRule="auto"/>
      <w:ind w:firstLine="200" w:firstLineChars="200"/>
      <w:jc w:val="left"/>
    </w:pPr>
    <w:rPr>
      <w:rFonts w:ascii="楷体_GB2312" w:hAnsi="Times" w:eastAsia="楷体_GB2312" w:cs="等线"/>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4745</Words>
  <Characters>4877</Characters>
  <Lines>0</Lines>
  <Paragraphs>0</Paragraphs>
  <TotalTime>233</TotalTime>
  <ScaleCrop>false</ScaleCrop>
  <LinksUpToDate>false</LinksUpToDate>
  <CharactersWithSpaces>4898</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2023-07-14T07:13:00Z</dcterms:created>
  <dc:creator>江伟豪</dc:creator>
  <cp:lastModifiedBy>oyh</cp:lastModifiedBy>
  <cp:lastPrinted>2025-06-11T16:26:00Z</cp:lastPrinted>
  <dcterms:modified xsi:type="dcterms:W3CDTF">2025-07-14T16:26:51Z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1AD12CD6F559ECA138B774688958F7DF</vt:lpwstr>
  </property>
</Properties>
</file>