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color w:val="000000" w:themeColor="text1"/>
          <w:sz w:val="32"/>
          <w:szCs w:val="32"/>
          <w:lang w:val="en-US" w:eastAsia="zh-CN"/>
          <w14:textFill>
            <w14:solidFill>
              <w14:schemeClr w14:val="tx1"/>
            </w14:solidFill>
          </w14:textFill>
        </w:rPr>
      </w:pPr>
      <w:r>
        <w:rPr>
          <w:rFonts w:hint="eastAsia" w:ascii="黑体" w:hAnsi="黑体" w:eastAsia="黑体" w:cs="黑体"/>
          <w:b w:val="0"/>
          <w:color w:val="000000" w:themeColor="text1"/>
          <w:sz w:val="32"/>
          <w:szCs w:val="32"/>
          <w:lang w:val="en" w:eastAsia="zh-CN"/>
          <w14:textFill>
            <w14:solidFill>
              <w14:schemeClr w14:val="tx1"/>
            </w14:solidFill>
          </w14:textFill>
        </w:rPr>
        <w:t>附件</w:t>
      </w:r>
      <w:r>
        <w:rPr>
          <w:rFonts w:hint="eastAsia" w:ascii="黑体" w:hAnsi="黑体" w:eastAsia="黑体" w:cs="黑体"/>
          <w:b w:val="0"/>
          <w:color w:val="000000" w:themeColor="text1"/>
          <w:sz w:val="32"/>
          <w:szCs w:val="32"/>
          <w:lang w:val="en-US" w:eastAsia="zh-CN"/>
          <w14:textFill>
            <w14:solidFill>
              <w14:schemeClr w14:val="tx1"/>
            </w14:solidFill>
          </w14:textFill>
        </w:rPr>
        <w:t>2</w:t>
      </w:r>
    </w:p>
    <w:p>
      <w:pPr>
        <w:jc w:val="left"/>
        <w:rPr>
          <w:rFonts w:hint="eastAsia" w:ascii="黑体" w:hAnsi="黑体" w:eastAsia="黑体" w:cs="黑体"/>
          <w:b w:val="0"/>
          <w:color w:val="000000" w:themeColor="text1"/>
          <w:sz w:val="32"/>
          <w:szCs w:val="32"/>
          <w:lang w:val="en-US" w:eastAsia="zh-CN"/>
          <w14:textFill>
            <w14:solidFill>
              <w14:schemeClr w14:val="tx1"/>
            </w14:solidFill>
          </w14:textFill>
        </w:rPr>
      </w:pPr>
    </w:p>
    <w:p>
      <w:pPr>
        <w:rPr>
          <w:rFonts w:hint="eastAsia" w:ascii="方正小标宋简体" w:eastAsia="方正小标宋简体"/>
          <w:b w:val="0"/>
          <w:color w:val="000000" w:themeColor="text1"/>
          <w14:textFill>
            <w14:solidFill>
              <w14:schemeClr w14:val="tx1"/>
            </w14:solidFill>
          </w14:textFill>
        </w:rPr>
      </w:pPr>
      <w:r>
        <w:rPr>
          <w:rFonts w:hint="eastAsia" w:ascii="方正小标宋简体" w:eastAsia="方正小标宋简体"/>
          <w:b w:val="0"/>
          <w:color w:val="000000" w:themeColor="text1"/>
          <w14:textFill>
            <w14:solidFill>
              <w14:schemeClr w14:val="tx1"/>
            </w14:solidFill>
          </w14:textFill>
        </w:rPr>
        <w:t>《龙华区工业上楼项目企业入驻管理实施</w:t>
      </w:r>
    </w:p>
    <w:p>
      <w:pPr>
        <w:rPr>
          <w:rFonts w:cs="宋体"/>
          <w:b w:val="0"/>
          <w:color w:val="000000" w:themeColor="text1"/>
          <w14:textFill>
            <w14:solidFill>
              <w14:schemeClr w14:val="tx1"/>
            </w14:solidFill>
          </w14:textFill>
        </w:rPr>
      </w:pPr>
      <w:r>
        <w:rPr>
          <w:rFonts w:hint="eastAsia" w:ascii="方正小标宋简体" w:eastAsia="方正小标宋简体"/>
          <w:b w:val="0"/>
          <w:color w:val="000000" w:themeColor="text1"/>
          <w14:textFill>
            <w14:solidFill>
              <w14:schemeClr w14:val="tx1"/>
            </w14:solidFill>
          </w14:textFill>
        </w:rPr>
        <w:t>细则</w:t>
      </w:r>
      <w:r>
        <w:rPr>
          <w:rFonts w:hint="eastAsia" w:ascii="方正小标宋简体" w:eastAsia="方正小标宋简体"/>
          <w:b w:val="0"/>
          <w:color w:val="000000" w:themeColor="text1"/>
          <w:lang w:eastAsia="zh-CN"/>
          <w14:textFill>
            <w14:solidFill>
              <w14:schemeClr w14:val="tx1"/>
            </w14:solidFill>
          </w14:textFill>
        </w:rPr>
        <w:t>（试行）</w:t>
      </w:r>
      <w:r>
        <w:rPr>
          <w:rFonts w:hint="eastAsia" w:ascii="方正小标宋简体" w:eastAsia="方正小标宋简体"/>
          <w:b w:val="0"/>
          <w:color w:val="000000" w:themeColor="text1"/>
          <w14:textFill>
            <w14:solidFill>
              <w14:schemeClr w14:val="tx1"/>
            </w14:solidFill>
          </w14:textFill>
        </w:rPr>
        <w:t>》编制说明</w:t>
      </w:r>
    </w:p>
    <w:p>
      <w:pPr>
        <w:spacing w:line="579" w:lineRule="exact"/>
        <w:ind w:firstLine="642" w:firstLineChars="200"/>
        <w:jc w:val="left"/>
        <w:rPr>
          <w:rFonts w:ascii="黑体" w:hAnsi="黑体" w:eastAsia="黑体"/>
          <w:color w:val="000000" w:themeColor="text1"/>
          <w:sz w:val="32"/>
          <w:szCs w:val="32"/>
          <w14:textFill>
            <w14:solidFill>
              <w14:schemeClr w14:val="tx1"/>
            </w14:solidFill>
          </w14:textFill>
        </w:rPr>
      </w:pPr>
    </w:p>
    <w:p>
      <w:pPr>
        <w:pStyle w:val="11"/>
        <w:ind w:firstLine="645"/>
      </w:pPr>
      <w:r>
        <w:rPr>
          <w:rFonts w:hint="eastAsia"/>
        </w:rPr>
        <w:t>根据《深圳市人民政府关于印发深圳市“工业上楼”项目审批实施方案的通知》（深府函〔2023〕20号）《深圳市人民政府关于印发深圳市优质产业空间供给试点改革方案的通知》（深府函〔2021〕43号）《深圳市人民政府关于发展壮大战略性新兴产业集群和培育发展未来产业的意见》（深府〔2022〕1号）《深圳市20大先进制造业园区空间布局规划》等文件精神，我局编制了《龙华区工业上楼项目企业入驻管理实施细则</w:t>
      </w:r>
      <w:r>
        <w:rPr>
          <w:rFonts w:hint="eastAsia"/>
          <w:lang w:eastAsia="zh-CN"/>
        </w:rPr>
        <w:t>（试行）（征求意见稿）</w:t>
      </w:r>
      <w:r>
        <w:rPr>
          <w:rFonts w:hint="eastAsia"/>
        </w:rPr>
        <w:t>》</w:t>
      </w:r>
      <w:r>
        <w:rPr>
          <w:rFonts w:hint="eastAsia"/>
          <w:lang w:eastAsia="zh-CN"/>
        </w:rPr>
        <w:t>（</w:t>
      </w:r>
      <w:r>
        <w:rPr>
          <w:rFonts w:hint="eastAsia"/>
        </w:rPr>
        <w:t>以下简称《实施细则》</w:t>
      </w:r>
      <w:r>
        <w:rPr>
          <w:rFonts w:hint="eastAsia"/>
          <w:lang w:eastAsia="zh-CN"/>
        </w:rPr>
        <w:t>）</w:t>
      </w:r>
      <w:r>
        <w:rPr>
          <w:rFonts w:hint="eastAsia"/>
        </w:rPr>
        <w:t>。现将《实施细则》编制情况说明如下：</w:t>
      </w:r>
    </w:p>
    <w:p>
      <w:pPr>
        <w:pStyle w:val="2"/>
        <w:spacing w:before="0" w:beforeLines="0" w:after="0" w:afterLines="0" w:line="360" w:lineRule="auto"/>
        <w:ind w:firstLine="640"/>
        <w:rPr>
          <w:rFonts w:ascii="黑体" w:hAnsi="黑体" w:eastAsia="黑体" w:cs="黑体"/>
          <w:b w:val="0"/>
          <w:szCs w:val="32"/>
        </w:rPr>
      </w:pPr>
      <w:r>
        <w:rPr>
          <w:rFonts w:hint="eastAsia" w:ascii="黑体" w:hAnsi="黑体" w:eastAsia="黑体" w:cs="黑体"/>
          <w:b w:val="0"/>
          <w:szCs w:val="32"/>
        </w:rPr>
        <w:t>一、编制背景及必要性</w:t>
      </w:r>
    </w:p>
    <w:p>
      <w:pPr>
        <w:pStyle w:val="11"/>
        <w:ind w:firstLine="645"/>
        <w:rPr>
          <w:rFonts w:hint="eastAsia" w:ascii="仿宋_GB2312" w:hAnsi="仿宋_GB2312" w:eastAsia="仿宋_GB2312" w:cs="仿宋_GB2312"/>
          <w:color w:val="auto"/>
          <w:sz w:val="32"/>
          <w:szCs w:val="32"/>
          <w:highlight w:val="none"/>
        </w:rPr>
      </w:pPr>
      <w:r>
        <w:rPr>
          <w:rFonts w:hint="eastAsia" w:hAnsi="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全面贯彻党的二十大精神</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深入贯彻习近平总书记对广东、深圳系列重要讲话、重要指示精神和关于制造业高质量发展的重要论述</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全面落实广东省关于促进工业经济平稳增长相关决策</w:t>
      </w:r>
      <w:r>
        <w:rPr>
          <w:rFonts w:hint="eastAsia" w:hAnsi="仿宋_GB2312" w:cs="仿宋_GB2312"/>
          <w:color w:val="auto"/>
          <w:sz w:val="32"/>
          <w:szCs w:val="32"/>
          <w:highlight w:val="none"/>
          <w:lang w:eastAsia="zh-CN"/>
        </w:rPr>
        <w:t>，深圳</w:t>
      </w:r>
      <w:r>
        <w:rPr>
          <w:rFonts w:hint="eastAsia" w:ascii="仿宋_GB2312" w:hAnsi="仿宋_GB2312" w:eastAsia="仿宋_GB2312" w:cs="仿宋_GB2312"/>
          <w:color w:val="auto"/>
          <w:sz w:val="32"/>
          <w:szCs w:val="32"/>
          <w:highlight w:val="none"/>
        </w:rPr>
        <w:t>市委市政府</w:t>
      </w:r>
      <w:r>
        <w:rPr>
          <w:rFonts w:hint="eastAsia" w:hAnsi="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关于做大做强“20+8”战略性新兴产业集群和未来产业</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高水平规划建设20个先进制造业园区</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大力实施“工业上楼”行动计划的工作部署</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进一步促进产业用地节约集约利用</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拓展产业发展空间</w:t>
      </w:r>
      <w:r>
        <w:rPr>
          <w:rFonts w:hint="eastAsia" w:hAnsi="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坚持“工业立市、制造强市”战略方针</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遵循“三生融合”、“三创结合”、“三个平衡”的现代产业园区要求</w:t>
      </w:r>
      <w:r>
        <w:rPr>
          <w:rFonts w:hint="default" w:hAnsi="仿宋_GB2312" w:cs="仿宋_GB2312"/>
          <w:color w:val="auto"/>
          <w:sz w:val="32"/>
          <w:szCs w:val="32"/>
          <w:highlight w:val="none"/>
          <w:lang w:val="en"/>
        </w:rPr>
        <w:t>，</w:t>
      </w:r>
      <w:r>
        <w:rPr>
          <w:rFonts w:hint="eastAsia" w:hAnsi="仿宋_GB2312" w:cs="仿宋_GB2312"/>
          <w:color w:val="auto"/>
          <w:sz w:val="32"/>
          <w:szCs w:val="32"/>
          <w:highlight w:val="none"/>
          <w:lang w:val="en" w:eastAsia="zh-CN"/>
        </w:rPr>
        <w:t>将</w:t>
      </w:r>
      <w:r>
        <w:rPr>
          <w:rFonts w:hint="eastAsia" w:ascii="仿宋_GB2312" w:hAnsi="仿宋_GB2312" w:eastAsia="仿宋_GB2312" w:cs="仿宋_GB2312"/>
          <w:color w:val="auto"/>
          <w:sz w:val="32"/>
          <w:szCs w:val="32"/>
          <w:highlight w:val="none"/>
        </w:rPr>
        <w:t>连续5年每年提供不少于2000万平方米高品质、低成本、定制化产业空间的工作目标</w:t>
      </w:r>
      <w:r>
        <w:rPr>
          <w:rFonts w:hint="default" w:hAnsi="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为全市制造业发展提供坚实支撑。</w:t>
      </w:r>
    </w:p>
    <w:p>
      <w:pPr>
        <w:pStyle w:val="11"/>
        <w:ind w:firstLine="645"/>
        <w:rPr>
          <w:rFonts w:hint="eastAsia" w:ascii="仿宋_GB2312" w:hAnsi="仿宋_GB2312" w:eastAsia="仿宋_GB2312" w:cs="仿宋_GB2312"/>
          <w:color w:val="auto"/>
          <w:sz w:val="32"/>
          <w:szCs w:val="32"/>
          <w:highlight w:val="none"/>
        </w:rPr>
      </w:pPr>
      <w:r>
        <w:rPr>
          <w:rFonts w:hint="default" w:hAnsi="仿宋_GB2312" w:cs="仿宋_GB2312"/>
          <w:color w:val="auto"/>
          <w:sz w:val="32"/>
          <w:szCs w:val="32"/>
          <w:highlight w:val="none"/>
          <w:lang w:val="en"/>
        </w:rPr>
        <w:t>龙华区</w:t>
      </w:r>
      <w:r>
        <w:rPr>
          <w:rFonts w:hint="eastAsia" w:hAnsi="仿宋_GB2312" w:cs="仿宋_GB2312"/>
          <w:color w:val="auto"/>
          <w:sz w:val="32"/>
          <w:szCs w:val="32"/>
          <w:highlight w:val="none"/>
          <w:lang w:eastAsia="zh-CN"/>
        </w:rPr>
        <w:t>积极</w:t>
      </w:r>
      <w:r>
        <w:rPr>
          <w:rFonts w:hint="eastAsia" w:ascii="仿宋_GB2312" w:hAnsi="仿宋_GB2312" w:eastAsia="仿宋_GB2312" w:cs="仿宋_GB2312"/>
          <w:color w:val="auto"/>
          <w:sz w:val="32"/>
          <w:szCs w:val="32"/>
          <w:u w:val="none"/>
        </w:rPr>
        <w:t>贯彻落实市委市政府“盘活空间、提质增效、集约发展”的工作部署，坚持制造业立区之本，推动1</w:t>
      </w:r>
      <w:r>
        <w:rPr>
          <w:rFonts w:hint="eastAsia" w:hAnsi="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w:t>
      </w:r>
      <w:r>
        <w:rPr>
          <w:rFonts w:hint="eastAsia" w:hAnsi="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产业集群和三大先进制造业园区发展，实现高端制造业企业需求与</w:t>
      </w:r>
      <w:r>
        <w:rPr>
          <w:rFonts w:hint="eastAsia" w:ascii="仿宋_GB2312" w:hAnsi="仿宋_GB2312" w:eastAsia="仿宋_GB2312" w:cs="仿宋_GB2312"/>
          <w:color w:val="auto"/>
          <w:sz w:val="32"/>
          <w:szCs w:val="32"/>
          <w:u w:val="none"/>
          <w:lang w:eastAsia="zh-CN"/>
        </w:rPr>
        <w:t>工业上楼项目</w:t>
      </w:r>
      <w:r>
        <w:rPr>
          <w:rFonts w:hint="eastAsia" w:ascii="仿宋_GB2312" w:hAnsi="仿宋_GB2312" w:eastAsia="仿宋_GB2312" w:cs="仿宋_GB2312"/>
          <w:color w:val="auto"/>
          <w:sz w:val="32"/>
          <w:szCs w:val="32"/>
          <w:u w:val="none"/>
        </w:rPr>
        <w:t>供给精准匹配</w:t>
      </w:r>
      <w:r>
        <w:rPr>
          <w:rFonts w:hint="eastAsia" w:hAnsi="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rPr>
        <w:t>拟按照“低成本开发+高质量建设+准成本提供”的优质产业空间供给模式，</w:t>
      </w:r>
      <w:r>
        <w:rPr>
          <w:rFonts w:hint="eastAsia" w:ascii="仿宋_GB2312" w:hAnsi="仿宋_GB2312" w:eastAsia="仿宋_GB2312" w:cs="仿宋_GB2312"/>
          <w:color w:val="auto"/>
          <w:sz w:val="32"/>
          <w:szCs w:val="32"/>
          <w:highlight w:val="none"/>
          <w:lang w:eastAsia="zh-CN"/>
        </w:rPr>
        <w:t>将龙华区工业上楼试点项目</w:t>
      </w:r>
      <w:r>
        <w:rPr>
          <w:rFonts w:hint="eastAsia" w:ascii="仿宋_GB2312" w:hAnsi="仿宋_GB2312" w:eastAsia="仿宋_GB2312" w:cs="仿宋_GB2312"/>
          <w:color w:val="auto"/>
          <w:sz w:val="32"/>
          <w:szCs w:val="32"/>
          <w:highlight w:val="none"/>
        </w:rPr>
        <w:t>面向符合条件的企业进行分割销售</w:t>
      </w:r>
      <w:r>
        <w:rPr>
          <w:rFonts w:hint="eastAsia" w:hAnsi="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lang w:eastAsia="zh-CN"/>
        </w:rPr>
        <w:t>租赁</w:t>
      </w:r>
      <w:r>
        <w:rPr>
          <w:rFonts w:hint="eastAsia" w:ascii="仿宋_GB2312" w:hAnsi="仿宋_GB2312" w:eastAsia="仿宋_GB2312" w:cs="仿宋_GB2312"/>
          <w:color w:val="auto"/>
          <w:sz w:val="32"/>
          <w:szCs w:val="32"/>
          <w:highlight w:val="none"/>
        </w:rPr>
        <w:t>，实现优质产业空间供给与优质企业需求的精准匹配。</w:t>
      </w:r>
    </w:p>
    <w:p>
      <w:pPr>
        <w:pStyle w:val="11"/>
        <w:ind w:firstLine="645"/>
        <w:rPr>
          <w:rFonts w:hint="eastAsia" w:ascii="仿宋_GB2312" w:hAnsi="仿宋_GB2312" w:eastAsia="仿宋_GB2312" w:cs="仿宋_GB2312"/>
          <w:color w:val="auto"/>
          <w:sz w:val="32"/>
          <w:szCs w:val="32"/>
          <w:highlight w:val="none"/>
          <w:lang w:eastAsia="zh-CN"/>
        </w:rPr>
      </w:pPr>
      <w:r>
        <w:rPr>
          <w:rFonts w:hint="eastAsia" w:hAnsi="仿宋"/>
          <w:color w:val="000000" w:themeColor="text1"/>
          <w:lang w:eastAsia="zh-CN"/>
          <w14:textFill>
            <w14:solidFill>
              <w14:schemeClr w14:val="tx1"/>
            </w14:solidFill>
          </w14:textFill>
        </w:rPr>
        <w:t>为</w:t>
      </w:r>
      <w:r>
        <w:rPr>
          <w:rFonts w:hint="eastAsia" w:hAnsi="仿宋"/>
          <w:color w:val="000000" w:themeColor="text1"/>
          <w14:textFill>
            <w14:solidFill>
              <w14:schemeClr w14:val="tx1"/>
            </w14:solidFill>
          </w14:textFill>
        </w:rPr>
        <w:t>衔接上位政策</w:t>
      </w:r>
      <w:r>
        <w:rPr>
          <w:rFonts w:hint="eastAsia" w:hAnsi="仿宋"/>
          <w:color w:val="000000" w:themeColor="text1"/>
          <w:lang w:eastAsia="zh-CN"/>
          <w14:textFill>
            <w14:solidFill>
              <w14:schemeClr w14:val="tx1"/>
            </w14:solidFill>
          </w14:textFill>
        </w:rPr>
        <w:t>、</w:t>
      </w:r>
      <w:r>
        <w:rPr>
          <w:rFonts w:hint="eastAsia" w:hAnsi="仿宋"/>
          <w:color w:val="000000" w:themeColor="text1"/>
          <w14:textFill>
            <w14:solidFill>
              <w14:schemeClr w14:val="tx1"/>
            </w14:solidFill>
          </w14:textFill>
        </w:rPr>
        <w:t>明确职责分工</w:t>
      </w:r>
      <w:r>
        <w:rPr>
          <w:rFonts w:hint="eastAsia" w:hAnsi="仿宋"/>
          <w:color w:val="000000" w:themeColor="text1"/>
          <w:lang w:eastAsia="zh-CN"/>
          <w14:textFill>
            <w14:solidFill>
              <w14:schemeClr w14:val="tx1"/>
            </w14:solidFill>
          </w14:textFill>
        </w:rPr>
        <w:t>、</w:t>
      </w:r>
      <w:r>
        <w:rPr>
          <w:rFonts w:hint="eastAsia" w:hAnsi="仿宋"/>
          <w:bCs/>
          <w:color w:val="000000" w:themeColor="text1"/>
          <w14:textFill>
            <w14:solidFill>
              <w14:schemeClr w14:val="tx1"/>
            </w14:solidFill>
          </w14:textFill>
        </w:rPr>
        <w:t>建立全过程管理规范</w:t>
      </w:r>
      <w:r>
        <w:rPr>
          <w:rFonts w:hint="eastAsia" w:hAnsi="仿宋"/>
          <w:color w:val="000000" w:themeColor="text1"/>
          <w:lang w:eastAsia="zh-CN"/>
          <w14:textFill>
            <w14:solidFill>
              <w14:schemeClr w14:val="tx1"/>
            </w14:solidFill>
          </w14:textFill>
        </w:rPr>
        <w:t>，</w:t>
      </w:r>
      <w:r>
        <w:rPr>
          <w:rFonts w:hint="eastAsia"/>
        </w:rPr>
        <w:t>我局</w:t>
      </w:r>
      <w:r>
        <w:rPr>
          <w:rFonts w:hint="eastAsia"/>
          <w:lang w:eastAsia="zh-CN"/>
        </w:rPr>
        <w:t>牵头</w:t>
      </w:r>
      <w:r>
        <w:rPr>
          <w:rFonts w:hint="eastAsia"/>
        </w:rPr>
        <w:t>编制了《实施细则》</w:t>
      </w:r>
      <w:r>
        <w:rPr>
          <w:rFonts w:hint="eastAsia" w:hAnsi="仿宋"/>
          <w:color w:val="000000" w:themeColor="text1"/>
          <w:lang w:eastAsia="zh-CN"/>
          <w14:textFill>
            <w14:solidFill>
              <w14:schemeClr w14:val="tx1"/>
            </w14:solidFill>
          </w14:textFill>
        </w:rPr>
        <w:t>，主要应用于以下三个方面：</w:t>
      </w:r>
      <w:r>
        <w:rPr>
          <w:rFonts w:hint="eastAsia" w:hAnsi="仿宋"/>
          <w:b/>
          <w:bCs/>
          <w:color w:val="000000" w:themeColor="text1"/>
          <w:lang w:eastAsia="zh-CN"/>
          <w14:textFill>
            <w14:solidFill>
              <w14:schemeClr w14:val="tx1"/>
            </w14:solidFill>
          </w14:textFill>
        </w:rPr>
        <w:t>一是</w:t>
      </w:r>
      <w:r>
        <w:rPr>
          <w:rFonts w:hint="default" w:hAnsi="仿宋_GB2312" w:cs="仿宋_GB2312"/>
          <w:color w:val="auto"/>
          <w:sz w:val="32"/>
          <w:szCs w:val="32"/>
          <w:highlight w:val="none"/>
          <w:lang w:val="en"/>
        </w:rPr>
        <w:t>审定申报企业拟分配方案；</w:t>
      </w:r>
      <w:r>
        <w:rPr>
          <w:rFonts w:hint="eastAsia" w:hAnsi="仿宋_GB2312" w:cs="仿宋_GB2312"/>
          <w:b/>
          <w:bCs/>
          <w:color w:val="auto"/>
          <w:sz w:val="32"/>
          <w:szCs w:val="32"/>
          <w:highlight w:val="none"/>
          <w:lang w:val="en" w:eastAsia="zh-CN"/>
        </w:rPr>
        <w:t>二是</w:t>
      </w:r>
      <w:r>
        <w:rPr>
          <w:rFonts w:hint="default" w:hAnsi="仿宋_GB2312" w:cs="仿宋_GB2312"/>
          <w:color w:val="auto"/>
          <w:sz w:val="32"/>
          <w:szCs w:val="32"/>
          <w:highlight w:val="none"/>
          <w:lang w:val="en"/>
        </w:rPr>
        <w:t>协调、解决工业上楼项目运营管理以及企业入驻涉及的产业监管等重大问题</w:t>
      </w:r>
      <w:r>
        <w:rPr>
          <w:rFonts w:hint="eastAsia" w:hAnsi="仿宋_GB2312" w:cs="仿宋_GB2312"/>
          <w:color w:val="auto"/>
          <w:sz w:val="32"/>
          <w:szCs w:val="32"/>
          <w:highlight w:val="none"/>
          <w:lang w:val="en" w:eastAsia="zh-CN"/>
        </w:rPr>
        <w:t>；</w:t>
      </w:r>
      <w:r>
        <w:rPr>
          <w:rFonts w:hint="eastAsia" w:hAnsi="仿宋_GB2312" w:cs="仿宋_GB2312"/>
          <w:b/>
          <w:bCs/>
          <w:color w:val="auto"/>
          <w:sz w:val="32"/>
          <w:szCs w:val="32"/>
          <w:highlight w:val="none"/>
          <w:lang w:val="en" w:eastAsia="zh-CN"/>
        </w:rPr>
        <w:t>三是</w:t>
      </w:r>
      <w:r>
        <w:rPr>
          <w:rFonts w:hint="eastAsia" w:hAnsi="仿宋_GB2312" w:cs="仿宋_GB2312"/>
          <w:color w:val="auto"/>
          <w:sz w:val="32"/>
          <w:szCs w:val="32"/>
          <w:highlight w:val="none"/>
          <w:lang w:val="en" w:eastAsia="zh-CN"/>
        </w:rPr>
        <w:t>议定</w:t>
      </w:r>
      <w:r>
        <w:rPr>
          <w:rFonts w:hint="eastAsia" w:ascii="仿宋_GB2312" w:eastAsia="仿宋_GB2312"/>
          <w:color w:val="auto"/>
          <w:sz w:val="32"/>
          <w:szCs w:val="32"/>
          <w:u w:val="none"/>
        </w:rPr>
        <w:t>其他应当报</w:t>
      </w:r>
      <w:r>
        <w:rPr>
          <w:rFonts w:hint="eastAsia" w:ascii="仿宋_GB2312" w:eastAsia="仿宋_GB2312"/>
          <w:color w:val="auto"/>
          <w:sz w:val="32"/>
          <w:szCs w:val="32"/>
          <w:u w:val="none"/>
          <w:lang w:eastAsia="zh-CN"/>
        </w:rPr>
        <w:t>工作</w:t>
      </w:r>
      <w:r>
        <w:rPr>
          <w:rFonts w:hint="eastAsia" w:ascii="仿宋_GB2312" w:eastAsia="仿宋_GB2312"/>
          <w:color w:val="auto"/>
          <w:sz w:val="32"/>
          <w:szCs w:val="32"/>
          <w:u w:val="none"/>
        </w:rPr>
        <w:t>小组审定的事项</w:t>
      </w:r>
      <w:r>
        <w:rPr>
          <w:rFonts w:hint="eastAsia"/>
          <w:color w:val="auto"/>
          <w:sz w:val="32"/>
          <w:szCs w:val="32"/>
          <w:u w:val="none"/>
          <w:lang w:eastAsia="zh-CN"/>
        </w:rPr>
        <w:t>。</w:t>
      </w:r>
    </w:p>
    <w:p>
      <w:pPr>
        <w:pStyle w:val="2"/>
        <w:spacing w:before="0" w:beforeLines="0" w:after="0" w:afterLines="0" w:line="360" w:lineRule="auto"/>
        <w:ind w:firstLine="640"/>
        <w:rPr>
          <w:rFonts w:hint="eastAsia" w:ascii="黑体" w:hAnsi="黑体" w:eastAsia="黑体" w:cs="黑体"/>
          <w:b w:val="0"/>
          <w:szCs w:val="32"/>
          <w:lang w:eastAsia="zh-CN"/>
        </w:rPr>
      </w:pPr>
      <w:r>
        <w:rPr>
          <w:rFonts w:hint="eastAsia" w:ascii="黑体" w:hAnsi="黑体" w:eastAsia="黑体" w:cs="黑体"/>
          <w:b w:val="0"/>
          <w:szCs w:val="32"/>
        </w:rPr>
        <w:t>二、编制过程</w:t>
      </w:r>
      <w:r>
        <w:rPr>
          <w:rFonts w:hint="eastAsia" w:ascii="黑体" w:hAnsi="黑体" w:eastAsia="黑体" w:cs="黑体"/>
          <w:b w:val="0"/>
          <w:szCs w:val="32"/>
          <w:lang w:eastAsia="zh-CN"/>
        </w:rPr>
        <w:t>和依据</w:t>
      </w:r>
    </w:p>
    <w:p>
      <w:pPr>
        <w:pStyle w:val="11"/>
        <w:ind w:firstLine="645"/>
        <w:rPr>
          <w:rFonts w:hint="eastAsia"/>
        </w:rPr>
      </w:pPr>
      <w:r>
        <w:rPr>
          <w:rFonts w:hint="eastAsia"/>
        </w:rPr>
        <w:t>我局于2</w:t>
      </w:r>
      <w:r>
        <w:t>02</w:t>
      </w:r>
      <w:r>
        <w:rPr>
          <w:rFonts w:hint="eastAsia"/>
          <w:lang w:val="en-US" w:eastAsia="zh-CN"/>
        </w:rPr>
        <w:t>3</w:t>
      </w:r>
      <w:r>
        <w:rPr>
          <w:rFonts w:hint="eastAsia"/>
        </w:rPr>
        <w:t>年3月启动了《实施细则》编制工作，根据《深圳市人民政府关于印发深圳市“工业上楼”项目审批实施方案的通知》（深府函〔2023〕20号）《深圳市人民政府关于印发深圳市优质产业空间供给试点改革方案的通知》（深府函〔2021〕43号）《深圳市人民政府关于发展壮大战略性新兴产业集群和培育发展未来产业的意见》（深府〔2022〕1号）《深圳市20大先进制造业园区空间布局规划》等</w:t>
      </w:r>
      <w:r>
        <w:rPr>
          <w:rFonts w:hint="eastAsia" w:ascii="仿宋_GB2312" w:hAnsi="仿宋_GB2312" w:eastAsia="仿宋_GB2312" w:cs="仿宋_GB2312"/>
          <w:sz w:val="32"/>
          <w:szCs w:val="32"/>
          <w:highlight w:val="none"/>
          <w:lang w:val="en-US" w:eastAsia="zh-CN"/>
        </w:rPr>
        <w:t>文件及工作实际，</w:t>
      </w:r>
      <w:r>
        <w:rPr>
          <w:rFonts w:hint="eastAsia"/>
        </w:rPr>
        <w:t>经多轮内部研讨，形成《实施细则》，向相关部门进行第一次征求意见。</w:t>
      </w:r>
    </w:p>
    <w:p>
      <w:pPr>
        <w:pStyle w:val="2"/>
        <w:spacing w:before="0" w:beforeLines="0" w:after="0" w:afterLines="0" w:line="360" w:lineRule="auto"/>
        <w:ind w:firstLine="640"/>
        <w:rPr>
          <w:rFonts w:hint="eastAsia" w:ascii="黑体" w:hAnsi="黑体" w:eastAsia="黑体" w:cs="黑体"/>
          <w:b w:val="0"/>
          <w:szCs w:val="32"/>
        </w:rPr>
      </w:pPr>
      <w:r>
        <w:rPr>
          <w:rFonts w:hint="eastAsia" w:ascii="黑体" w:hAnsi="黑体" w:eastAsia="黑体" w:cs="黑体"/>
          <w:b w:val="0"/>
          <w:szCs w:val="32"/>
        </w:rPr>
        <w:t>三、主要内容</w:t>
      </w:r>
    </w:p>
    <w:p>
      <w:pPr>
        <w:pStyle w:val="20"/>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jc w:val="both"/>
        <w:textAlignment w:val="auto"/>
        <w:rPr>
          <w:rFonts w:hint="eastAsia" w:ascii="仿宋_GB2312" w:hAnsi="仿宋_GB2312" w:eastAsia="仿宋_GB2312" w:cs="仿宋_GB2312"/>
          <w:kern w:val="2"/>
          <w:sz w:val="32"/>
          <w:szCs w:val="32"/>
          <w:lang w:val="zh-TW" w:eastAsia="zh-CN" w:bidi="ar-SA"/>
        </w:rPr>
      </w:pPr>
      <w:r>
        <w:rPr>
          <w:rFonts w:hint="eastAsia" w:ascii="仿宋_GB2312" w:hAnsi="仿宋_GB2312" w:eastAsia="仿宋_GB2312" w:cs="仿宋_GB2312"/>
          <w:kern w:val="2"/>
          <w:sz w:val="32"/>
          <w:szCs w:val="32"/>
          <w:lang w:val="zh-TW" w:eastAsia="zh-CN" w:bidi="ar-SA"/>
        </w:rPr>
        <w:t>《</w:t>
      </w:r>
      <w:r>
        <w:rPr>
          <w:rFonts w:hint="eastAsia"/>
        </w:rPr>
        <w:t>实施细则</w:t>
      </w:r>
      <w:r>
        <w:rPr>
          <w:rFonts w:hint="eastAsia" w:ascii="仿宋_GB2312" w:hAnsi="仿宋_GB2312" w:eastAsia="仿宋_GB2312" w:cs="仿宋_GB2312"/>
          <w:kern w:val="2"/>
          <w:sz w:val="32"/>
          <w:szCs w:val="32"/>
          <w:lang w:val="zh-TW" w:eastAsia="zh-CN" w:bidi="ar-SA"/>
        </w:rPr>
        <w:t>》</w:t>
      </w:r>
      <w:r>
        <w:rPr>
          <w:rFonts w:hint="eastAsia" w:ascii="仿宋_GB2312" w:hAnsi="仿宋_GB2312" w:eastAsia="仿宋_GB2312" w:cs="仿宋_GB2312"/>
          <w:kern w:val="2"/>
          <w:sz w:val="32"/>
          <w:szCs w:val="32"/>
          <w:lang w:val="en-US" w:eastAsia="zh-CN" w:bidi="ar-SA"/>
        </w:rPr>
        <w:t>主要分为</w:t>
      </w:r>
      <w:r>
        <w:rPr>
          <w:rFonts w:hint="eastAsia" w:ascii="仿宋_GB2312" w:hAnsi="仿宋_GB2312" w:eastAsia="仿宋_GB2312" w:cs="仿宋_GB2312"/>
          <w:kern w:val="2"/>
          <w:sz w:val="32"/>
          <w:szCs w:val="32"/>
          <w:lang w:val="zh-TW" w:eastAsia="zh-CN" w:bidi="ar-SA"/>
        </w:rPr>
        <w:t>运营管理及产业监管、工业上楼项目租售要求、</w:t>
      </w:r>
      <w:r>
        <w:rPr>
          <w:rFonts w:hint="eastAsia" w:ascii="仿宋_GB2312" w:hAnsi="仿宋_GB2312" w:eastAsia="仿宋_GB2312" w:cs="仿宋_GB2312"/>
          <w:kern w:val="2"/>
          <w:sz w:val="32"/>
          <w:szCs w:val="32"/>
          <w:lang w:val="en-US" w:eastAsia="zh-CN" w:bidi="ar-SA"/>
        </w:rPr>
        <w:t>入驻条件与标准、</w:t>
      </w:r>
      <w:r>
        <w:rPr>
          <w:rFonts w:hint="eastAsia" w:ascii="仿宋_GB2312" w:hAnsi="仿宋_GB2312" w:eastAsia="仿宋_GB2312" w:cs="仿宋_GB2312"/>
          <w:kern w:val="2"/>
          <w:sz w:val="32"/>
          <w:szCs w:val="32"/>
          <w:lang w:val="zh-TW" w:eastAsia="zh-CN" w:bidi="ar-SA"/>
        </w:rPr>
        <w:t>入驻审批流程、</w:t>
      </w:r>
      <w:r>
        <w:rPr>
          <w:rFonts w:hint="eastAsia" w:cs="仿宋_GB2312"/>
          <w:kern w:val="2"/>
          <w:sz w:val="32"/>
          <w:szCs w:val="32"/>
          <w:lang w:val="en-US" w:eastAsia="zh-CN" w:bidi="ar-SA"/>
        </w:rPr>
        <w:t>退出机制</w:t>
      </w:r>
      <w:r>
        <w:rPr>
          <w:rFonts w:hint="eastAsia" w:ascii="仿宋_GB2312" w:hAnsi="仿宋_GB2312" w:eastAsia="仿宋_GB2312" w:cs="仿宋_GB2312"/>
          <w:kern w:val="2"/>
          <w:sz w:val="32"/>
          <w:szCs w:val="32"/>
          <w:lang w:val="en-US" w:eastAsia="zh-CN" w:bidi="ar-SA"/>
        </w:rPr>
        <w:t>五大板块，共2</w:t>
      </w:r>
      <w:r>
        <w:rPr>
          <w:rFonts w:hint="eastAsia" w:cs="仿宋_GB2312"/>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点具体内容。主要如下：</w:t>
      </w:r>
    </w:p>
    <w:p>
      <w:pPr>
        <w:ind w:firstLine="640" w:firstLineChars="200"/>
        <w:jc w:val="both"/>
        <w:rPr>
          <w:rFonts w:ascii="仿宋_GB2312" w:hAnsi="仿宋" w:eastAsia="仿宋_GB2312"/>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（一）运营管理及产业监管。</w:t>
      </w:r>
      <w:r>
        <w:rPr>
          <w:rFonts w:hint="eastAsia" w:ascii="仿宋_GB2312" w:hAnsi="仿宋" w:eastAsia="仿宋_GB2312" w:cs="Times New Roman"/>
          <w:b w:val="0"/>
          <w:color w:val="000000" w:themeColor="text1"/>
          <w:sz w:val="32"/>
          <w:szCs w:val="32"/>
          <w:lang w:eastAsia="zh-CN"/>
          <w14:textFill>
            <w14:solidFill>
              <w14:schemeClr w14:val="tx1"/>
            </w14:solidFill>
          </w14:textFill>
        </w:rPr>
        <w:t>产业牵头单位负责具体工业上楼项目的企业准入、签订产业监管协议及</w:t>
      </w:r>
      <w:r>
        <w:rPr>
          <w:rFonts w:hint="eastAsia" w:ascii="仿宋_GB2312" w:hAnsi="仿宋" w:eastAsia="仿宋_GB2312" w:cs="Times New Roman"/>
          <w:b w:val="0"/>
          <w:color w:val="000000" w:themeColor="text1"/>
          <w:sz w:val="32"/>
          <w:szCs w:val="32"/>
          <w14:textFill>
            <w14:solidFill>
              <w14:schemeClr w14:val="tx1"/>
            </w14:solidFill>
          </w14:textFill>
        </w:rPr>
        <w:t>后续产业监管</w:t>
      </w:r>
      <w:r>
        <w:rPr>
          <w:rFonts w:hint="eastAsia" w:ascii="仿宋_GB2312" w:hAnsi="仿宋" w:eastAsia="仿宋_GB2312" w:cs="Times New Roman"/>
          <w:b w:val="0"/>
          <w:color w:val="000000" w:themeColor="text1"/>
          <w:sz w:val="32"/>
          <w:szCs w:val="32"/>
          <w:lang w:eastAsia="zh-CN"/>
          <w14:textFill>
            <w14:solidFill>
              <w14:schemeClr w14:val="tx1"/>
            </w14:solidFill>
          </w14:textFill>
        </w:rPr>
        <w:t>等工作</w:t>
      </w:r>
      <w:r>
        <w:rPr>
          <w:rFonts w:hint="eastAsia" w:ascii="仿宋_GB2312" w:hAnsi="仿宋" w:eastAsia="仿宋_GB2312" w:cs="Times New Roman"/>
          <w:b w:val="0"/>
          <w:color w:val="000000" w:themeColor="text1"/>
          <w:sz w:val="32"/>
          <w:szCs w:val="32"/>
          <w14:textFill>
            <w14:solidFill>
              <w14:schemeClr w14:val="tx1"/>
            </w14:solidFill>
          </w14:textFill>
        </w:rPr>
        <w:t>。</w:t>
      </w:r>
      <w:r>
        <w:rPr>
          <w:rFonts w:hint="eastAsia" w:ascii="仿宋_GB2312" w:hAnsi="仿宋" w:eastAsia="仿宋_GB2312"/>
          <w:b w:val="0"/>
          <w:color w:val="000000" w:themeColor="text1"/>
          <w:sz w:val="32"/>
          <w:szCs w:val="32"/>
          <w14:textFill>
            <w14:solidFill>
              <w14:schemeClr w14:val="tx1"/>
            </w14:solidFill>
          </w14:textFill>
        </w:rPr>
        <w:t>平台企业须与相应项目产业牵头单位签订项目产业监管协议</w:t>
      </w:r>
      <w:r>
        <w:rPr>
          <w:rFonts w:hint="eastAsia" w:ascii="仿宋_GB2312" w:hAnsi="仿宋" w:eastAsia="仿宋_GB2312"/>
          <w:b w:val="0"/>
          <w:color w:val="000000" w:themeColor="text1"/>
          <w:sz w:val="32"/>
          <w:szCs w:val="32"/>
          <w:lang w:eastAsia="zh-CN"/>
          <w14:textFill>
            <w14:solidFill>
              <w14:schemeClr w14:val="tx1"/>
            </w14:solidFill>
          </w14:textFill>
        </w:rPr>
        <w:t>，</w:t>
      </w:r>
      <w:r>
        <w:rPr>
          <w:rFonts w:hint="eastAsia" w:ascii="仿宋_GB2312" w:hAnsi="仿宋" w:eastAsia="仿宋_GB2312"/>
          <w:b w:val="0"/>
          <w:color w:val="000000" w:themeColor="text1"/>
          <w:sz w:val="32"/>
          <w:szCs w:val="32"/>
          <w14:textFill>
            <w14:solidFill>
              <w14:schemeClr w14:val="tx1"/>
            </w14:solidFill>
          </w14:textFill>
        </w:rPr>
        <w:t>入驻企业须与产业牵头单位签订企业入驻产业监管协议，必要时须与产业牵头单位、平台企业共同签订三方产业发展监管协议。平台企业负责评估确定项目产业用房、宿舍市场租金价格；负责日常运营管理，开展产业服务及园区运营相关工作,打造数字化、智能化、绿色化的产业空间;可在园区设计中突出产业服务属性,根据园区产业定位及产业特点配建相应的公共技术服务平台、检验检测认证中心、废弃物处理系统等。</w:t>
      </w:r>
    </w:p>
    <w:p>
      <w:pPr>
        <w:ind w:firstLine="630"/>
        <w:jc w:val="both"/>
        <w:rPr>
          <w:rFonts w:hint="eastAsia" w:ascii="仿宋_GB2312" w:hAnsi="楷体" w:eastAsia="仿宋_GB2312" w:cs="Times New Roman"/>
          <w:b w:val="0"/>
          <w:color w:val="000000" w:themeColor="text1"/>
          <w:sz w:val="32"/>
          <w:szCs w:val="32"/>
          <w:lang w:eastAsia="zh-CN"/>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（二）工业上楼项目租售要求。</w:t>
      </w:r>
      <w:r>
        <w:rPr>
          <w:rFonts w:hint="eastAsia" w:ascii="仿宋_GB2312" w:hAnsi="楷体" w:eastAsia="仿宋_GB2312"/>
          <w:b w:val="0"/>
          <w:color w:val="000000" w:themeColor="text1"/>
          <w:sz w:val="32"/>
          <w:szCs w:val="32"/>
          <w14:textFill>
            <w14:solidFill>
              <w14:schemeClr w14:val="tx1"/>
            </w14:solidFill>
          </w14:textFill>
        </w:rPr>
        <w:t>工业上楼项目租售比例、租售价格等按照深圳市有关工业上楼规定执行。工业上楼项目宿舍应优先满足入驻企业需求，剩余宿舍可向龙华区内其他企业提供</w:t>
      </w:r>
      <w:r>
        <w:rPr>
          <w:rFonts w:hint="eastAsia" w:ascii="仿宋_GB2312" w:hAnsi="楷体" w:eastAsia="仿宋_GB2312"/>
          <w:b w:val="0"/>
          <w:color w:val="000000" w:themeColor="text1"/>
          <w:sz w:val="32"/>
          <w:szCs w:val="32"/>
          <w:lang w:eastAsia="zh-CN"/>
          <w14:textFill>
            <w14:solidFill>
              <w14:schemeClr w14:val="tx1"/>
            </w14:solidFill>
          </w14:textFill>
        </w:rPr>
        <w:t>，</w:t>
      </w:r>
      <w:r>
        <w:rPr>
          <w:rFonts w:hint="eastAsia" w:ascii="仿宋_GB2312" w:hAnsi="楷体" w:eastAsia="仿宋_GB2312"/>
          <w:b w:val="0"/>
          <w:color w:val="000000" w:themeColor="text1"/>
          <w:sz w:val="32"/>
          <w:szCs w:val="32"/>
          <w14:textFill>
            <w14:solidFill>
              <w14:schemeClr w14:val="tx1"/>
            </w14:solidFill>
          </w14:textFill>
        </w:rPr>
        <w:t>宿舍转让的，按照《深圳市工业楼宇及配套用房转让管理办法》(深府办规〔2020〕2号)等政策规定执行。</w:t>
      </w:r>
      <w:r>
        <w:rPr>
          <w:rFonts w:hint="eastAsia" w:ascii="仿宋_GB2312" w:hAnsi="楷体" w:eastAsia="仿宋_GB2312" w:cs="Times New Roman"/>
          <w:b w:val="0"/>
          <w:color w:val="000000" w:themeColor="text1"/>
          <w:sz w:val="32"/>
          <w:szCs w:val="32"/>
          <w:lang w:eastAsia="zh-CN"/>
          <w14:textFill>
            <w14:solidFill>
              <w14:schemeClr w14:val="tx1"/>
            </w14:solidFill>
          </w14:textFill>
        </w:rPr>
        <w:t>除法律法规规定或产业监管协议约定外，工业上楼项目可分割销售的，自购房企业完成不动产登记之日起未满5年的产业空间,原则上不允许转让。自完成不动产登记之日起,5年累计达到《产业发展监管协议书》中约定的收入法增加值规模、税收规模、产值能耗等相关要求的购房企业,可申请将其名下的产业用房及配套宿舍进行转让，次受让人应符合《深圳市人民政府关于印发深圳市优质产业空间供给试点改革方案的通知》（深府函〔2021〕43号）相关要求。工业上楼项目租赁的，入驻企业租用10000平方米及以下的免租期为二个月,租用10000平方米以上的免租期为三个月。租期内（含免租期）物业管理费、水电费、停车费等由入驻企业自行承担。</w:t>
      </w:r>
    </w:p>
    <w:p>
      <w:pPr>
        <w:ind w:firstLine="630"/>
        <w:jc w:val="both"/>
        <w:rPr>
          <w:rFonts w:hint="eastAsia" w:ascii="仿宋_GB2312" w:hAnsi="楷体" w:eastAsia="仿宋_GB2312" w:cs="Times New Roman"/>
          <w:b w:val="0"/>
          <w:color w:val="000000" w:themeColor="text1"/>
          <w:sz w:val="32"/>
          <w:szCs w:val="32"/>
          <w14:textFill>
            <w14:solidFill>
              <w14:schemeClr w14:val="tx1"/>
            </w14:solidFill>
          </w14:textFill>
        </w:rPr>
      </w:pPr>
      <w:r>
        <w:rPr>
          <w:rFonts w:hint="eastAsia" w:ascii="楷体" w:hAnsi="楷体" w:eastAsia="楷体" w:cs="Times New Roman"/>
          <w:b w:val="0"/>
          <w:color w:val="000000" w:themeColor="text1"/>
          <w:kern w:val="2"/>
          <w:sz w:val="32"/>
          <w:szCs w:val="32"/>
          <w:lang w:val="en-US" w:eastAsia="zh-CN" w:bidi="ar-SA"/>
          <w14:textFill>
            <w14:solidFill>
              <w14:schemeClr w14:val="tx1"/>
            </w14:solidFill>
          </w14:textFill>
        </w:rPr>
        <w:t>（三）入驻条件与标准。</w:t>
      </w:r>
      <w:r>
        <w:rPr>
          <w:rFonts w:hint="eastAsia" w:ascii="仿宋_GB2312" w:hAnsi="楷体" w:eastAsia="仿宋_GB2312" w:cs="Times New Roman"/>
          <w:b w:val="0"/>
          <w:color w:val="000000" w:themeColor="text1"/>
          <w:sz w:val="32"/>
          <w:szCs w:val="32"/>
          <w14:textFill>
            <w14:solidFill>
              <w14:schemeClr w14:val="tx1"/>
            </w14:solidFill>
          </w14:textFill>
        </w:rPr>
        <w:t>入驻对象应符合20+8产业集群或《深圳市产业结构调整优化和产业导向目录》鼓励类产业，且统计关系、税务关系、实际经营地应在龙华区。入驻对象的统计关系、税务关系、实际经营地在提交入驻申请时未在龙华区的,应在申请时提交迁入承诺书并租售合同签订之日起3个月内迁入龙华区。申请工业上楼项目企业分为按照工业上楼规定要求出售和出租两类</w:t>
      </w:r>
      <w:r>
        <w:rPr>
          <w:rFonts w:hint="eastAsia" w:ascii="仿宋_GB2312" w:hAnsi="楷体" w:eastAsia="仿宋_GB2312" w:cs="Times New Roman"/>
          <w:b w:val="0"/>
          <w:color w:val="000000" w:themeColor="text1"/>
          <w:sz w:val="32"/>
          <w:szCs w:val="32"/>
          <w:lang w:eastAsia="zh-CN"/>
          <w14:textFill>
            <w14:solidFill>
              <w14:schemeClr w14:val="tx1"/>
            </w14:solidFill>
          </w14:textFill>
        </w:rPr>
        <w:t>，对应不同的入驻条件和空间分配标准</w:t>
      </w:r>
      <w:r>
        <w:rPr>
          <w:rFonts w:hint="eastAsia" w:ascii="仿宋_GB2312" w:hAnsi="楷体" w:eastAsia="仿宋_GB2312" w:cs="Times New Roman"/>
          <w:b w:val="0"/>
          <w:color w:val="000000" w:themeColor="text1"/>
          <w:sz w:val="32"/>
          <w:szCs w:val="32"/>
          <w14:textFill>
            <w14:solidFill>
              <w14:schemeClr w14:val="tx1"/>
            </w14:solidFill>
          </w14:textFill>
        </w:rPr>
        <w:t>。区投资推广和企业服务中心梳理汇总意向申请龙华区工业上楼项目空间的区内外企业，形成企业遴选库并按照第五条产业分工原则转产业牵头单位受理，入驻企业均从遴选库中选择。</w:t>
      </w:r>
    </w:p>
    <w:p>
      <w:pPr>
        <w:pStyle w:val="14"/>
        <w:spacing w:line="560" w:lineRule="exact"/>
        <w:ind w:left="0" w:leftChars="0"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s="Times New Roman"/>
          <w:b w:val="0"/>
          <w:color w:val="000000" w:themeColor="text1"/>
          <w:kern w:val="2"/>
          <w:sz w:val="32"/>
          <w:szCs w:val="32"/>
          <w:lang w:val="en-US" w:eastAsia="zh-CN" w:bidi="ar-SA"/>
          <w14:textFill>
            <w14:solidFill>
              <w14:schemeClr w14:val="tx1"/>
            </w14:solidFill>
          </w14:textFill>
        </w:rPr>
        <w:t>（四）入驻审批流程。</w:t>
      </w:r>
      <w:r>
        <w:rPr>
          <w:rFonts w:hint="eastAsia" w:ascii="仿宋_GB2312" w:hAnsi="楷体" w:eastAsia="仿宋_GB2312"/>
          <w:color w:val="000000" w:themeColor="text1"/>
          <w:sz w:val="32"/>
          <w:szCs w:val="32"/>
          <w14:textFill>
            <w14:solidFill>
              <w14:schemeClr w14:val="tx1"/>
            </w14:solidFill>
          </w14:textFill>
        </w:rPr>
        <w:t>一是公告受理</w:t>
      </w:r>
      <w:r>
        <w:rPr>
          <w:rFonts w:hint="eastAsia" w:ascii="仿宋_GB2312" w:hAnsi="楷体" w:eastAsia="仿宋_GB2312"/>
          <w:color w:val="000000" w:themeColor="text1"/>
          <w:sz w:val="32"/>
          <w:szCs w:val="32"/>
          <w:lang w:eastAsia="zh-CN"/>
          <w14:textFill>
            <w14:solidFill>
              <w14:schemeClr w14:val="tx1"/>
            </w14:solidFill>
          </w14:textFill>
        </w:rPr>
        <w:t>阶段，</w:t>
      </w:r>
      <w:r>
        <w:rPr>
          <w:rFonts w:hint="eastAsia" w:ascii="仿宋_GB2312" w:hAnsi="楷体" w:eastAsia="仿宋_GB2312"/>
          <w:color w:val="000000" w:themeColor="text1"/>
          <w:sz w:val="32"/>
          <w:szCs w:val="32"/>
          <w14:textFill>
            <w14:solidFill>
              <w14:schemeClr w14:val="tx1"/>
            </w14:solidFill>
          </w14:textFill>
        </w:rPr>
        <w:t>区投资推广和企业服务中心会同项目产业牵头单位</w:t>
      </w:r>
      <w:r>
        <w:rPr>
          <w:rFonts w:hint="eastAsia" w:ascii="仿宋_GB2312" w:eastAsia="仿宋_GB2312"/>
          <w:color w:val="auto"/>
          <w:sz w:val="32"/>
          <w:szCs w:val="32"/>
          <w:highlight w:val="none"/>
          <w:u w:val="none"/>
          <w:lang w:eastAsia="zh-CN"/>
        </w:rPr>
        <w:t>于官方平台公布项目</w:t>
      </w:r>
      <w:r>
        <w:rPr>
          <w:rFonts w:hint="eastAsia" w:ascii="仿宋_GB2312" w:eastAsia="仿宋_GB2312"/>
          <w:color w:val="auto"/>
          <w:sz w:val="32"/>
          <w:szCs w:val="32"/>
          <w:highlight w:val="none"/>
          <w:u w:val="none"/>
        </w:rPr>
        <w:t>租赁通告</w:t>
      </w:r>
      <w:r>
        <w:rPr>
          <w:rFonts w:hint="eastAsia" w:ascii="仿宋_GB2312" w:eastAsia="仿宋_GB2312"/>
          <w:color w:val="auto"/>
          <w:sz w:val="32"/>
          <w:szCs w:val="32"/>
          <w:highlight w:val="none"/>
          <w:u w:val="none"/>
          <w:lang w:eastAsia="zh-CN"/>
        </w:rPr>
        <w:t>，</w:t>
      </w:r>
      <w:r>
        <w:rPr>
          <w:rFonts w:hint="eastAsia" w:ascii="仿宋_GB2312" w:hAnsi="仿宋_GB2312" w:eastAsia="仿宋_GB2312" w:cs="仿宋_GB2312"/>
          <w:color w:val="auto"/>
          <w:sz w:val="32"/>
          <w:szCs w:val="32"/>
          <w:u w:val="none"/>
          <w:lang w:eastAsia="zh-CN"/>
        </w:rPr>
        <w:t>并由区投资推广和企业服务中心</w:t>
      </w:r>
      <w:r>
        <w:rPr>
          <w:rFonts w:hint="eastAsia" w:ascii="仿宋_GB2312" w:hAnsi="仿宋_GB2312" w:eastAsia="仿宋_GB2312" w:cs="仿宋_GB2312"/>
          <w:color w:val="auto"/>
          <w:sz w:val="32"/>
          <w:szCs w:val="32"/>
          <w:lang w:val="en-US" w:eastAsia="zh-CN"/>
        </w:rPr>
        <w:t>按照第五条产业分工原则转产业牵头单位受理；</w:t>
      </w:r>
      <w:r>
        <w:rPr>
          <w:rFonts w:hint="eastAsia" w:ascii="仿宋_GB2312" w:hAnsi="楷体" w:eastAsia="仿宋_GB2312"/>
          <w:color w:val="000000" w:themeColor="text1"/>
          <w:sz w:val="32"/>
          <w:szCs w:val="32"/>
          <w14:textFill>
            <w14:solidFill>
              <w14:schemeClr w14:val="tx1"/>
            </w14:solidFill>
          </w14:textFill>
        </w:rPr>
        <w:t>二是审查审批</w:t>
      </w:r>
      <w:r>
        <w:rPr>
          <w:rFonts w:hint="eastAsia" w:ascii="仿宋_GB2312" w:hAnsi="楷体" w:eastAsia="仿宋_GB2312"/>
          <w:color w:val="000000" w:themeColor="text1"/>
          <w:sz w:val="32"/>
          <w:szCs w:val="32"/>
          <w:lang w:eastAsia="zh-CN"/>
          <w14:textFill>
            <w14:solidFill>
              <w14:schemeClr w14:val="tx1"/>
            </w14:solidFill>
          </w14:textFill>
        </w:rPr>
        <w:t>阶段，</w:t>
      </w:r>
      <w:r>
        <w:rPr>
          <w:rFonts w:hint="eastAsia" w:ascii="仿宋_GB2312" w:eastAsia="仿宋_GB2312"/>
          <w:color w:val="auto"/>
          <w:sz w:val="32"/>
          <w:szCs w:val="32"/>
          <w:highlight w:val="none"/>
          <w:u w:val="none"/>
          <w:lang w:eastAsia="zh-CN"/>
        </w:rPr>
        <w:t>产业牵头单位</w:t>
      </w:r>
      <w:r>
        <w:rPr>
          <w:rFonts w:hint="eastAsia" w:ascii="仿宋_GB2312" w:eastAsia="仿宋_GB2312"/>
          <w:color w:val="auto"/>
          <w:sz w:val="32"/>
          <w:szCs w:val="32"/>
          <w:u w:val="none"/>
          <w:lang w:eastAsia="zh-CN"/>
        </w:rPr>
        <w:t>自收到</w:t>
      </w:r>
      <w:r>
        <w:rPr>
          <w:rFonts w:hint="eastAsia" w:ascii="仿宋_GB2312" w:hAnsi="仿宋_GB2312" w:eastAsia="仿宋_GB2312" w:cs="仿宋_GB2312"/>
          <w:color w:val="auto"/>
          <w:sz w:val="32"/>
          <w:szCs w:val="32"/>
          <w:u w:val="none"/>
          <w:lang w:eastAsia="zh-CN"/>
        </w:rPr>
        <w:t>区投资推广和企业服务中心转来正式书面申请资料</w:t>
      </w:r>
      <w:r>
        <w:rPr>
          <w:rFonts w:hint="eastAsia" w:ascii="仿宋_GB2312" w:eastAsia="仿宋_GB2312"/>
          <w:color w:val="auto"/>
          <w:sz w:val="32"/>
          <w:szCs w:val="32"/>
          <w:u w:val="none"/>
        </w:rPr>
        <w:t>后</w:t>
      </w:r>
      <w:r>
        <w:rPr>
          <w:rFonts w:hint="eastAsia" w:ascii="仿宋_GB2312" w:eastAsia="仿宋_GB2312"/>
          <w:color w:val="auto"/>
          <w:sz w:val="32"/>
          <w:szCs w:val="32"/>
          <w:u w:val="none"/>
          <w:lang w:val="en-US" w:eastAsia="zh-CN"/>
        </w:rPr>
        <w:t>15</w:t>
      </w:r>
      <w:r>
        <w:rPr>
          <w:rFonts w:hint="eastAsia" w:ascii="仿宋_GB2312" w:eastAsia="仿宋_GB2312"/>
          <w:color w:val="auto"/>
          <w:sz w:val="32"/>
          <w:szCs w:val="32"/>
          <w:u w:val="none"/>
        </w:rPr>
        <w:t>个工作日内</w:t>
      </w:r>
      <w:r>
        <w:rPr>
          <w:rFonts w:hint="eastAsia" w:ascii="仿宋_GB2312" w:eastAsia="仿宋_GB2312"/>
          <w:color w:val="auto"/>
          <w:sz w:val="32"/>
          <w:szCs w:val="32"/>
          <w:u w:val="none"/>
          <w:lang w:eastAsia="zh-CN"/>
        </w:rPr>
        <w:t>完成</w:t>
      </w:r>
      <w:r>
        <w:rPr>
          <w:rFonts w:hint="eastAsia" w:ascii="仿宋_GB2312" w:eastAsia="仿宋_GB2312"/>
          <w:color w:val="auto"/>
          <w:sz w:val="32"/>
          <w:szCs w:val="32"/>
          <w:u w:val="none"/>
        </w:rPr>
        <w:t>合规性</w:t>
      </w:r>
      <w:r>
        <w:rPr>
          <w:rFonts w:hint="eastAsia" w:ascii="仿宋_GB2312" w:eastAsia="仿宋_GB2312"/>
          <w:color w:val="auto"/>
          <w:sz w:val="32"/>
          <w:szCs w:val="32"/>
          <w:u w:val="none"/>
          <w:lang w:eastAsia="zh-CN"/>
        </w:rPr>
        <w:t>审查、</w:t>
      </w:r>
      <w:r>
        <w:rPr>
          <w:rFonts w:hint="eastAsia" w:ascii="仿宋_GB2312" w:eastAsia="仿宋_GB2312"/>
          <w:color w:val="auto"/>
          <w:sz w:val="32"/>
          <w:szCs w:val="32"/>
          <w:u w:val="none"/>
        </w:rPr>
        <w:t>起草拟分配方案</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征求</w:t>
      </w:r>
      <w:r>
        <w:rPr>
          <w:rFonts w:hint="eastAsia" w:ascii="仿宋_GB2312" w:hAnsi="仿宋" w:eastAsia="仿宋_GB2312" w:cs="仿宋_GB2312"/>
          <w:color w:val="auto"/>
          <w:kern w:val="0"/>
          <w:sz w:val="32"/>
          <w:szCs w:val="32"/>
          <w:u w:val="none"/>
        </w:rPr>
        <w:t>各相关单位</w:t>
      </w:r>
      <w:r>
        <w:rPr>
          <w:rFonts w:hint="eastAsia" w:ascii="仿宋_GB2312" w:eastAsia="仿宋_GB2312"/>
          <w:color w:val="auto"/>
          <w:sz w:val="32"/>
          <w:szCs w:val="32"/>
          <w:u w:val="none"/>
        </w:rPr>
        <w:t>意见</w:t>
      </w:r>
      <w:r>
        <w:rPr>
          <w:rFonts w:hint="eastAsia" w:ascii="仿宋_GB2312" w:eastAsia="仿宋_GB2312"/>
          <w:color w:val="auto"/>
          <w:sz w:val="32"/>
          <w:szCs w:val="32"/>
          <w:u w:val="none"/>
          <w:lang w:eastAsia="zh-CN"/>
        </w:rPr>
        <w:t>、单位内部审核等审查工作，并将完成审查工作的</w:t>
      </w:r>
      <w:r>
        <w:rPr>
          <w:rFonts w:hint="eastAsia" w:ascii="仿宋_GB2312" w:eastAsia="仿宋_GB2312"/>
          <w:color w:val="auto"/>
          <w:sz w:val="32"/>
          <w:szCs w:val="32"/>
          <w:highlight w:val="none"/>
          <w:u w:val="none"/>
        </w:rPr>
        <w:t>拟分配方案</w:t>
      </w:r>
      <w:r>
        <w:rPr>
          <w:rFonts w:hint="eastAsia" w:ascii="仿宋_GB2312" w:eastAsia="仿宋_GB2312"/>
          <w:color w:val="auto"/>
          <w:sz w:val="32"/>
          <w:szCs w:val="32"/>
          <w:highlight w:val="none"/>
          <w:u w:val="none"/>
          <w:lang w:eastAsia="zh-CN"/>
        </w:rPr>
        <w:t>按照相关要求进行审批</w:t>
      </w:r>
      <w:r>
        <w:rPr>
          <w:rFonts w:hint="eastAsia" w:ascii="仿宋_GB2312" w:hAnsi="楷体" w:eastAsia="仿宋_GB2312"/>
          <w:color w:val="000000" w:themeColor="text1"/>
          <w:sz w:val="32"/>
          <w:szCs w:val="32"/>
          <w:lang w:eastAsia="zh-CN"/>
          <w14:textFill>
            <w14:solidFill>
              <w14:schemeClr w14:val="tx1"/>
            </w14:solidFill>
          </w14:textFill>
        </w:rPr>
        <w:t>；</w:t>
      </w:r>
      <w:r>
        <w:rPr>
          <w:rFonts w:hint="eastAsia" w:ascii="仿宋_GB2312" w:hAnsi="楷体" w:eastAsia="仿宋_GB2312"/>
          <w:color w:val="000000" w:themeColor="text1"/>
          <w:sz w:val="32"/>
          <w:szCs w:val="32"/>
          <w14:textFill>
            <w14:solidFill>
              <w14:schemeClr w14:val="tx1"/>
            </w14:solidFill>
          </w14:textFill>
        </w:rPr>
        <w:t>三是公示入驻</w:t>
      </w:r>
      <w:r>
        <w:rPr>
          <w:rFonts w:hint="eastAsia" w:ascii="仿宋_GB2312" w:hAnsi="楷体" w:eastAsia="仿宋_GB2312"/>
          <w:color w:val="000000" w:themeColor="text1"/>
          <w:sz w:val="32"/>
          <w:szCs w:val="32"/>
          <w:lang w:eastAsia="zh-CN"/>
          <w14:textFill>
            <w14:solidFill>
              <w14:schemeClr w14:val="tx1"/>
            </w14:solidFill>
          </w14:textFill>
        </w:rPr>
        <w:t>阶段，</w:t>
      </w:r>
      <w:r>
        <w:rPr>
          <w:rFonts w:hint="eastAsia" w:ascii="仿宋_GB2312" w:eastAsia="仿宋_GB2312"/>
          <w:color w:val="auto"/>
          <w:sz w:val="32"/>
          <w:szCs w:val="32"/>
          <w:highlight w:val="none"/>
          <w:u w:val="none"/>
          <w:lang w:eastAsia="zh-CN"/>
        </w:rPr>
        <w:t>产业牵头单位</w:t>
      </w:r>
      <w:r>
        <w:rPr>
          <w:rFonts w:hint="eastAsia" w:ascii="仿宋_GB2312" w:eastAsia="仿宋_GB2312"/>
          <w:color w:val="auto"/>
          <w:sz w:val="32"/>
          <w:szCs w:val="32"/>
          <w:u w:val="none"/>
        </w:rPr>
        <w:t>将审定后的分配方案向社会公示，公示期不少于5个工作日，</w:t>
      </w:r>
      <w:r>
        <w:rPr>
          <w:rFonts w:hint="eastAsia" w:ascii="仿宋_GB2312" w:eastAsia="仿宋_GB2312"/>
          <w:color w:val="auto"/>
          <w:sz w:val="32"/>
          <w:szCs w:val="32"/>
          <w:highlight w:val="none"/>
          <w:u w:val="none"/>
          <w:lang w:eastAsia="zh-CN"/>
        </w:rPr>
        <w:t>产业牵头单位</w:t>
      </w:r>
      <w:r>
        <w:rPr>
          <w:rFonts w:hint="eastAsia" w:ascii="仿宋_GB2312" w:eastAsia="仿宋_GB2312"/>
          <w:color w:val="auto"/>
          <w:sz w:val="32"/>
          <w:szCs w:val="32"/>
          <w:u w:val="none"/>
        </w:rPr>
        <w:t>与入驻</w:t>
      </w:r>
      <w:r>
        <w:rPr>
          <w:rFonts w:hint="eastAsia" w:ascii="仿宋_GB2312" w:eastAsia="仿宋_GB2312"/>
          <w:color w:val="auto"/>
          <w:sz w:val="32"/>
          <w:szCs w:val="32"/>
          <w:u w:val="none"/>
          <w:lang w:eastAsia="zh-CN"/>
        </w:rPr>
        <w:t>企业</w:t>
      </w:r>
      <w:r>
        <w:rPr>
          <w:rFonts w:hint="eastAsia" w:ascii="仿宋_GB2312" w:eastAsia="仿宋_GB2312"/>
          <w:color w:val="auto"/>
          <w:sz w:val="32"/>
          <w:szCs w:val="32"/>
          <w:u w:val="none"/>
        </w:rPr>
        <w:t>签订产业监管协议。入驻</w:t>
      </w:r>
      <w:r>
        <w:rPr>
          <w:rFonts w:hint="eastAsia" w:ascii="仿宋_GB2312" w:eastAsia="仿宋_GB2312"/>
          <w:color w:val="auto"/>
          <w:sz w:val="32"/>
          <w:szCs w:val="32"/>
          <w:u w:val="none"/>
          <w:lang w:eastAsia="zh-CN"/>
        </w:rPr>
        <w:t>企业</w:t>
      </w:r>
      <w:r>
        <w:rPr>
          <w:rFonts w:hint="eastAsia" w:ascii="仿宋_GB2312" w:eastAsia="仿宋_GB2312"/>
          <w:color w:val="auto"/>
          <w:sz w:val="32"/>
          <w:szCs w:val="32"/>
          <w:u w:val="none"/>
        </w:rPr>
        <w:t>凭租</w:t>
      </w:r>
      <w:r>
        <w:rPr>
          <w:rFonts w:hint="eastAsia" w:ascii="仿宋_GB2312" w:eastAsia="仿宋_GB2312"/>
          <w:color w:val="auto"/>
          <w:sz w:val="32"/>
          <w:szCs w:val="32"/>
          <w:u w:val="none"/>
          <w:lang w:eastAsia="zh-CN"/>
        </w:rPr>
        <w:t>售</w:t>
      </w:r>
      <w:r>
        <w:rPr>
          <w:rFonts w:hint="eastAsia" w:ascii="仿宋_GB2312" w:eastAsia="仿宋_GB2312"/>
          <w:color w:val="auto"/>
          <w:sz w:val="32"/>
          <w:szCs w:val="32"/>
          <w:u w:val="none"/>
        </w:rPr>
        <w:t>合同正式</w:t>
      </w:r>
      <w:r>
        <w:rPr>
          <w:rFonts w:hint="eastAsia" w:ascii="仿宋_GB2312" w:eastAsia="仿宋_GB2312"/>
          <w:color w:val="auto"/>
          <w:sz w:val="32"/>
          <w:szCs w:val="32"/>
          <w:u w:val="none"/>
          <w:lang w:eastAsia="zh-CN"/>
        </w:rPr>
        <w:t>入驻</w:t>
      </w:r>
      <w:r>
        <w:rPr>
          <w:rFonts w:hint="eastAsia" w:ascii="仿宋_GB2312" w:eastAsia="仿宋_GB2312"/>
          <w:color w:val="auto"/>
          <w:sz w:val="32"/>
          <w:szCs w:val="32"/>
          <w:u w:val="none"/>
        </w:rPr>
        <w:t>。</w:t>
      </w:r>
    </w:p>
    <w:p>
      <w:pPr>
        <w:pStyle w:val="14"/>
        <w:spacing w:line="560" w:lineRule="exact"/>
        <w:ind w:left="0" w:leftChars="0" w:firstLine="640" w:firstLineChars="200"/>
        <w:rPr>
          <w:rFonts w:hint="eastAsia" w:ascii="仿宋_GB2312" w:hAnsi="楷体" w:eastAsia="仿宋_GB2312"/>
          <w:color w:val="000000" w:themeColor="text1"/>
          <w:sz w:val="32"/>
          <w:szCs w:val="32"/>
          <w:lang w:eastAsia="zh-CN"/>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（五）退出机制。</w:t>
      </w:r>
      <w:r>
        <w:rPr>
          <w:rFonts w:hint="eastAsia" w:ascii="仿宋_GB2312" w:eastAsia="仿宋_GB2312"/>
          <w:color w:val="auto"/>
          <w:sz w:val="32"/>
          <w:szCs w:val="32"/>
          <w:u w:val="none"/>
          <w:lang w:eastAsia="zh-CN"/>
        </w:rPr>
        <w:t>出售类产业用房及配套用房的退出，</w:t>
      </w:r>
      <w:r>
        <w:rPr>
          <w:rFonts w:hint="eastAsia" w:ascii="仿宋_GB2312" w:hAnsi="仿宋_GB2312" w:eastAsia="仿宋_GB2312" w:cs="仿宋_GB2312"/>
          <w:color w:val="auto"/>
          <w:sz w:val="32"/>
          <w:szCs w:val="32"/>
          <w:lang w:val="en-US" w:eastAsia="zh-CN"/>
        </w:rPr>
        <w:t>参照《深圳市优质产业空间供给试点改革方案》（深府函〔2021〕43号）执</w:t>
      </w:r>
      <w:bookmarkStart w:id="0" w:name="_GoBack"/>
      <w:bookmarkEnd w:id="0"/>
      <w:r>
        <w:rPr>
          <w:rFonts w:hint="eastAsia" w:ascii="仿宋_GB2312" w:hAnsi="仿宋_GB2312" w:eastAsia="仿宋_GB2312" w:cs="仿宋_GB2312"/>
          <w:color w:val="auto"/>
          <w:sz w:val="32"/>
          <w:szCs w:val="32"/>
          <w:lang w:val="en-US" w:eastAsia="zh-CN"/>
        </w:rPr>
        <w:t>行；</w:t>
      </w:r>
      <w:r>
        <w:rPr>
          <w:rFonts w:hint="eastAsia" w:ascii="仿宋_GB2312" w:hAnsi="仿宋_GB2312" w:eastAsia="仿宋_GB2312" w:cs="仿宋_GB2312"/>
          <w:color w:val="auto"/>
          <w:sz w:val="32"/>
          <w:szCs w:val="32"/>
          <w:u w:val="none"/>
          <w:lang w:eastAsia="zh-CN"/>
        </w:rPr>
        <w:t>租赁类</w:t>
      </w:r>
      <w:r>
        <w:rPr>
          <w:rFonts w:hint="eastAsia" w:ascii="仿宋_GB2312" w:hAnsi="仿宋_GB2312" w:eastAsia="仿宋_GB2312" w:cs="仿宋_GB2312"/>
          <w:color w:val="auto"/>
          <w:sz w:val="32"/>
          <w:szCs w:val="32"/>
          <w:u w:val="none"/>
        </w:rPr>
        <w:t>入驻企业每年应在规定的时间内向产业牵头单位提交产业监管协议所要求的产值规模（营业收入）、税收等指标的相关证明材料，</w:t>
      </w:r>
      <w:r>
        <w:rPr>
          <w:rFonts w:hint="eastAsia" w:ascii="仿宋_GB2312" w:hAnsi="仿宋_GB2312" w:eastAsia="仿宋_GB2312" w:cs="仿宋_GB2312"/>
          <w:color w:val="auto"/>
          <w:sz w:val="32"/>
          <w:szCs w:val="32"/>
          <w:u w:val="none"/>
          <w:lang w:eastAsia="zh-CN"/>
        </w:rPr>
        <w:t>如</w:t>
      </w:r>
      <w:r>
        <w:rPr>
          <w:rFonts w:hint="eastAsia" w:ascii="仿宋_GB2312" w:hAnsi="仿宋_GB2312" w:eastAsia="仿宋_GB2312" w:cs="仿宋_GB2312"/>
          <w:color w:val="auto"/>
          <w:sz w:val="32"/>
          <w:szCs w:val="32"/>
          <w:u w:val="none"/>
        </w:rPr>
        <w:t>存在</w:t>
      </w:r>
      <w:r>
        <w:rPr>
          <w:rFonts w:hint="eastAsia" w:ascii="仿宋_GB2312" w:hAnsi="仿宋_GB2312" w:eastAsia="仿宋_GB2312" w:cs="仿宋_GB2312"/>
          <w:color w:val="auto"/>
          <w:sz w:val="32"/>
          <w:szCs w:val="32"/>
          <w:u w:val="none"/>
          <w:lang w:eastAsia="zh-CN"/>
        </w:rPr>
        <w:t>违约</w:t>
      </w:r>
      <w:r>
        <w:rPr>
          <w:rFonts w:hint="eastAsia" w:ascii="仿宋_GB2312" w:hAnsi="仿宋_GB2312" w:eastAsia="仿宋_GB2312" w:cs="仿宋_GB2312"/>
          <w:color w:val="auto"/>
          <w:sz w:val="32"/>
          <w:szCs w:val="32"/>
          <w:u w:val="none"/>
        </w:rPr>
        <w:t>情况</w:t>
      </w:r>
      <w:r>
        <w:rPr>
          <w:rFonts w:hint="eastAsia" w:ascii="仿宋_GB2312" w:hAnsi="仿宋_GB2312" w:eastAsia="仿宋_GB2312" w:cs="仿宋_GB2312"/>
          <w:color w:val="auto"/>
          <w:sz w:val="32"/>
          <w:szCs w:val="32"/>
          <w:u w:val="none"/>
          <w:lang w:eastAsia="zh-CN"/>
        </w:rPr>
        <w:t>，则</w:t>
      </w:r>
      <w:r>
        <w:rPr>
          <w:rFonts w:hint="eastAsia" w:ascii="仿宋_GB2312" w:hAnsi="仿宋_GB2312" w:eastAsia="仿宋_GB2312" w:cs="仿宋_GB2312"/>
          <w:color w:val="auto"/>
          <w:sz w:val="32"/>
          <w:szCs w:val="32"/>
          <w:u w:val="none"/>
        </w:rPr>
        <w:t>不再享受租金优惠，</w:t>
      </w:r>
      <w:r>
        <w:rPr>
          <w:rFonts w:hint="eastAsia" w:ascii="仿宋_GB2312" w:hAnsi="仿宋_GB2312" w:eastAsia="仿宋_GB2312" w:cs="仿宋_GB2312"/>
          <w:color w:val="auto"/>
          <w:sz w:val="32"/>
          <w:szCs w:val="32"/>
          <w:u w:val="none"/>
          <w:lang w:eastAsia="zh-CN"/>
        </w:rPr>
        <w:t>根据实际分为</w:t>
      </w:r>
      <w:r>
        <w:rPr>
          <w:rFonts w:hint="eastAsia" w:ascii="仿宋_GB2312" w:hAnsi="仿宋_GB2312" w:eastAsia="仿宋_GB2312" w:cs="仿宋_GB2312"/>
          <w:color w:val="auto"/>
          <w:sz w:val="32"/>
          <w:szCs w:val="32"/>
          <w:u w:val="none"/>
        </w:rPr>
        <w:t>合同期满不再续约</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租赁合同自动终止</w:t>
      </w:r>
      <w:r>
        <w:rPr>
          <w:rFonts w:hint="eastAsia" w:ascii="仿宋_GB2312" w:hAnsi="仿宋_GB2312" w:eastAsia="仿宋_GB2312" w:cs="仿宋_GB2312"/>
          <w:color w:val="auto"/>
          <w:sz w:val="32"/>
          <w:szCs w:val="32"/>
          <w:u w:val="none"/>
          <w:lang w:eastAsia="zh-CN"/>
        </w:rPr>
        <w:t>两种</w:t>
      </w:r>
      <w:r>
        <w:rPr>
          <w:rFonts w:hint="eastAsia" w:ascii="仿宋_GB2312" w:hAnsi="仿宋_GB2312" w:eastAsia="仿宋_GB2312" w:cs="仿宋_GB2312"/>
          <w:color w:val="auto"/>
          <w:sz w:val="32"/>
          <w:szCs w:val="32"/>
          <w:u w:val="none"/>
        </w:rPr>
        <w:t>退出</w:t>
      </w:r>
      <w:r>
        <w:rPr>
          <w:rFonts w:hint="eastAsia" w:ascii="仿宋_GB2312" w:hAnsi="仿宋_GB2312" w:eastAsia="仿宋_GB2312" w:cs="仿宋_GB2312"/>
          <w:color w:val="auto"/>
          <w:sz w:val="32"/>
          <w:szCs w:val="32"/>
          <w:u w:val="none"/>
          <w:lang w:eastAsia="zh-CN"/>
        </w:rPr>
        <w:t>情况，对应不同的</w:t>
      </w:r>
      <w:r>
        <w:rPr>
          <w:rFonts w:hint="eastAsia" w:ascii="仿宋_GB2312" w:hAnsi="仿宋_GB2312" w:eastAsia="仿宋_GB2312" w:cs="仿宋_GB2312"/>
          <w:color w:val="auto"/>
          <w:sz w:val="32"/>
          <w:szCs w:val="32"/>
          <w:u w:val="none"/>
        </w:rPr>
        <w:t>退出相关手续办理</w:t>
      </w:r>
      <w:r>
        <w:rPr>
          <w:rFonts w:hint="eastAsia" w:ascii="仿宋_GB2312" w:hAnsi="仿宋_GB2312" w:eastAsia="仿宋_GB2312" w:cs="仿宋_GB2312"/>
          <w:color w:val="auto"/>
          <w:sz w:val="32"/>
          <w:szCs w:val="32"/>
          <w:u w:val="none"/>
          <w:lang w:eastAsia="zh-CN"/>
        </w:rPr>
        <w:t>方式。</w:t>
      </w:r>
    </w:p>
    <w:p>
      <w:pPr>
        <w:pStyle w:val="14"/>
        <w:spacing w:line="560" w:lineRule="exact"/>
        <w:ind w:left="0" w:leftChars="0" w:firstLine="640" w:firstLineChars="200"/>
        <w:rPr>
          <w:rFonts w:hint="eastAsia" w:ascii="仿宋_GB2312" w:hAnsi="楷体" w:eastAsia="仿宋_GB2312"/>
          <w:color w:val="000000" w:themeColor="text1"/>
          <w:sz w:val="32"/>
          <w:szCs w:val="32"/>
          <w:lang w:eastAsia="zh-CN"/>
          <w14:textFill>
            <w14:solidFill>
              <w14:schemeClr w14:val="tx1"/>
            </w14:solidFill>
          </w14:textFill>
        </w:rPr>
      </w:pPr>
      <w:r>
        <w:rPr>
          <w:rFonts w:hint="eastAsia" w:ascii="仿宋_GB2312" w:hAnsi="楷体" w:eastAsia="仿宋_GB2312"/>
          <w:color w:val="000000" w:themeColor="text1"/>
          <w:sz w:val="32"/>
          <w:szCs w:val="32"/>
          <w:lang w:eastAsia="zh-CN"/>
          <w14:textFill>
            <w14:solidFill>
              <w14:schemeClr w14:val="tx1"/>
            </w14:solidFill>
          </w14:textFill>
        </w:rPr>
        <w:t>专此说明。</w:t>
      </w:r>
    </w:p>
    <w:sectPr>
      <w:footerReference r:id="rId5" w:type="default"/>
      <w:pgSz w:w="11906" w:h="16838"/>
      <w:pgMar w:top="1440" w:right="1746" w:bottom="1440" w:left="1746"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Microsoft YaHei">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B3"/>
    <w:rsid w:val="000005FB"/>
    <w:rsid w:val="000008BA"/>
    <w:rsid w:val="00003F0D"/>
    <w:rsid w:val="00012E36"/>
    <w:rsid w:val="00017DB8"/>
    <w:rsid w:val="000214D3"/>
    <w:rsid w:val="00031127"/>
    <w:rsid w:val="00035ED9"/>
    <w:rsid w:val="000367A4"/>
    <w:rsid w:val="00041244"/>
    <w:rsid w:val="0004589A"/>
    <w:rsid w:val="00047B23"/>
    <w:rsid w:val="0005223D"/>
    <w:rsid w:val="00053B56"/>
    <w:rsid w:val="00054AA6"/>
    <w:rsid w:val="00060CFA"/>
    <w:rsid w:val="00061699"/>
    <w:rsid w:val="00062116"/>
    <w:rsid w:val="00070ACC"/>
    <w:rsid w:val="00082454"/>
    <w:rsid w:val="00093DFA"/>
    <w:rsid w:val="00096AC2"/>
    <w:rsid w:val="000A0170"/>
    <w:rsid w:val="000B54A9"/>
    <w:rsid w:val="000C6CBD"/>
    <w:rsid w:val="000D3852"/>
    <w:rsid w:val="000F0493"/>
    <w:rsid w:val="000F266E"/>
    <w:rsid w:val="000F3770"/>
    <w:rsid w:val="00102217"/>
    <w:rsid w:val="00113D31"/>
    <w:rsid w:val="001157F3"/>
    <w:rsid w:val="001203D1"/>
    <w:rsid w:val="001208C7"/>
    <w:rsid w:val="00121217"/>
    <w:rsid w:val="00123ADB"/>
    <w:rsid w:val="001249AE"/>
    <w:rsid w:val="00127E5F"/>
    <w:rsid w:val="0013037F"/>
    <w:rsid w:val="00132889"/>
    <w:rsid w:val="00133A95"/>
    <w:rsid w:val="00133C49"/>
    <w:rsid w:val="00137298"/>
    <w:rsid w:val="00141AB0"/>
    <w:rsid w:val="001525C8"/>
    <w:rsid w:val="00153562"/>
    <w:rsid w:val="00164F56"/>
    <w:rsid w:val="00165289"/>
    <w:rsid w:val="00170210"/>
    <w:rsid w:val="001708C5"/>
    <w:rsid w:val="00171751"/>
    <w:rsid w:val="00194A86"/>
    <w:rsid w:val="001961A7"/>
    <w:rsid w:val="001963F2"/>
    <w:rsid w:val="001A1954"/>
    <w:rsid w:val="001A31F9"/>
    <w:rsid w:val="001C072C"/>
    <w:rsid w:val="001C4443"/>
    <w:rsid w:val="001D6F9A"/>
    <w:rsid w:val="001E0A25"/>
    <w:rsid w:val="001E0E81"/>
    <w:rsid w:val="001E0F6A"/>
    <w:rsid w:val="001E768B"/>
    <w:rsid w:val="001F2E86"/>
    <w:rsid w:val="001F49F9"/>
    <w:rsid w:val="00203C0A"/>
    <w:rsid w:val="00210EEB"/>
    <w:rsid w:val="00220B93"/>
    <w:rsid w:val="00222066"/>
    <w:rsid w:val="00235ED3"/>
    <w:rsid w:val="00244891"/>
    <w:rsid w:val="0024500B"/>
    <w:rsid w:val="00255D2C"/>
    <w:rsid w:val="00263D0D"/>
    <w:rsid w:val="00267E42"/>
    <w:rsid w:val="00287DD3"/>
    <w:rsid w:val="00292C4A"/>
    <w:rsid w:val="002A4072"/>
    <w:rsid w:val="002A5F5E"/>
    <w:rsid w:val="002A6DBC"/>
    <w:rsid w:val="002A7360"/>
    <w:rsid w:val="002B212A"/>
    <w:rsid w:val="002B27D0"/>
    <w:rsid w:val="002B37E7"/>
    <w:rsid w:val="002B4B47"/>
    <w:rsid w:val="002B5DF7"/>
    <w:rsid w:val="002C7CD9"/>
    <w:rsid w:val="002E016D"/>
    <w:rsid w:val="002E3452"/>
    <w:rsid w:val="002E504B"/>
    <w:rsid w:val="002E5B53"/>
    <w:rsid w:val="002F0BB0"/>
    <w:rsid w:val="00300B5A"/>
    <w:rsid w:val="00305086"/>
    <w:rsid w:val="00311A49"/>
    <w:rsid w:val="003128FD"/>
    <w:rsid w:val="003152E1"/>
    <w:rsid w:val="00320B63"/>
    <w:rsid w:val="0032645E"/>
    <w:rsid w:val="00333B4D"/>
    <w:rsid w:val="00334FC6"/>
    <w:rsid w:val="0033702E"/>
    <w:rsid w:val="00343EC4"/>
    <w:rsid w:val="00354914"/>
    <w:rsid w:val="003667AC"/>
    <w:rsid w:val="003679CE"/>
    <w:rsid w:val="00375BF0"/>
    <w:rsid w:val="00384614"/>
    <w:rsid w:val="003879AD"/>
    <w:rsid w:val="00393DC9"/>
    <w:rsid w:val="00393E4A"/>
    <w:rsid w:val="00394A06"/>
    <w:rsid w:val="003A0D38"/>
    <w:rsid w:val="003A1910"/>
    <w:rsid w:val="003A3632"/>
    <w:rsid w:val="003A4182"/>
    <w:rsid w:val="003A4B03"/>
    <w:rsid w:val="003B2170"/>
    <w:rsid w:val="003C1AE6"/>
    <w:rsid w:val="003C5558"/>
    <w:rsid w:val="003D229A"/>
    <w:rsid w:val="003E6E3F"/>
    <w:rsid w:val="003F5C35"/>
    <w:rsid w:val="0040723A"/>
    <w:rsid w:val="00413DD2"/>
    <w:rsid w:val="0041550A"/>
    <w:rsid w:val="00420222"/>
    <w:rsid w:val="004232F1"/>
    <w:rsid w:val="00425447"/>
    <w:rsid w:val="004373FD"/>
    <w:rsid w:val="004439BD"/>
    <w:rsid w:val="00444467"/>
    <w:rsid w:val="004457D2"/>
    <w:rsid w:val="004465F4"/>
    <w:rsid w:val="00453E5B"/>
    <w:rsid w:val="0045486B"/>
    <w:rsid w:val="00460158"/>
    <w:rsid w:val="004642E2"/>
    <w:rsid w:val="00467200"/>
    <w:rsid w:val="00473F2D"/>
    <w:rsid w:val="00475E15"/>
    <w:rsid w:val="00482B53"/>
    <w:rsid w:val="00487D5B"/>
    <w:rsid w:val="0049175E"/>
    <w:rsid w:val="00491B2E"/>
    <w:rsid w:val="004923D1"/>
    <w:rsid w:val="00496C58"/>
    <w:rsid w:val="004A1DD8"/>
    <w:rsid w:val="004A4A03"/>
    <w:rsid w:val="004A612C"/>
    <w:rsid w:val="004B208C"/>
    <w:rsid w:val="004B7B8B"/>
    <w:rsid w:val="004C1702"/>
    <w:rsid w:val="004C2B0E"/>
    <w:rsid w:val="004C520E"/>
    <w:rsid w:val="004C7366"/>
    <w:rsid w:val="004E5843"/>
    <w:rsid w:val="004E7820"/>
    <w:rsid w:val="00500C29"/>
    <w:rsid w:val="0050529B"/>
    <w:rsid w:val="00514DC3"/>
    <w:rsid w:val="005174F8"/>
    <w:rsid w:val="00527488"/>
    <w:rsid w:val="00531F7D"/>
    <w:rsid w:val="00535E8F"/>
    <w:rsid w:val="00536073"/>
    <w:rsid w:val="00550B0A"/>
    <w:rsid w:val="00554062"/>
    <w:rsid w:val="00554516"/>
    <w:rsid w:val="00556B3C"/>
    <w:rsid w:val="00556D03"/>
    <w:rsid w:val="00556EAD"/>
    <w:rsid w:val="005579EB"/>
    <w:rsid w:val="00562824"/>
    <w:rsid w:val="00564671"/>
    <w:rsid w:val="00582FE9"/>
    <w:rsid w:val="005873BD"/>
    <w:rsid w:val="00591FCA"/>
    <w:rsid w:val="005955F9"/>
    <w:rsid w:val="005977CB"/>
    <w:rsid w:val="005A09CF"/>
    <w:rsid w:val="005A16AE"/>
    <w:rsid w:val="005A461D"/>
    <w:rsid w:val="005B212D"/>
    <w:rsid w:val="005B3B80"/>
    <w:rsid w:val="005B52AD"/>
    <w:rsid w:val="005B6E3C"/>
    <w:rsid w:val="005D1EC3"/>
    <w:rsid w:val="005D33B1"/>
    <w:rsid w:val="005E090E"/>
    <w:rsid w:val="005E517A"/>
    <w:rsid w:val="005E6B2A"/>
    <w:rsid w:val="005F5A2A"/>
    <w:rsid w:val="005F67B9"/>
    <w:rsid w:val="00600B37"/>
    <w:rsid w:val="00604D66"/>
    <w:rsid w:val="00611383"/>
    <w:rsid w:val="00611D7E"/>
    <w:rsid w:val="00620B78"/>
    <w:rsid w:val="006214C8"/>
    <w:rsid w:val="00634123"/>
    <w:rsid w:val="00640D3B"/>
    <w:rsid w:val="00641A65"/>
    <w:rsid w:val="006432B0"/>
    <w:rsid w:val="00647A9F"/>
    <w:rsid w:val="00650113"/>
    <w:rsid w:val="00654BBF"/>
    <w:rsid w:val="006571FC"/>
    <w:rsid w:val="0066143C"/>
    <w:rsid w:val="006707A8"/>
    <w:rsid w:val="006776F3"/>
    <w:rsid w:val="006830E4"/>
    <w:rsid w:val="006A146C"/>
    <w:rsid w:val="006A339D"/>
    <w:rsid w:val="006B0935"/>
    <w:rsid w:val="006B28F8"/>
    <w:rsid w:val="006B5403"/>
    <w:rsid w:val="006D124C"/>
    <w:rsid w:val="006D40AA"/>
    <w:rsid w:val="006E12ED"/>
    <w:rsid w:val="006E3D5D"/>
    <w:rsid w:val="006F01C7"/>
    <w:rsid w:val="006F200C"/>
    <w:rsid w:val="006F4F23"/>
    <w:rsid w:val="006F528B"/>
    <w:rsid w:val="007115A7"/>
    <w:rsid w:val="007129FE"/>
    <w:rsid w:val="007221AB"/>
    <w:rsid w:val="0072625D"/>
    <w:rsid w:val="00742C34"/>
    <w:rsid w:val="00753305"/>
    <w:rsid w:val="00756108"/>
    <w:rsid w:val="007579D7"/>
    <w:rsid w:val="00763CA5"/>
    <w:rsid w:val="00766A07"/>
    <w:rsid w:val="007816D2"/>
    <w:rsid w:val="0078213E"/>
    <w:rsid w:val="00784747"/>
    <w:rsid w:val="00785A2C"/>
    <w:rsid w:val="00787714"/>
    <w:rsid w:val="00792322"/>
    <w:rsid w:val="00793B96"/>
    <w:rsid w:val="00796A4B"/>
    <w:rsid w:val="007C1A01"/>
    <w:rsid w:val="007C30CE"/>
    <w:rsid w:val="007C7FCF"/>
    <w:rsid w:val="007D0EE3"/>
    <w:rsid w:val="007D21CE"/>
    <w:rsid w:val="007D5040"/>
    <w:rsid w:val="007D58E6"/>
    <w:rsid w:val="007E26B4"/>
    <w:rsid w:val="007E522A"/>
    <w:rsid w:val="007F19AA"/>
    <w:rsid w:val="00805B5A"/>
    <w:rsid w:val="00815064"/>
    <w:rsid w:val="00817996"/>
    <w:rsid w:val="00821D98"/>
    <w:rsid w:val="00822E00"/>
    <w:rsid w:val="00825077"/>
    <w:rsid w:val="008258B3"/>
    <w:rsid w:val="00844AAC"/>
    <w:rsid w:val="00854A0D"/>
    <w:rsid w:val="00860B99"/>
    <w:rsid w:val="00864734"/>
    <w:rsid w:val="00876912"/>
    <w:rsid w:val="008818CA"/>
    <w:rsid w:val="00891257"/>
    <w:rsid w:val="0089376A"/>
    <w:rsid w:val="00896AD0"/>
    <w:rsid w:val="008B4601"/>
    <w:rsid w:val="008C5FAA"/>
    <w:rsid w:val="008C6DFF"/>
    <w:rsid w:val="008D0B93"/>
    <w:rsid w:val="008D1366"/>
    <w:rsid w:val="008D21F1"/>
    <w:rsid w:val="008E7757"/>
    <w:rsid w:val="008F1832"/>
    <w:rsid w:val="008F7294"/>
    <w:rsid w:val="00900BFA"/>
    <w:rsid w:val="0090501F"/>
    <w:rsid w:val="009143E3"/>
    <w:rsid w:val="009163D4"/>
    <w:rsid w:val="009215FC"/>
    <w:rsid w:val="00921BDD"/>
    <w:rsid w:val="0093290E"/>
    <w:rsid w:val="00932D15"/>
    <w:rsid w:val="00941584"/>
    <w:rsid w:val="009434E9"/>
    <w:rsid w:val="00946840"/>
    <w:rsid w:val="00952003"/>
    <w:rsid w:val="00964822"/>
    <w:rsid w:val="00971773"/>
    <w:rsid w:val="00973670"/>
    <w:rsid w:val="009740FF"/>
    <w:rsid w:val="00983A1D"/>
    <w:rsid w:val="009934ED"/>
    <w:rsid w:val="009A3967"/>
    <w:rsid w:val="009A5672"/>
    <w:rsid w:val="009B142E"/>
    <w:rsid w:val="009B4FBF"/>
    <w:rsid w:val="009C1572"/>
    <w:rsid w:val="009C546B"/>
    <w:rsid w:val="009D6BA2"/>
    <w:rsid w:val="009E2278"/>
    <w:rsid w:val="009F07EB"/>
    <w:rsid w:val="009F1522"/>
    <w:rsid w:val="00A03929"/>
    <w:rsid w:val="00A1080D"/>
    <w:rsid w:val="00A1419D"/>
    <w:rsid w:val="00A17C65"/>
    <w:rsid w:val="00A44962"/>
    <w:rsid w:val="00A45D81"/>
    <w:rsid w:val="00A46E56"/>
    <w:rsid w:val="00A60EB9"/>
    <w:rsid w:val="00A66BE6"/>
    <w:rsid w:val="00A679DB"/>
    <w:rsid w:val="00A709D8"/>
    <w:rsid w:val="00A73B43"/>
    <w:rsid w:val="00A762E3"/>
    <w:rsid w:val="00A77DE9"/>
    <w:rsid w:val="00A801F4"/>
    <w:rsid w:val="00A842D1"/>
    <w:rsid w:val="00AA0E51"/>
    <w:rsid w:val="00AA1542"/>
    <w:rsid w:val="00AB0766"/>
    <w:rsid w:val="00AB2F3E"/>
    <w:rsid w:val="00AB47CE"/>
    <w:rsid w:val="00AD128B"/>
    <w:rsid w:val="00AD1AD0"/>
    <w:rsid w:val="00AD472A"/>
    <w:rsid w:val="00AF0FED"/>
    <w:rsid w:val="00AF3B32"/>
    <w:rsid w:val="00AF56EB"/>
    <w:rsid w:val="00AF6A68"/>
    <w:rsid w:val="00B201AD"/>
    <w:rsid w:val="00B222FB"/>
    <w:rsid w:val="00B23050"/>
    <w:rsid w:val="00B4410D"/>
    <w:rsid w:val="00B505DD"/>
    <w:rsid w:val="00B510CF"/>
    <w:rsid w:val="00B54BA4"/>
    <w:rsid w:val="00B67105"/>
    <w:rsid w:val="00B726F5"/>
    <w:rsid w:val="00B77183"/>
    <w:rsid w:val="00B83E74"/>
    <w:rsid w:val="00B8443A"/>
    <w:rsid w:val="00B956BD"/>
    <w:rsid w:val="00BB2333"/>
    <w:rsid w:val="00BB2DFC"/>
    <w:rsid w:val="00BC3820"/>
    <w:rsid w:val="00BD0950"/>
    <w:rsid w:val="00BD4027"/>
    <w:rsid w:val="00BD62CF"/>
    <w:rsid w:val="00BD63D8"/>
    <w:rsid w:val="00BD7C42"/>
    <w:rsid w:val="00BE14FF"/>
    <w:rsid w:val="00BE4F1E"/>
    <w:rsid w:val="00BE607D"/>
    <w:rsid w:val="00BF530B"/>
    <w:rsid w:val="00BF64AE"/>
    <w:rsid w:val="00C01C0F"/>
    <w:rsid w:val="00C02E72"/>
    <w:rsid w:val="00C05FDD"/>
    <w:rsid w:val="00C155A0"/>
    <w:rsid w:val="00C16118"/>
    <w:rsid w:val="00C244B3"/>
    <w:rsid w:val="00C27A7D"/>
    <w:rsid w:val="00C31FC4"/>
    <w:rsid w:val="00C36C41"/>
    <w:rsid w:val="00C43303"/>
    <w:rsid w:val="00C71508"/>
    <w:rsid w:val="00C742CC"/>
    <w:rsid w:val="00C7530A"/>
    <w:rsid w:val="00C7578A"/>
    <w:rsid w:val="00C771C8"/>
    <w:rsid w:val="00C77C0C"/>
    <w:rsid w:val="00C81BE0"/>
    <w:rsid w:val="00C85214"/>
    <w:rsid w:val="00C965B9"/>
    <w:rsid w:val="00C979BF"/>
    <w:rsid w:val="00CA5926"/>
    <w:rsid w:val="00CB3888"/>
    <w:rsid w:val="00CB6735"/>
    <w:rsid w:val="00CC223E"/>
    <w:rsid w:val="00CD3FA4"/>
    <w:rsid w:val="00CD4661"/>
    <w:rsid w:val="00CE6869"/>
    <w:rsid w:val="00CF19D5"/>
    <w:rsid w:val="00CF3E1A"/>
    <w:rsid w:val="00CF42E2"/>
    <w:rsid w:val="00CF58ED"/>
    <w:rsid w:val="00CF5BBD"/>
    <w:rsid w:val="00D0759D"/>
    <w:rsid w:val="00D07904"/>
    <w:rsid w:val="00D14798"/>
    <w:rsid w:val="00D2003C"/>
    <w:rsid w:val="00D200BE"/>
    <w:rsid w:val="00D23A0D"/>
    <w:rsid w:val="00D32B4B"/>
    <w:rsid w:val="00D40A92"/>
    <w:rsid w:val="00D4200B"/>
    <w:rsid w:val="00D5362A"/>
    <w:rsid w:val="00D55D0D"/>
    <w:rsid w:val="00D61467"/>
    <w:rsid w:val="00D6246C"/>
    <w:rsid w:val="00D80703"/>
    <w:rsid w:val="00D81BD7"/>
    <w:rsid w:val="00D85224"/>
    <w:rsid w:val="00D86059"/>
    <w:rsid w:val="00D907A3"/>
    <w:rsid w:val="00D9149F"/>
    <w:rsid w:val="00D92861"/>
    <w:rsid w:val="00D97526"/>
    <w:rsid w:val="00DA5EC2"/>
    <w:rsid w:val="00DB1AB9"/>
    <w:rsid w:val="00DB79A8"/>
    <w:rsid w:val="00DC1BD9"/>
    <w:rsid w:val="00DC2612"/>
    <w:rsid w:val="00DC2871"/>
    <w:rsid w:val="00DC5115"/>
    <w:rsid w:val="00DD46BC"/>
    <w:rsid w:val="00DE3B65"/>
    <w:rsid w:val="00DE54FB"/>
    <w:rsid w:val="00DF385C"/>
    <w:rsid w:val="00DF3F82"/>
    <w:rsid w:val="00DF5392"/>
    <w:rsid w:val="00E029DD"/>
    <w:rsid w:val="00E05EE1"/>
    <w:rsid w:val="00E13481"/>
    <w:rsid w:val="00E21374"/>
    <w:rsid w:val="00E21870"/>
    <w:rsid w:val="00E22298"/>
    <w:rsid w:val="00E24A51"/>
    <w:rsid w:val="00E321FD"/>
    <w:rsid w:val="00E3747D"/>
    <w:rsid w:val="00E4187F"/>
    <w:rsid w:val="00E51A46"/>
    <w:rsid w:val="00E53F0F"/>
    <w:rsid w:val="00E571FC"/>
    <w:rsid w:val="00E61759"/>
    <w:rsid w:val="00E661E8"/>
    <w:rsid w:val="00E824FF"/>
    <w:rsid w:val="00E87635"/>
    <w:rsid w:val="00E87DE6"/>
    <w:rsid w:val="00E91516"/>
    <w:rsid w:val="00EA3489"/>
    <w:rsid w:val="00EA75ED"/>
    <w:rsid w:val="00EC2897"/>
    <w:rsid w:val="00EC2938"/>
    <w:rsid w:val="00EC6986"/>
    <w:rsid w:val="00ED06E8"/>
    <w:rsid w:val="00ED4536"/>
    <w:rsid w:val="00EE0A11"/>
    <w:rsid w:val="00EE187F"/>
    <w:rsid w:val="00EE2C63"/>
    <w:rsid w:val="00EF1EBF"/>
    <w:rsid w:val="00F02F5D"/>
    <w:rsid w:val="00F07E38"/>
    <w:rsid w:val="00F11569"/>
    <w:rsid w:val="00F12E7A"/>
    <w:rsid w:val="00F139FD"/>
    <w:rsid w:val="00F142AA"/>
    <w:rsid w:val="00F221EF"/>
    <w:rsid w:val="00F2343E"/>
    <w:rsid w:val="00F243B6"/>
    <w:rsid w:val="00F42E52"/>
    <w:rsid w:val="00F45352"/>
    <w:rsid w:val="00F55625"/>
    <w:rsid w:val="00F7243A"/>
    <w:rsid w:val="00F80420"/>
    <w:rsid w:val="00F80A2B"/>
    <w:rsid w:val="00F82EAB"/>
    <w:rsid w:val="00F82EC8"/>
    <w:rsid w:val="00F84104"/>
    <w:rsid w:val="00F85FD2"/>
    <w:rsid w:val="00FA43A4"/>
    <w:rsid w:val="00FB3FA7"/>
    <w:rsid w:val="00FC3664"/>
    <w:rsid w:val="00FD644B"/>
    <w:rsid w:val="00FE46A3"/>
    <w:rsid w:val="00FE7584"/>
    <w:rsid w:val="00FF6244"/>
    <w:rsid w:val="00FF7021"/>
    <w:rsid w:val="00FF7751"/>
    <w:rsid w:val="05AE57EF"/>
    <w:rsid w:val="0AFF00D5"/>
    <w:rsid w:val="0B6C0AF6"/>
    <w:rsid w:val="110A5880"/>
    <w:rsid w:val="120D0CF1"/>
    <w:rsid w:val="12A674BE"/>
    <w:rsid w:val="13AE0940"/>
    <w:rsid w:val="15A05EA3"/>
    <w:rsid w:val="1A756C01"/>
    <w:rsid w:val="1E8F2386"/>
    <w:rsid w:val="1F414222"/>
    <w:rsid w:val="249870BF"/>
    <w:rsid w:val="2B350E53"/>
    <w:rsid w:val="2F295044"/>
    <w:rsid w:val="2FDB0D2D"/>
    <w:rsid w:val="36055DBA"/>
    <w:rsid w:val="372E6126"/>
    <w:rsid w:val="37B05E7A"/>
    <w:rsid w:val="37FC44B8"/>
    <w:rsid w:val="3CC712EE"/>
    <w:rsid w:val="428C745C"/>
    <w:rsid w:val="48065CE5"/>
    <w:rsid w:val="48745923"/>
    <w:rsid w:val="49046C6B"/>
    <w:rsid w:val="49D22CFF"/>
    <w:rsid w:val="4BEC2303"/>
    <w:rsid w:val="4CEF3D6E"/>
    <w:rsid w:val="52AB56A1"/>
    <w:rsid w:val="588731F2"/>
    <w:rsid w:val="5B0E05DF"/>
    <w:rsid w:val="5E783250"/>
    <w:rsid w:val="61327DEA"/>
    <w:rsid w:val="62712918"/>
    <w:rsid w:val="6281784E"/>
    <w:rsid w:val="69530629"/>
    <w:rsid w:val="69DB8943"/>
    <w:rsid w:val="6B0313FB"/>
    <w:rsid w:val="6B30384A"/>
    <w:rsid w:val="72921283"/>
    <w:rsid w:val="73F05507"/>
    <w:rsid w:val="747B7BA4"/>
    <w:rsid w:val="752B3DC9"/>
    <w:rsid w:val="778E8709"/>
    <w:rsid w:val="7E79A364"/>
    <w:rsid w:val="7F914AE3"/>
    <w:rsid w:val="937F1727"/>
    <w:rsid w:val="AFF735DE"/>
    <w:rsid w:val="C65F659D"/>
    <w:rsid w:val="C90D3C24"/>
    <w:rsid w:val="EDFE16F2"/>
    <w:rsid w:val="FFFD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center"/>
    </w:pPr>
    <w:rPr>
      <w:rFonts w:ascii="宋体" w:hAnsi="宋体" w:eastAsia="宋体" w:cs="Times New Roman"/>
      <w:b/>
      <w:kern w:val="2"/>
      <w:sz w:val="44"/>
      <w:szCs w:val="44"/>
      <w:lang w:val="en-US" w:eastAsia="zh-CN" w:bidi="ar-SA"/>
    </w:rPr>
  </w:style>
  <w:style w:type="paragraph" w:styleId="2">
    <w:name w:val="heading 1"/>
    <w:basedOn w:val="1"/>
    <w:next w:val="1"/>
    <w:link w:val="17"/>
    <w:qFormat/>
    <w:uiPriority w:val="0"/>
    <w:pPr>
      <w:keepNext/>
      <w:keepLines/>
      <w:spacing w:before="50" w:beforeLines="50" w:after="50" w:afterLines="50" w:line="420" w:lineRule="auto"/>
      <w:ind w:firstLine="200" w:firstLineChars="200"/>
      <w:jc w:val="left"/>
      <w:outlineLvl w:val="0"/>
    </w:pPr>
    <w:rPr>
      <w:rFonts w:asciiTheme="minorHAnsi" w:hAnsiTheme="minorHAnsi" w:cstheme="minorBidi"/>
      <w:bCs/>
      <w:kern w:val="44"/>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pPr>
      <w:spacing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tLeast"/>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cs="宋体"/>
      <w:b w:val="0"/>
      <w:kern w:val="0"/>
      <w:sz w:val="24"/>
      <w:szCs w:val="24"/>
    </w:rPr>
  </w:style>
  <w:style w:type="table" w:styleId="8">
    <w:name w:val="Table Grid"/>
    <w:basedOn w:val="7"/>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customStyle="1" w:styleId="11">
    <w:name w:val="正文顶格"/>
    <w:basedOn w:val="12"/>
    <w:link w:val="13"/>
    <w:qFormat/>
    <w:uiPriority w:val="99"/>
    <w:pPr>
      <w:spacing w:line="560" w:lineRule="exact"/>
      <w:jc w:val="both"/>
    </w:pPr>
    <w:rPr>
      <w:rFonts w:ascii="仿宋_GB2312" w:eastAsia="仿宋_GB2312"/>
      <w:b w:val="0"/>
      <w:sz w:val="32"/>
      <w:szCs w:val="32"/>
    </w:rPr>
  </w:style>
  <w:style w:type="paragraph" w:styleId="12">
    <w:name w:val="No Spacing"/>
    <w:qFormat/>
    <w:uiPriority w:val="1"/>
    <w:pPr>
      <w:widowControl w:val="0"/>
      <w:jc w:val="center"/>
    </w:pPr>
    <w:rPr>
      <w:rFonts w:ascii="宋体" w:hAnsi="宋体" w:eastAsia="宋体" w:cs="Times New Roman"/>
      <w:b/>
      <w:kern w:val="2"/>
      <w:sz w:val="44"/>
      <w:szCs w:val="44"/>
      <w:lang w:val="en-US" w:eastAsia="zh-CN" w:bidi="ar-SA"/>
    </w:rPr>
  </w:style>
  <w:style w:type="character" w:customStyle="1" w:styleId="13">
    <w:name w:val="正文顶格 Char"/>
    <w:basedOn w:val="9"/>
    <w:link w:val="11"/>
    <w:qFormat/>
    <w:locked/>
    <w:uiPriority w:val="99"/>
    <w:rPr>
      <w:rFonts w:ascii="仿宋_GB2312" w:hAnsi="宋体" w:eastAsia="仿宋_GB2312" w:cs="Times New Roman"/>
      <w:sz w:val="32"/>
      <w:szCs w:val="32"/>
    </w:rPr>
  </w:style>
  <w:style w:type="paragraph" w:customStyle="1" w:styleId="14">
    <w:name w:val="列出段落2"/>
    <w:basedOn w:val="1"/>
    <w:qFormat/>
    <w:uiPriority w:val="99"/>
    <w:pPr>
      <w:spacing w:line="240" w:lineRule="auto"/>
      <w:ind w:firstLine="420" w:firstLineChars="200"/>
      <w:jc w:val="both"/>
    </w:pPr>
    <w:rPr>
      <w:rFonts w:ascii="Calibri" w:hAnsi="Calibri"/>
      <w:b w:val="0"/>
      <w:sz w:val="21"/>
      <w:szCs w:val="22"/>
    </w:rPr>
  </w:style>
  <w:style w:type="character" w:customStyle="1" w:styleId="15">
    <w:name w:val="页眉 Char"/>
    <w:basedOn w:val="9"/>
    <w:link w:val="5"/>
    <w:qFormat/>
    <w:uiPriority w:val="99"/>
    <w:rPr>
      <w:rFonts w:ascii="宋体" w:hAnsi="宋体" w:eastAsia="宋体" w:cs="Times New Roman"/>
      <w:b/>
      <w:sz w:val="18"/>
      <w:szCs w:val="18"/>
    </w:rPr>
  </w:style>
  <w:style w:type="character" w:customStyle="1" w:styleId="16">
    <w:name w:val="页脚 Char"/>
    <w:basedOn w:val="9"/>
    <w:link w:val="4"/>
    <w:qFormat/>
    <w:uiPriority w:val="99"/>
    <w:rPr>
      <w:rFonts w:ascii="宋体" w:hAnsi="宋体" w:eastAsia="宋体" w:cs="Times New Roman"/>
      <w:b/>
      <w:sz w:val="18"/>
      <w:szCs w:val="18"/>
    </w:rPr>
  </w:style>
  <w:style w:type="character" w:customStyle="1" w:styleId="17">
    <w:name w:val="标题 1 Char"/>
    <w:basedOn w:val="9"/>
    <w:link w:val="2"/>
    <w:qFormat/>
    <w:uiPriority w:val="0"/>
    <w:rPr>
      <w:rFonts w:eastAsia="宋体"/>
      <w:b/>
      <w:bCs/>
      <w:kern w:val="44"/>
      <w:sz w:val="32"/>
      <w:szCs w:val="44"/>
    </w:rPr>
  </w:style>
  <w:style w:type="character" w:customStyle="1" w:styleId="18">
    <w:name w:val="批注框文本 Char"/>
    <w:basedOn w:val="9"/>
    <w:link w:val="3"/>
    <w:semiHidden/>
    <w:qFormat/>
    <w:uiPriority w:val="99"/>
    <w:rPr>
      <w:rFonts w:ascii="宋体" w:hAnsi="宋体" w:eastAsia="宋体" w:cs="Times New Roman"/>
      <w:b/>
      <w:kern w:val="2"/>
      <w:sz w:val="18"/>
      <w:szCs w:val="18"/>
    </w:rPr>
  </w:style>
  <w:style w:type="paragraph" w:customStyle="1" w:styleId="19">
    <w:name w:val="Revision"/>
    <w:hidden/>
    <w:semiHidden/>
    <w:qFormat/>
    <w:uiPriority w:val="99"/>
    <w:rPr>
      <w:rFonts w:ascii="宋体" w:hAnsi="宋体" w:eastAsia="宋体" w:cs="Times New Roman"/>
      <w:b/>
      <w:kern w:val="2"/>
      <w:sz w:val="44"/>
      <w:szCs w:val="44"/>
      <w:lang w:val="en-US" w:eastAsia="zh-CN" w:bidi="ar-SA"/>
    </w:rPr>
  </w:style>
  <w:style w:type="paragraph" w:customStyle="1" w:styleId="20">
    <w:name w:val="正文空2字"/>
    <w:basedOn w:val="2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21">
    <w:name w:val="左对齐正文"/>
    <w:qFormat/>
    <w:uiPriority w:val="99"/>
    <w:pPr>
      <w:spacing w:after="160" w:line="259" w:lineRule="auto"/>
    </w:pPr>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597</Words>
  <Characters>3404</Characters>
  <Lines>28</Lines>
  <Paragraphs>7</Paragraphs>
  <TotalTime>0</TotalTime>
  <ScaleCrop>false</ScaleCrop>
  <LinksUpToDate>false</LinksUpToDate>
  <CharactersWithSpaces>3994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2022-09-02T09:34:00Z</dcterms:created>
  <dc:creator>王海波</dc:creator>
  <cp:lastModifiedBy>zhangaijing</cp:lastModifiedBy>
  <cp:lastPrinted>2021-10-22T08:30:00Z</cp:lastPrinted>
  <dcterms:modified xsi:type="dcterms:W3CDTF">2023-05-18T18:27:04Z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