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default" w:ascii="黑体" w:hAnsi="黑体" w:eastAsia="黑体"/>
          <w:bCs/>
          <w:color w:val="000000" w:themeColor="text1"/>
          <w:sz w:val="32"/>
          <w:szCs w:val="32"/>
          <w:highlight w:val="none"/>
          <w:lang w:val="en" w:eastAsia="zh-CN"/>
          <w14:textFill>
            <w14:solidFill>
              <w14:schemeClr w14:val="tx1"/>
            </w14:solidFill>
          </w14:textFill>
        </w:rPr>
      </w:pPr>
      <w:r>
        <w:rPr>
          <w:rFonts w:hint="default" w:ascii="黑体" w:hAnsi="黑体" w:eastAsia="黑体"/>
          <w:bCs/>
          <w:color w:val="000000" w:themeColor="text1"/>
          <w:sz w:val="32"/>
          <w:szCs w:val="32"/>
          <w:highlight w:val="none"/>
          <w:lang w:val="en"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龙优</w:t>
      </w:r>
      <w:r>
        <w:rPr>
          <w:rFonts w:hint="eastAsia" w:ascii="仿宋_GB2312" w:hAnsi="仿宋_GB2312" w:eastAsia="仿宋_GB2312" w:cs="仿宋_GB2312"/>
          <w:color w:val="000000" w:themeColor="text1"/>
          <w:sz w:val="32"/>
          <w:szCs w:val="32"/>
          <w:highlight w:val="none"/>
          <w14:textFill>
            <w14:solidFill>
              <w14:schemeClr w14:val="tx1"/>
            </w14:solidFill>
          </w14:textFill>
        </w:rPr>
        <w:t>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w:t>
      </w:r>
      <w:r>
        <w:rPr>
          <w:rFonts w:hint="eastAsia" w:ascii="仿宋_GB2312" w:hAnsi="仿宋_GB2312" w:eastAsia="仿宋_GB2312" w:cs="仿宋_GB2312"/>
          <w:color w:val="000000" w:themeColor="text1"/>
          <w:sz w:val="32"/>
          <w:szCs w:val="32"/>
          <w:highlight w:val="none"/>
          <w14:textFill>
            <w14:solidFill>
              <w14:schemeClr w14:val="tx1"/>
            </w14:solidFill>
          </w14:textFill>
        </w:rPr>
        <w:t>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〕第   号</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b/>
          <w:bCs/>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b/>
          <w:bCs/>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color w:val="000000" w:themeColor="text1"/>
          <w:sz w:val="52"/>
          <w:szCs w:val="5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bCs/>
          <w:color w:val="000000" w:themeColor="text1"/>
          <w:sz w:val="52"/>
          <w:szCs w:val="52"/>
          <w:highlight w:val="none"/>
          <w:lang w:val="en-US" w:eastAsia="zh-CN"/>
          <w14:textFill>
            <w14:solidFill>
              <w14:schemeClr w14:val="tx1"/>
            </w14:solidFill>
          </w14:textFill>
        </w:rPr>
      </w:pPr>
      <w:r>
        <w:rPr>
          <w:rFonts w:hint="eastAsia" w:ascii="黑体" w:hAnsi="黑体" w:eastAsia="黑体" w:cs="黑体"/>
          <w:b/>
          <w:bCs/>
          <w:color w:val="000000" w:themeColor="text1"/>
          <w:sz w:val="52"/>
          <w:szCs w:val="52"/>
          <w:highlight w:val="none"/>
          <w14:textFill>
            <w14:solidFill>
              <w14:schemeClr w14:val="tx1"/>
            </w14:solidFill>
          </w14:textFill>
        </w:rPr>
        <w:t>深圳市</w:t>
      </w:r>
      <w:r>
        <w:rPr>
          <w:rFonts w:hint="eastAsia" w:ascii="黑体" w:hAnsi="黑体" w:eastAsia="黑体" w:cs="黑体"/>
          <w:b/>
          <w:bCs/>
          <w:color w:val="000000" w:themeColor="text1"/>
          <w:sz w:val="52"/>
          <w:szCs w:val="52"/>
          <w:highlight w:val="none"/>
          <w:lang w:val="en-US" w:eastAsia="zh-CN"/>
          <w14:textFill>
            <w14:solidFill>
              <w14:schemeClr w14:val="tx1"/>
            </w14:solidFill>
          </w14:textFill>
        </w:rPr>
        <w:t>龙华</w:t>
      </w:r>
      <w:r>
        <w:rPr>
          <w:rFonts w:hint="eastAsia" w:ascii="黑体" w:hAnsi="黑体" w:eastAsia="黑体" w:cs="黑体"/>
          <w:b/>
          <w:bCs/>
          <w:color w:val="000000" w:themeColor="text1"/>
          <w:sz w:val="52"/>
          <w:szCs w:val="52"/>
          <w:highlight w:val="none"/>
          <w14:textFill>
            <w14:solidFill>
              <w14:schemeClr w14:val="tx1"/>
            </w14:solidFill>
          </w14:textFill>
        </w:rPr>
        <w:t>区</w:t>
      </w:r>
      <w:r>
        <w:rPr>
          <w:rFonts w:hint="eastAsia" w:ascii="黑体" w:hAnsi="黑体" w:eastAsia="黑体" w:cs="黑体"/>
          <w:b/>
          <w:bCs/>
          <w:color w:val="000000" w:themeColor="text1"/>
          <w:sz w:val="52"/>
          <w:szCs w:val="52"/>
          <w:highlight w:val="none"/>
          <w:lang w:eastAsia="zh-CN"/>
          <w14:textFill>
            <w14:solidFill>
              <w14:schemeClr w14:val="tx1"/>
            </w14:solidFill>
          </w14:textFill>
        </w:rPr>
        <w:t>优质产业</w:t>
      </w:r>
      <w:r>
        <w:rPr>
          <w:rFonts w:hint="eastAsia" w:ascii="黑体" w:hAnsi="黑体" w:eastAsia="黑体" w:cs="黑体"/>
          <w:b/>
          <w:bCs/>
          <w:color w:val="000000" w:themeColor="text1"/>
          <w:sz w:val="52"/>
          <w:szCs w:val="52"/>
          <w:highlight w:val="none"/>
          <w:lang w:val="en-US" w:eastAsia="zh-CN"/>
          <w14:textFill>
            <w14:solidFill>
              <w14:schemeClr w14:val="tx1"/>
            </w14:solidFill>
          </w14:textFill>
        </w:rPr>
        <w:t>空间</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bCs/>
          <w:color w:val="000000" w:themeColor="text1"/>
          <w:sz w:val="52"/>
          <w:szCs w:val="52"/>
          <w:highlight w:val="none"/>
          <w:lang w:eastAsia="zh-CN"/>
          <w14:textFill>
            <w14:solidFill>
              <w14:schemeClr w14:val="tx1"/>
            </w14:solidFill>
          </w14:textFill>
        </w:rPr>
      </w:pPr>
      <w:r>
        <w:rPr>
          <w:rFonts w:hint="eastAsia" w:ascii="黑体" w:hAnsi="黑体" w:eastAsia="黑体" w:cs="黑体"/>
          <w:b/>
          <w:bCs/>
          <w:color w:val="000000" w:themeColor="text1"/>
          <w:sz w:val="52"/>
          <w:szCs w:val="52"/>
          <w:highlight w:val="none"/>
          <w:lang w:val="en-US" w:eastAsia="zh-CN"/>
          <w14:textFill>
            <w14:solidFill>
              <w14:schemeClr w14:val="tx1"/>
            </w14:solidFill>
          </w14:textFill>
        </w:rPr>
        <w:t>产业发展</w:t>
      </w:r>
      <w:r>
        <w:rPr>
          <w:rFonts w:hint="eastAsia" w:ascii="黑体" w:hAnsi="黑体" w:eastAsia="黑体" w:cs="黑体"/>
          <w:b/>
          <w:bCs/>
          <w:color w:val="000000" w:themeColor="text1"/>
          <w:sz w:val="52"/>
          <w:szCs w:val="52"/>
          <w:highlight w:val="none"/>
          <w14:textFill>
            <w14:solidFill>
              <w14:schemeClr w14:val="tx1"/>
            </w14:solidFill>
          </w14:textFill>
        </w:rPr>
        <w:t>监管协议</w:t>
      </w:r>
      <w:r>
        <w:rPr>
          <w:rFonts w:hint="eastAsia" w:ascii="黑体" w:hAnsi="黑体" w:eastAsia="黑体" w:cs="黑体"/>
          <w:b/>
          <w:bCs/>
          <w:color w:val="000000" w:themeColor="text1"/>
          <w:sz w:val="52"/>
          <w:szCs w:val="52"/>
          <w:highlight w:val="none"/>
          <w:lang w:eastAsia="zh-CN"/>
          <w14:textFill>
            <w14:solidFill>
              <w14:schemeClr w14:val="tx1"/>
            </w14:solidFill>
          </w14:textFill>
        </w:rPr>
        <w:t>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color w:val="000000" w:themeColor="text1"/>
          <w:sz w:val="32"/>
          <w:highlight w:val="none"/>
          <w14:textFill>
            <w14:solidFill>
              <w14:schemeClr w14:val="tx1"/>
            </w14:solidFill>
          </w14:textFill>
        </w:rPr>
      </w:pPr>
      <w:r>
        <w:rPr>
          <w:rFonts w:hint="eastAsia" w:ascii="楷体_GB2312" w:hAnsi="宋体" w:eastAsia="楷体_GB2312"/>
          <w:color w:val="000000" w:themeColor="text1"/>
          <w:sz w:val="32"/>
          <w:highlight w:val="none"/>
          <w:lang w:eastAsia="zh-CN"/>
          <w14:textFill>
            <w14:solidFill>
              <w14:schemeClr w14:val="tx1"/>
            </w14:solidFill>
          </w14:textFill>
        </w:rPr>
        <w:t>（样本）</w:t>
      </w:r>
      <w:r>
        <w:rPr>
          <w:rFonts w:hint="eastAsia" w:ascii="楷体_GB2312" w:hAnsi="宋体" w:eastAsia="楷体_GB2312"/>
          <w:color w:val="000000" w:themeColor="text1"/>
          <w:sz w:val="32"/>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b/>
          <w:bCs/>
          <w:color w:val="000000" w:themeColor="text1"/>
          <w:sz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b/>
          <w:bCs/>
          <w:color w:val="000000" w:themeColor="text1"/>
          <w:sz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b/>
          <w:bCs/>
          <w:color w:val="000000" w:themeColor="text1"/>
          <w:sz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b/>
          <w:bCs/>
          <w:color w:val="000000" w:themeColor="text1"/>
          <w:sz w:val="32"/>
          <w:highlight w:val="none"/>
          <w14:textFill>
            <w14:solidFill>
              <w14:schemeClr w14:val="tx1"/>
            </w14:solidFill>
          </w14:textFill>
        </w:rPr>
      </w:pPr>
      <w:bookmarkStart w:id="1" w:name="_GoBack"/>
      <w:bookmarkEnd w:id="1"/>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b/>
          <w:bCs/>
          <w:color w:val="000000" w:themeColor="text1"/>
          <w:sz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1108" w:firstLineChars="345"/>
        <w:textAlignment w:val="auto"/>
        <w:rPr>
          <w:rFonts w:hint="eastAsia" w:ascii="宋体" w:hAnsi="宋体" w:eastAsia="宋体" w:cs="宋体"/>
          <w:b/>
          <w:bCs/>
          <w:color w:val="auto"/>
          <w:sz w:val="32"/>
          <w:szCs w:val="22"/>
          <w:highlight w:val="none"/>
          <w:u w:val="none"/>
          <w:lang w:val="en-US" w:eastAsia="zh-CN"/>
        </w:rPr>
      </w:pPr>
      <w:r>
        <w:rPr>
          <w:rFonts w:hint="eastAsia" w:ascii="宋体" w:hAnsi="宋体" w:eastAsia="宋体" w:cs="宋体"/>
          <w:b/>
          <w:bCs/>
          <w:color w:val="auto"/>
          <w:sz w:val="32"/>
          <w:szCs w:val="22"/>
          <w:highlight w:val="none"/>
        </w:rPr>
        <w:t>宗地编号：</w:t>
      </w:r>
      <w:r>
        <w:rPr>
          <w:rFonts w:hint="eastAsia" w:ascii="宋体" w:hAnsi="宋体" w:eastAsia="宋体" w:cs="宋体"/>
          <w:b/>
          <w:bCs/>
          <w:color w:val="auto"/>
          <w:sz w:val="32"/>
          <w:szCs w:val="22"/>
          <w:highlight w:val="none"/>
          <w:u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firstLine="1108" w:firstLineChars="345"/>
        <w:textAlignment w:val="auto"/>
        <w:rPr>
          <w:rFonts w:hint="eastAsia" w:ascii="宋体" w:hAnsi="宋体" w:eastAsia="宋体" w:cs="宋体"/>
          <w:b/>
          <w:bCs/>
          <w:color w:val="auto"/>
          <w:sz w:val="32"/>
          <w:szCs w:val="22"/>
          <w:highlight w:val="none"/>
          <w:u w:val="none"/>
        </w:rPr>
      </w:pPr>
      <w:r>
        <w:rPr>
          <w:rFonts w:hint="eastAsia" w:ascii="宋体" w:hAnsi="宋体" w:eastAsia="宋体" w:cs="宋体"/>
          <w:b/>
          <w:bCs/>
          <w:color w:val="auto"/>
          <w:sz w:val="32"/>
          <w:szCs w:val="22"/>
          <w:highlight w:val="none"/>
        </w:rPr>
        <w:t>项目名称：</w:t>
      </w:r>
      <w:r>
        <w:rPr>
          <w:rFonts w:hint="eastAsia" w:ascii="宋体" w:hAnsi="宋体" w:eastAsia="宋体" w:cs="宋体"/>
          <w:b/>
          <w:bCs/>
          <w:color w:val="auto"/>
          <w:sz w:val="32"/>
          <w:szCs w:val="22"/>
          <w:highlight w:val="none"/>
          <w:u w:val="none"/>
        </w:rPr>
        <w:t xml:space="preserve">                                 </w:t>
      </w:r>
    </w:p>
    <w:p>
      <w:pPr>
        <w:keepNext w:val="0"/>
        <w:keepLines w:val="0"/>
        <w:pageBreakBefore w:val="0"/>
        <w:kinsoku/>
        <w:wordWrap/>
        <w:topLinePunct w:val="0"/>
        <w:autoSpaceDE/>
        <w:autoSpaceDN/>
        <w:bidi w:val="0"/>
        <w:spacing w:line="560" w:lineRule="exact"/>
        <w:ind w:firstLine="1108" w:firstLineChars="345"/>
        <w:textAlignment w:val="auto"/>
        <w:rPr>
          <w:rFonts w:hint="eastAsia" w:ascii="黑体" w:hAnsi="黑体" w:eastAsia="黑体" w:cs="黑体"/>
          <w:b/>
          <w:bCs/>
          <w:color w:val="auto"/>
          <w:sz w:val="32"/>
          <w:szCs w:val="32"/>
          <w:highlight w:val="none"/>
        </w:rPr>
      </w:pPr>
      <w:r>
        <w:rPr>
          <w:rFonts w:hint="eastAsia" w:ascii="宋体" w:hAnsi="宋体" w:eastAsia="宋体" w:cs="宋体"/>
          <w:b/>
          <w:bCs/>
          <w:color w:val="auto"/>
          <w:sz w:val="32"/>
          <w:szCs w:val="22"/>
          <w:highlight w:val="none"/>
        </w:rPr>
        <w:t>土地出让合同编号：</w:t>
      </w:r>
      <w:r>
        <w:rPr>
          <w:rFonts w:hint="eastAsia" w:ascii="仿宋_GB2312" w:hAnsi="仿宋_GB2312" w:eastAsia="仿宋_GB2312" w:cs="仿宋_GB2312"/>
          <w:b/>
          <w:bCs/>
          <w:color w:val="auto"/>
          <w:sz w:val="32"/>
          <w:szCs w:val="32"/>
          <w:highlight w:val="none"/>
        </w:rPr>
        <w:t>（以土地出让合同为准）</w:t>
      </w:r>
    </w:p>
    <w:p>
      <w:pPr>
        <w:keepNext w:val="0"/>
        <w:keepLines w:val="0"/>
        <w:pageBreakBefore w:val="0"/>
        <w:kinsoku/>
        <w:wordWrap/>
        <w:topLinePunct w:val="0"/>
        <w:autoSpaceDE/>
        <w:autoSpaceDN/>
        <w:bidi w:val="0"/>
        <w:snapToGrid w:val="0"/>
        <w:spacing w:line="560" w:lineRule="exact"/>
        <w:textAlignment w:val="auto"/>
        <w:rPr>
          <w:rFonts w:ascii="Times New Roman" w:hAnsi="Times New Roman" w:eastAsia="黑体"/>
          <w:color w:val="auto"/>
          <w:sz w:val="32"/>
          <w:highlight w:val="none"/>
        </w:rPr>
      </w:pPr>
    </w:p>
    <w:p>
      <w:pPr>
        <w:pStyle w:val="2"/>
        <w:keepNext w:val="0"/>
        <w:keepLines w:val="0"/>
        <w:pageBreakBefore w:val="0"/>
        <w:kinsoku/>
        <w:wordWrap/>
        <w:topLinePunct w:val="0"/>
        <w:autoSpaceDE/>
        <w:autoSpaceDN/>
        <w:bidi w:val="0"/>
        <w:spacing w:line="560" w:lineRule="exact"/>
        <w:ind w:firstLine="0" w:firstLineChars="0"/>
        <w:textAlignment w:val="auto"/>
        <w:rPr>
          <w:rFonts w:ascii="Times New Roman" w:hAnsi="Times New Roman" w:eastAsia="黑体"/>
          <w:color w:val="auto"/>
          <w:sz w:val="32"/>
          <w:highlight w:val="none"/>
        </w:rPr>
      </w:pPr>
    </w:p>
    <w:p>
      <w:pPr>
        <w:pStyle w:val="2"/>
        <w:keepNext w:val="0"/>
        <w:keepLines w:val="0"/>
        <w:pageBreakBefore w:val="0"/>
        <w:kinsoku/>
        <w:wordWrap/>
        <w:topLinePunct w:val="0"/>
        <w:autoSpaceDE/>
        <w:autoSpaceDN/>
        <w:bidi w:val="0"/>
        <w:spacing w:line="560" w:lineRule="exact"/>
        <w:ind w:left="0" w:leftChars="0" w:firstLine="0" w:firstLineChars="0"/>
        <w:textAlignment w:val="auto"/>
        <w:rPr>
          <w:rFonts w:ascii="Times New Roman" w:hAnsi="Times New Roman" w:eastAsia="黑体"/>
          <w:color w:val="auto"/>
          <w:sz w:val="32"/>
          <w:highlight w:val="none"/>
        </w:rPr>
      </w:pPr>
    </w:p>
    <w:p>
      <w:pPr>
        <w:pStyle w:val="2"/>
        <w:keepNext w:val="0"/>
        <w:keepLines w:val="0"/>
        <w:pageBreakBefore w:val="0"/>
        <w:kinsoku/>
        <w:wordWrap/>
        <w:topLinePunct w:val="0"/>
        <w:autoSpaceDE/>
        <w:autoSpaceDN/>
        <w:bidi w:val="0"/>
        <w:spacing w:line="560" w:lineRule="exact"/>
        <w:ind w:left="0" w:leftChars="0" w:firstLine="0" w:firstLineChars="0"/>
        <w:textAlignment w:val="auto"/>
        <w:rPr>
          <w:rFonts w:ascii="Times New Roman" w:hAnsi="Times New Roman" w:eastAsia="黑体"/>
          <w:color w:val="auto"/>
          <w:sz w:val="32"/>
          <w:highlight w:val="none"/>
        </w:rPr>
      </w:pPr>
    </w:p>
    <w:p>
      <w:pPr>
        <w:pStyle w:val="2"/>
        <w:keepNext w:val="0"/>
        <w:keepLines w:val="0"/>
        <w:pageBreakBefore w:val="0"/>
        <w:kinsoku/>
        <w:wordWrap/>
        <w:topLinePunct w:val="0"/>
        <w:autoSpaceDE/>
        <w:autoSpaceDN/>
        <w:bidi w:val="0"/>
        <w:spacing w:line="560" w:lineRule="exact"/>
        <w:ind w:left="0" w:leftChars="0" w:firstLine="0" w:firstLineChars="0"/>
        <w:textAlignment w:val="auto"/>
        <w:rPr>
          <w:rFonts w:hint="eastAsia"/>
          <w:color w:val="auto"/>
          <w:highlight w:val="none"/>
        </w:rPr>
      </w:pPr>
    </w:p>
    <w:p>
      <w:pPr>
        <w:keepNext w:val="0"/>
        <w:keepLines w:val="0"/>
        <w:pageBreakBefore w:val="0"/>
        <w:kinsoku/>
        <w:wordWrap/>
        <w:topLinePunct w:val="0"/>
        <w:autoSpaceDE/>
        <w:autoSpaceDN/>
        <w:bidi w:val="0"/>
        <w:snapToGrid w:val="0"/>
        <w:spacing w:line="560" w:lineRule="exact"/>
        <w:jc w:val="center"/>
        <w:textAlignment w:val="auto"/>
        <w:rPr>
          <w:rFonts w:hint="eastAsia" w:ascii="仿宋_GB2312" w:hAnsi="仿宋_GB2312" w:eastAsia="方正小标宋简体" w:cs="方正小标宋简体"/>
          <w:bCs/>
          <w:color w:val="auto"/>
          <w:sz w:val="44"/>
          <w:szCs w:val="44"/>
          <w:highlight w:val="none"/>
        </w:rPr>
      </w:pPr>
      <w:r>
        <w:rPr>
          <w:rFonts w:hint="eastAsia" w:ascii="宋体" w:hAnsi="宋体" w:eastAsia="宋体" w:cs="宋体"/>
          <w:b/>
          <w:bCs/>
          <w:color w:val="auto"/>
          <w:sz w:val="32"/>
          <w:szCs w:val="32"/>
          <w:highlight w:val="none"/>
        </w:rPr>
        <w:t>深圳市龙华区工业和信息化局 制</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楷体_GB2312" w:hAnsi="宋体" w:eastAsia="楷体_GB2312"/>
          <w:b/>
          <w:bCs/>
          <w:color w:val="000000" w:themeColor="text1"/>
          <w:highlight w:val="none"/>
          <w14:textFill>
            <w14:solidFill>
              <w14:schemeClr w14:val="tx1"/>
            </w14:solidFill>
          </w14:textFill>
        </w:rPr>
      </w:pPr>
      <w:r>
        <w:rPr>
          <w:rFonts w:hint="eastAsia" w:ascii="楷体_GB2312" w:hAnsi="宋体" w:eastAsia="楷体_GB2312"/>
          <w:b/>
          <w:bCs/>
          <w:color w:val="000000" w:themeColor="text1"/>
          <w:sz w:val="32"/>
          <w:highlight w:val="none"/>
          <w14:textFill>
            <w14:solidFill>
              <w14:schemeClr w14:val="tx1"/>
            </w14:solidFill>
          </w14:textFill>
        </w:rPr>
        <w:br w:type="page"/>
      </w:r>
    </w:p>
    <w:p>
      <w:pPr>
        <w:pStyle w:val="5"/>
        <w:keepNext w:val="0"/>
        <w:keepLines w:val="0"/>
        <w:pageBreakBefore w:val="0"/>
        <w:kinsoku/>
        <w:wordWrap/>
        <w:topLinePunct w:val="0"/>
        <w:autoSpaceDE/>
        <w:autoSpaceDN/>
        <w:bidi w:val="0"/>
        <w:spacing w:line="560" w:lineRule="exact"/>
        <w:ind w:firstLine="573"/>
        <w:textAlignment w:val="auto"/>
        <w:rPr>
          <w:rFonts w:hint="eastAsia" w:ascii="CESI仿宋-GB2312" w:hAnsi="CESI仿宋-GB2312" w:eastAsia="CESI仿宋-GB2312" w:cs="CESI仿宋-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根据《深圳市工业及其他产业用地供应管理办法》（深府规﹝2019﹞4号）（以下简称《管理办法》）、《深圳市优质产业空间供给试点改革方案》（深府函﹝20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号）（以下简称《改革方案》），</w:t>
      </w:r>
      <w:r>
        <w:rPr>
          <w:rFonts w:hint="eastAsia" w:ascii="仿宋_GB2312" w:hAnsi="仿宋_GB2312" w:eastAsia="仿宋_GB2312" w:cs="仿宋_GB2312"/>
          <w:color w:val="000000" w:themeColor="text1"/>
          <w:sz w:val="32"/>
          <w:szCs w:val="32"/>
          <w:highlight w:val="none"/>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保障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区产业发展用地</w:t>
      </w:r>
      <w:r>
        <w:rPr>
          <w:rFonts w:hint="eastAsia" w:ascii="仿宋_GB2312" w:hAnsi="仿宋_GB2312" w:eastAsia="仿宋_GB2312" w:cs="仿宋_GB2312"/>
          <w:color w:val="000000" w:themeColor="text1"/>
          <w:sz w:val="32"/>
          <w:szCs w:val="32"/>
          <w14:textFill>
            <w14:solidFill>
              <w14:schemeClr w14:val="tx1"/>
            </w14:solidFill>
          </w14:textFill>
        </w:rPr>
        <w:t>需求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切实履行产业监管相关要求，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甲方代表深圳市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区人民政府，与乙方、丙方协商一致，订立此协议。</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一、本协议当事人</w:t>
      </w:r>
    </w:p>
    <w:p>
      <w:pPr>
        <w:keepNext w:val="0"/>
        <w:keepLines w:val="0"/>
        <w:pageBreakBefore w:val="0"/>
        <w:kinsoku/>
        <w:wordWrap/>
        <w:overflowPunct/>
        <w:topLinePunct w:val="0"/>
        <w:autoSpaceDE/>
        <w:autoSpaceDN/>
        <w:bidi w:val="0"/>
        <w:adjustRightInd w:val="0"/>
        <w:snapToGrid w:val="0"/>
        <w:spacing w:line="560" w:lineRule="exact"/>
        <w:ind w:left="630" w:leftChars="3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职务：</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149" w:leftChars="-71" w:firstLine="800" w:firstLineChars="250"/>
        <w:jc w:val="left"/>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地址: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149" w:leftChars="-71" w:firstLine="800" w:firstLineChars="250"/>
        <w:jc w:val="left"/>
        <w:textAlignment w:val="auto"/>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电话：</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left="630" w:leftChars="3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乙方（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平台企业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统一社会信用代码：</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职务：</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tabs>
          <w:tab w:val="left" w:pos="522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position w:val="-32"/>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地址：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tabs>
          <w:tab w:val="left" w:pos="270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电话：</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tabs>
          <w:tab w:val="left" w:pos="270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left="630" w:leftChars="3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w:t>
      </w:r>
      <w:r>
        <w:rPr>
          <w:rFonts w:hint="eastAsia" w:ascii="仿宋_GB2312" w:hAnsi="仿宋_GB2312" w:eastAsia="仿宋_GB2312" w:cs="仿宋_GB2312"/>
          <w:color w:val="000000" w:themeColor="text1"/>
          <w:sz w:val="32"/>
          <w:szCs w:val="32"/>
          <w:highlight w:val="none"/>
          <w14:textFill>
            <w14:solidFill>
              <w14:schemeClr w14:val="tx1"/>
            </w14:solidFill>
          </w14:textFill>
        </w:rPr>
        <w:t>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购房企业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统一社会信用代码：</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职务：</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tabs>
          <w:tab w:val="left" w:pos="522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position w:val="-32"/>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地址：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tabs>
          <w:tab w:val="left" w:pos="2700"/>
        </w:tabs>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color w:val="000000" w:themeColor="text1"/>
          <w:sz w:val="30"/>
          <w:szCs w:val="30"/>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电话：</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二、</w:t>
      </w:r>
      <w:r>
        <w:rPr>
          <w:rFonts w:hint="eastAsia" w:ascii="黑体" w:hAnsi="黑体" w:eastAsia="黑体" w:cs="黑体"/>
          <w:b w:val="0"/>
          <w:bCs/>
          <w:color w:val="000000" w:themeColor="text1"/>
          <w:sz w:val="32"/>
          <w:szCs w:val="32"/>
          <w:highlight w:val="none"/>
          <w14:textFill>
            <w14:solidFill>
              <w14:schemeClr w14:val="tx1"/>
            </w14:solidFill>
          </w14:textFill>
        </w:rPr>
        <w:t>地块基本情况</w:t>
      </w:r>
    </w:p>
    <w:p>
      <w:pPr>
        <w:keepNext w:val="0"/>
        <w:keepLines w:val="0"/>
        <w:pageBreakBefore w:val="0"/>
        <w:kinsoku/>
        <w:wordWrap/>
        <w:overflowPunct/>
        <w:topLinePunct w:val="0"/>
        <w:autoSpaceDE/>
        <w:autoSpaceDN/>
        <w:bidi w:val="0"/>
        <w:adjustRightInd w:val="0"/>
        <w:snapToGrid w:val="0"/>
        <w:spacing w:line="560" w:lineRule="exact"/>
        <w:ind w:left="630" w:leftChars="300" w:firstLine="0" w:firstLineChars="0"/>
        <w:textAlignment w:val="auto"/>
        <w:rPr>
          <w:rFonts w:hint="eastAsia" w:ascii="仿宋_GB2312" w:hAnsi="仿宋_GB2312" w:eastAsia="仿宋_GB2312" w:cs="仿宋_GB2312"/>
          <w:bC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宗地编号：</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Cs w:val="0"/>
          <w:color w:val="000000" w:themeColor="text1"/>
          <w:spacing w:val="0"/>
          <w:sz w:val="32"/>
          <w:szCs w:val="32"/>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土地位置：</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textAlignment w:val="auto"/>
        <w:rPr>
          <w:rFonts w:hint="eastAsia" w:ascii="仿宋_GB2312" w:hAnsi="仿宋_GB2312" w:eastAsia="仿宋_GB2312" w:cs="仿宋_GB2312"/>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土地用途</w:t>
      </w:r>
      <w:r>
        <w:rPr>
          <w:rFonts w:hint="eastAsia" w:ascii="仿宋_GB2312" w:hAnsi="仿宋_GB2312" w:eastAsia="仿宋_GB2312" w:cs="仿宋_GB2312"/>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firstLine="0"/>
        <w:textAlignment w:val="auto"/>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总用地面积（平方米）：</w:t>
      </w:r>
      <w:r>
        <w:rPr>
          <w:rFonts w:hint="eastAsia" w:ascii="仿宋_GB2312" w:hAnsi="仿宋_GB2312" w:eastAsia="仿宋_GB2312" w:cs="仿宋_GB2312"/>
          <w:bCs w:val="0"/>
          <w:color w:val="000000" w:themeColor="text1"/>
          <w:spacing w:val="0"/>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pacing w:val="0"/>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Cs w:val="0"/>
          <w:color w:val="000000" w:themeColor="text1"/>
          <w:spacing w:val="0"/>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pacing w:val="0"/>
          <w:sz w:val="32"/>
          <w:szCs w:val="32"/>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firstLine="0"/>
        <w:textAlignment w:val="auto"/>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总建筑面积（平方米）：</w:t>
      </w:r>
      <w:r>
        <w:rPr>
          <w:rFonts w:hint="eastAsia" w:ascii="仿宋_GB2312" w:hAnsi="仿宋_GB2312" w:eastAsia="仿宋_GB2312" w:cs="仿宋_GB2312"/>
          <w:bCs w:val="0"/>
          <w:color w:val="000000" w:themeColor="text1"/>
          <w:spacing w:val="0"/>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pacing w:val="0"/>
          <w:sz w:val="32"/>
          <w:szCs w:val="32"/>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firstLine="0" w:firstLineChars="0"/>
        <w:textAlignment w:val="auto"/>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项目名称：</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630" w:leftChars="300" w:firstLine="0"/>
        <w:textAlignment w:val="auto"/>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土地使用年期（年）：</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 xml:space="preserve"> </w:t>
      </w:r>
    </w:p>
    <w:p>
      <w:pPr>
        <w:keepNext w:val="0"/>
        <w:keepLines w:val="0"/>
        <w:pageBreakBefore w:val="0"/>
        <w:kinsoku/>
        <w:wordWrap/>
        <w:overflowPunct w:val="0"/>
        <w:topLinePunct w:val="0"/>
        <w:autoSpaceDE/>
        <w:autoSpaceDN/>
        <w:bidi w:val="0"/>
        <w:adjustRightInd/>
        <w:snapToGrid/>
        <w:spacing w:line="560" w:lineRule="exact"/>
        <w:ind w:left="0" w:firstLine="640" w:firstLineChars="200"/>
        <w:textAlignment w:val="auto"/>
        <w:outlineLvl w:val="9"/>
        <w:rPr>
          <w:rFonts w:hint="eastAsia" w:ascii="CESI黑体-GB2312" w:hAnsi="CESI黑体-GB2312" w:eastAsia="CESI黑体-GB2312" w:cs="CESI黑体-GB2312"/>
          <w:b w:val="0"/>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Cs/>
          <w:color w:val="auto"/>
          <w:sz w:val="32"/>
          <w:szCs w:val="32"/>
          <w:highlight w:val="none"/>
          <w:lang w:eastAsia="zh-CN"/>
        </w:rPr>
        <w:t>（上述情况以土地出让合同及其补充协议约定内容为准）</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三、</w:t>
      </w:r>
      <w:r>
        <w:rPr>
          <w:rFonts w:hint="eastAsia" w:ascii="黑体" w:hAnsi="黑体" w:eastAsia="黑体" w:cs="黑体"/>
          <w:bCs/>
          <w:color w:val="000000" w:themeColor="text1"/>
          <w:sz w:val="32"/>
          <w:szCs w:val="32"/>
          <w:highlight w:val="none"/>
          <w14:textFill>
            <w14:solidFill>
              <w14:schemeClr w14:val="tx1"/>
            </w14:solidFill>
          </w14:textFill>
        </w:rPr>
        <w:t>标的物业的基本情况</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经甲方同意，乙方与丙方签署合同编号为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的《深圳市产业用房及配套用房买卖合同（预售）》（下称《买卖合同》），由丙方购买乙方在本协议第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条约定地块上建成的优质产业空间（下称“标的物业”），建筑面积为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平方米，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其中厂房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平方米，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坐落</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单元/座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）；宿舍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平方米，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坐落</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单元/座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具体以标的物业不动产权证记载内容为准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（如有，</w:t>
      </w:r>
      <w:r>
        <w:rPr>
          <w:rFonts w:hint="eastAsia" w:ascii="仿宋_GB2312" w:hAnsi="仿宋_GB2312" w:eastAsia="仿宋_GB2312" w:cs="仿宋_GB2312"/>
          <w:color w:val="000000" w:themeColor="text1"/>
          <w:sz w:val="32"/>
          <w:szCs w:val="32"/>
          <w:highlight w:val="none"/>
          <w14:textFill>
            <w14:solidFill>
              <w14:schemeClr w14:val="tx1"/>
            </w14:solidFill>
          </w14:textFill>
        </w:rPr>
        <w:t>不动产证号：</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四</w:t>
      </w:r>
      <w:r>
        <w:rPr>
          <w:rFonts w:hint="eastAsia" w:ascii="黑体" w:hAnsi="黑体" w:eastAsia="黑体" w:cs="黑体"/>
          <w:b w:val="0"/>
          <w:bCs/>
          <w:color w:val="000000" w:themeColor="text1"/>
          <w:sz w:val="32"/>
          <w:szCs w:val="32"/>
          <w:highlight w:val="none"/>
          <w14:textFill>
            <w14:solidFill>
              <w14:schemeClr w14:val="tx1"/>
            </w14:solidFill>
          </w14:textFill>
        </w:rPr>
        <w:t>、甲方权利和义务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甲方根据《改革方案》和有关产业用房的政策文件等规定以及本协议的约定，核准丙方购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买</w:t>
      </w:r>
      <w:r>
        <w:rPr>
          <w:rFonts w:hint="eastAsia" w:ascii="仿宋_GB2312" w:hAnsi="仿宋_GB2312" w:eastAsia="仿宋_GB2312" w:cs="仿宋_GB2312"/>
          <w:color w:val="000000" w:themeColor="text1"/>
          <w:sz w:val="32"/>
          <w:szCs w:val="32"/>
          <w:highlight w:val="none"/>
          <w14:textFill>
            <w14:solidFill>
              <w14:schemeClr w14:val="tx1"/>
            </w14:solidFill>
          </w14:textFill>
        </w:rPr>
        <w:t>优质产业空间的资格条件，审查丙方退出标的物业的情形等。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土地使用年期内</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，甲方</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有权</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自行或委托专业机构对本协议约定事项的履行情况进行核查；乙方</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highlight w:val="none"/>
          <w:lang w:val="en-US" w:eastAsia="zh-CN"/>
          <w14:textFill>
            <w14:solidFill>
              <w14:schemeClr w14:val="tx1"/>
            </w14:solidFill>
          </w14:textFill>
        </w:rPr>
        <w:t>丙方</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应当配合，提供核查所需的文件、资料和数据等。</w:t>
      </w:r>
    </w:p>
    <w:p>
      <w:pPr>
        <w:keepNext w:val="0"/>
        <w:keepLines w:val="0"/>
        <w:pageBreakBefore w:val="0"/>
        <w:kinsoku/>
        <w:wordWrap/>
        <w:topLinePunct w:val="0"/>
        <w:autoSpaceDE/>
        <w:autoSpaceDN/>
        <w:bidi w:val="0"/>
        <w:adjustRightInd w:val="0"/>
        <w:snapToGrid w:val="0"/>
        <w:spacing w:line="560" w:lineRule="exact"/>
        <w:ind w:left="0" w:firstLine="640" w:firstLineChars="200"/>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（三）</w:t>
      </w:r>
      <w:r>
        <w:rPr>
          <w:rFonts w:hint="eastAsia" w:ascii="仿宋_GB2312" w:hAnsi="仿宋_GB2312" w:eastAsia="仿宋_GB2312" w:cs="仿宋_GB2312"/>
          <w:color w:val="auto"/>
          <w:sz w:val="32"/>
          <w:szCs w:val="32"/>
          <w:highlight w:val="none"/>
          <w:u w:val="none"/>
        </w:rPr>
        <w:t>经核查，乙方</w:t>
      </w:r>
      <w:r>
        <w:rPr>
          <w:rFonts w:hint="eastAsia" w:ascii="仿宋_GB2312" w:hAnsi="仿宋_GB2312" w:eastAsia="仿宋_GB2312" w:cs="仿宋_GB2312"/>
          <w:color w:val="auto"/>
          <w:sz w:val="32"/>
          <w:szCs w:val="32"/>
          <w:highlight w:val="none"/>
          <w:u w:val="none"/>
          <w:lang w:eastAsia="zh-CN"/>
        </w:rPr>
        <w:t>或丙方</w:t>
      </w:r>
      <w:r>
        <w:rPr>
          <w:rFonts w:hint="eastAsia" w:ascii="仿宋_GB2312" w:hAnsi="仿宋_GB2312" w:eastAsia="仿宋_GB2312" w:cs="仿宋_GB2312"/>
          <w:color w:val="auto"/>
          <w:sz w:val="32"/>
          <w:szCs w:val="32"/>
          <w:highlight w:val="none"/>
          <w:u w:val="none"/>
        </w:rPr>
        <w:t>未能达到本协议书所约定事项要求的，甲方可</w:t>
      </w:r>
      <w:r>
        <w:rPr>
          <w:rFonts w:hint="eastAsia" w:ascii="仿宋_GB2312" w:hAnsi="仿宋_GB2312" w:eastAsia="仿宋_GB2312" w:cs="仿宋_GB2312"/>
          <w:color w:val="auto"/>
          <w:sz w:val="32"/>
          <w:szCs w:val="32"/>
          <w:highlight w:val="none"/>
          <w:u w:val="none"/>
          <w:lang w:eastAsia="zh-CN"/>
        </w:rPr>
        <w:t>责令其限期改正或</w:t>
      </w:r>
      <w:r>
        <w:rPr>
          <w:rFonts w:hint="eastAsia" w:ascii="仿宋_GB2312" w:hAnsi="仿宋_GB2312" w:eastAsia="仿宋_GB2312" w:cs="仿宋_GB2312"/>
          <w:color w:val="auto"/>
          <w:sz w:val="32"/>
          <w:szCs w:val="32"/>
          <w:highlight w:val="none"/>
          <w:u w:val="none"/>
        </w:rPr>
        <w:t>按照本协议书违约责任的约定进行责任追究。</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b w:val="0"/>
          <w:bCs/>
          <w:color w:val="000000" w:themeColor="text1"/>
          <w:sz w:val="32"/>
          <w:szCs w:val="32"/>
          <w:highlight w:val="none"/>
          <w14:textFill>
            <w14:solidFill>
              <w14:schemeClr w14:val="tx1"/>
            </w14:solidFill>
          </w14:textFill>
        </w:rPr>
        <w:t>乙方权利和义务</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乙方按照本协议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约定</w:t>
      </w:r>
      <w:r>
        <w:rPr>
          <w:rFonts w:hint="eastAsia" w:ascii="仿宋_GB2312" w:hAnsi="仿宋_GB2312" w:eastAsia="仿宋_GB2312" w:cs="仿宋_GB2312"/>
          <w:color w:val="000000" w:themeColor="text1"/>
          <w:sz w:val="32"/>
          <w:szCs w:val="32"/>
          <w:highlight w:val="none"/>
          <w14:textFill>
            <w14:solidFill>
              <w14:schemeClr w14:val="tx1"/>
            </w14:solidFill>
          </w14:textFill>
        </w:rPr>
        <w:t>内容并经甲方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事先书面</w:t>
      </w:r>
      <w:r>
        <w:rPr>
          <w:rFonts w:hint="eastAsia" w:ascii="仿宋_GB2312" w:hAnsi="仿宋_GB2312" w:eastAsia="仿宋_GB2312" w:cs="仿宋_GB2312"/>
          <w:color w:val="000000" w:themeColor="text1"/>
          <w:sz w:val="32"/>
          <w:szCs w:val="32"/>
          <w:highlight w:val="none"/>
          <w14:textFill>
            <w14:solidFill>
              <w14:schemeClr w14:val="tx1"/>
            </w14:solidFill>
          </w14:textFill>
        </w:rPr>
        <w:t>核准，向丙方提供优质产业空间。</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（二）</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乙</w:t>
      </w:r>
      <w:r>
        <w:rPr>
          <w:rFonts w:hint="eastAsia" w:ascii="仿宋_GB2312" w:hAnsi="仿宋_GB2312" w:eastAsia="仿宋_GB2312" w:cs="仿宋_GB2312"/>
          <w:color w:val="000000" w:themeColor="text1"/>
          <w:sz w:val="32"/>
          <w:szCs w:val="32"/>
          <w:highlight w:val="none"/>
          <w14:textFill>
            <w14:solidFill>
              <w14:schemeClr w14:val="tx1"/>
            </w14:solidFill>
          </w14:textFill>
        </w:rPr>
        <w:t>方作为产业园区的运营服务方，应定期对分割销售购房企业进行巡查、经济数据收集，对购房企业在使用期间出现违反产业监管协议或《改革方案》约定的行为，应及时告知购房企业整改，并将购房企业的违约情况及相关材料报送给甲方。乙方应协助甲方对分割销售购房企业进行专业履约核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和违约处理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乙方应配合甲方对符合退出条件的丙方进行清退。</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b w:val="0"/>
          <w:bCs/>
          <w:color w:val="000000" w:themeColor="text1"/>
          <w:sz w:val="32"/>
          <w:szCs w:val="32"/>
          <w:highlight w:val="none"/>
          <w:lang w:eastAsia="zh-CN"/>
          <w14:textFill>
            <w14:solidFill>
              <w14:schemeClr w14:val="tx1"/>
            </w14:solidFill>
          </w14:textFill>
        </w:rPr>
        <w:t>丙</w:t>
      </w:r>
      <w:r>
        <w:rPr>
          <w:rFonts w:hint="eastAsia" w:ascii="黑体" w:hAnsi="黑体" w:eastAsia="黑体" w:cs="黑体"/>
          <w:b w:val="0"/>
          <w:bCs/>
          <w:color w:val="000000" w:themeColor="text1"/>
          <w:sz w:val="32"/>
          <w:szCs w:val="32"/>
          <w:highlight w:val="none"/>
          <w14:textFill>
            <w14:solidFill>
              <w14:schemeClr w14:val="tx1"/>
            </w14:solidFill>
          </w14:textFill>
        </w:rPr>
        <w:t>方权利和义务</w:t>
      </w:r>
    </w:p>
    <w:p>
      <w:pPr>
        <w:keepNext w:val="0"/>
        <w:keepLines w:val="0"/>
        <w:pageBreakBefore w:val="0"/>
        <w:numPr>
          <w:ilvl w:val="-1"/>
          <w:numId w:val="0"/>
        </w:numPr>
        <w:kinsoku/>
        <w:wordWrap/>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丙方应按照本协议约定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和《改革方案》的规定</w:t>
      </w:r>
      <w:r>
        <w:rPr>
          <w:rFonts w:hint="eastAsia" w:ascii="仿宋_GB2312" w:hAnsi="仿宋_GB2312" w:eastAsia="仿宋_GB2312" w:cs="仿宋_GB2312"/>
          <w:color w:val="000000" w:themeColor="text1"/>
          <w:sz w:val="32"/>
          <w:szCs w:val="32"/>
          <w:highlight w:val="none"/>
          <w14:textFill>
            <w14:solidFill>
              <w14:schemeClr w14:val="tx1"/>
            </w14:solidFill>
          </w14:textFill>
        </w:rPr>
        <w:t>使用标的物业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，并配合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方核查，提供核查所需文件、资料和数据等</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（二）丙方承诺：</w:t>
      </w:r>
    </w:p>
    <w:p>
      <w:pPr>
        <w:keepNext w:val="0"/>
        <w:keepLines w:val="0"/>
        <w:pageBreakBefore w:val="0"/>
        <w:kinsoku/>
        <w:wordWrap/>
        <w:overflowPunct/>
        <w:topLinePunct w:val="0"/>
        <w:autoSpaceDE/>
        <w:autoSpaceDN/>
        <w:bidi w:val="0"/>
        <w:adjustRightInd w:val="0"/>
        <w:snapToGrid w:val="0"/>
        <w:spacing w:line="560" w:lineRule="exact"/>
        <w:ind w:left="0" w:leftChars="0" w:firstLine="684" w:firstLineChars="213"/>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1.产业准入条件</w:t>
      </w:r>
    </w:p>
    <w:p>
      <w:pPr>
        <w:keepNext w:val="0"/>
        <w:keepLines w:val="0"/>
        <w:pageBreakBefore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u w:val="single"/>
          <w:lang w:eastAsia="zh-CN"/>
        </w:rPr>
        <w:t>标的物业仅用于发展</w:t>
      </w:r>
      <w:r>
        <w:rPr>
          <w:rFonts w:hint="eastAsia" w:ascii="仿宋_GB2312" w:hAnsi="仿宋_GB2312" w:eastAsia="仿宋_GB2312" w:cs="仿宋_GB2312"/>
          <w:color w:val="auto"/>
          <w:sz w:val="32"/>
          <w:szCs w:val="32"/>
          <w:highlight w:val="none"/>
          <w:u w:val="single"/>
        </w:rPr>
        <w:t>《深圳市产业结构调整优化和产业导向目录（2016年修订）》中鼓励发展类</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firstLine="684" w:firstLineChars="213"/>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2.产出效率和节能环保</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）产出效率</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考核指标：自标的物业完成不动产登记之日起第一个</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年（含当年），即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日至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日（以下简称“承诺期”），丙方纳入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 xml:space="preserve">区统计的产值规模（营业收入）年均不得低于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10000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/平方米/年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增加值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不得低于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2500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/平方米/年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）、纳税额不得低于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500元/平方米/年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承诺指标：丙方承诺期内纳入龙华区统计的产值规模（营业收入）年均不低于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元（不低于2022年营业收入）、增加值不低于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元（2500元/平方米/年与2022年增加值取数高者）、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纳税额不低于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500元/平方米/年与2022年纳税取数高者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（2）节能环保</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标的物业产值能耗（单位工业总产值的能耗量）每年均不高</w:t>
      </w:r>
      <w:r>
        <w:rPr>
          <w:rFonts w:hint="eastAsia" w:ascii="仿宋_GB2312" w:hAnsi="仿宋_GB2312" w:eastAsia="仿宋_GB2312" w:cs="仿宋_GB2312"/>
          <w:b w:val="0"/>
          <w:bCs w:val="0"/>
          <w:color w:val="auto"/>
          <w:sz w:val="32"/>
          <w:szCs w:val="32"/>
          <w:highlight w:val="none"/>
        </w:rPr>
        <w:t>于</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吨标准煤/万元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u w:val="none"/>
        </w:rPr>
        <w:t>项目粉尘、废气、废水、废渣、磁辐射污染、噪声等的排放和产生符合国家、省、市环保政策和法律法规的标准和要求。</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auto"/>
          <w:kern w:val="0"/>
          <w:sz w:val="32"/>
          <w:szCs w:val="32"/>
          <w:highlight w:val="none"/>
          <w:u w:val="none"/>
          <w:lang w:val="en-US" w:eastAsia="zh-CN"/>
        </w:rPr>
        <w:t>（3）承诺期满，丙方符合本项产业效率考核指标要求、节能环保条件要求且未退出的，承诺期后重点监管产业发展规划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定位符合性。</w:t>
      </w:r>
    </w:p>
    <w:p>
      <w:pPr>
        <w:keepNext w:val="0"/>
        <w:keepLines w:val="0"/>
        <w:pageBreakBefore w:val="0"/>
        <w:kinsoku/>
        <w:wordWrap/>
        <w:overflowPunct/>
        <w:topLinePunct w:val="0"/>
        <w:autoSpaceDE/>
        <w:autoSpaceDN/>
        <w:bidi w:val="0"/>
        <w:adjustRightInd w:val="0"/>
        <w:snapToGrid w:val="0"/>
        <w:spacing w:line="560" w:lineRule="exact"/>
        <w:ind w:left="0" w:leftChars="0" w:firstLine="684" w:firstLineChars="213"/>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3.迁入限制</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w:t>
      </w:r>
      <w:r>
        <w:rPr>
          <w:rFonts w:hint="eastAsia" w:ascii="仿宋_GB2312" w:hAnsi="仿宋_GB2312" w:eastAsia="仿宋_GB2312" w:cs="仿宋_GB2312"/>
          <w:color w:val="000000" w:themeColor="text1"/>
          <w:sz w:val="32"/>
          <w:szCs w:val="32"/>
          <w:highlight w:val="none"/>
          <w14:textFill>
            <w14:solidFill>
              <w14:schemeClr w14:val="tx1"/>
            </w14:solidFill>
          </w14:textFill>
        </w:rPr>
        <w:t>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税务关系</w:t>
      </w:r>
      <w:r>
        <w:rPr>
          <w:rFonts w:hint="eastAsia" w:eastAsia="仿宋_GB2312" w:cs="仿宋_GB2312"/>
          <w:color w:val="auto"/>
          <w:kern w:val="0"/>
          <w:sz w:val="32"/>
          <w:szCs w:val="32"/>
          <w:highlight w:val="none"/>
          <w:u w:val="none"/>
          <w:lang w:eastAsia="zh-CN"/>
        </w:rPr>
        <w:t>、统计关系、实际经营地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在标的物业</w:t>
      </w:r>
      <w:r>
        <w:rPr>
          <w:rFonts w:hint="eastAsia" w:ascii="仿宋_GB2312" w:hAnsi="仿宋_GB2312" w:eastAsia="仿宋_GB2312" w:cs="仿宋_GB2312"/>
          <w:color w:val="000000" w:themeColor="text1"/>
          <w:sz w:val="32"/>
          <w:szCs w:val="32"/>
          <w:highlight w:val="none"/>
          <w14:textFill>
            <w14:solidFill>
              <w14:schemeClr w14:val="tx1"/>
            </w14:solidFill>
          </w14:textFill>
        </w:rPr>
        <w:t>的使用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期限内不得迁出</w:t>
      </w:r>
      <w:r>
        <w:rPr>
          <w:rFonts w:hint="eastAsia" w:eastAsia="仿宋_GB2312" w:cs="仿宋_GB2312"/>
          <w:color w:val="auto"/>
          <w:kern w:val="0"/>
          <w:sz w:val="32"/>
          <w:szCs w:val="32"/>
          <w:highlight w:val="none"/>
          <w:u w:val="none"/>
          <w:lang w:eastAsia="zh-CN"/>
        </w:rPr>
        <w:t>深圳市龙华区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w:t>
      </w:r>
      <w:r>
        <w:rPr>
          <w:rFonts w:hint="eastAsia" w:ascii="仿宋_GB2312" w:hAnsi="仿宋_GB2312" w:eastAsia="仿宋_GB2312" w:cs="仿宋_GB2312"/>
          <w:color w:val="000000" w:themeColor="text1"/>
          <w:sz w:val="32"/>
          <w:szCs w:val="32"/>
          <w:highlight w:val="none"/>
          <w14:textFill>
            <w14:solidFill>
              <w14:schemeClr w14:val="tx1"/>
            </w14:solidFill>
          </w14:textFill>
        </w:rPr>
        <w:t>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为龙华区外企业的</w:t>
      </w:r>
      <w:r>
        <w:rPr>
          <w:rFonts w:hint="eastAsia" w:ascii="仿宋_GB2312" w:hAnsi="仿宋_GB2312" w:eastAsia="仿宋_GB2312" w:cs="仿宋_GB2312"/>
          <w:color w:val="000000" w:themeColor="text1"/>
          <w:sz w:val="32"/>
          <w:szCs w:val="32"/>
          <w:highlight w:val="none"/>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自标的物业完成不动产登记之日起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三个月</w:t>
      </w:r>
      <w:r>
        <w:rPr>
          <w:rFonts w:hint="eastAsia" w:ascii="仿宋_GB2312" w:hAnsi="仿宋_GB2312" w:eastAsia="仿宋_GB2312" w:cs="仿宋_GB2312"/>
          <w:color w:val="000000" w:themeColor="text1"/>
          <w:sz w:val="32"/>
          <w:szCs w:val="32"/>
          <w:highlight w:val="none"/>
          <w14:textFill>
            <w14:solidFill>
              <w14:schemeClr w14:val="tx1"/>
            </w14:solidFill>
          </w14:textFill>
        </w:rPr>
        <w:t>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将税务</w:t>
      </w:r>
      <w:r>
        <w:rPr>
          <w:rFonts w:hint="eastAsia" w:eastAsia="仿宋_GB2312" w:cs="仿宋_GB2312"/>
          <w:color w:val="auto"/>
          <w:kern w:val="0"/>
          <w:sz w:val="32"/>
          <w:szCs w:val="32"/>
          <w:highlight w:val="none"/>
          <w:u w:val="none"/>
          <w:lang w:eastAsia="zh-CN"/>
        </w:rPr>
        <w:t>关系、统计关系、实际经营地迁入深圳市龙华区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84" w:firstLineChars="213"/>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转让限制</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）自完成不动产登记之日起未满5年的标的物业，原则上不允许转让。</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）丙方自标的物业完成不动产登记之日起，5年累计达到本协议第六条第（二）款第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约定的要求，可申请将其名下的标的物业进行转让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（其中5年累计产出效率中达到考核指标要求，但未达到承诺指标要求的，自完成不动产登记之日起8年内不得转让标的物业。）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房屋转让价格不得高于购置价格，不得以其他名义收取额外费用，区政府或其指定单位享有优先购买权；区政府及其指定单位放弃购买的，由甲方从遴选企业库中按程序选取次受让主体开展转让工作，次受让主体应与</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、乙方重新参照本协议签订产业发展监管协议。转让涉及的税费按照现行不动产转移登记的相关法律法规执行。</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）二次转让应按丙方办理标的物业不动产权登记时的证载面积为单位整体转让，不可分割转让</w:t>
      </w:r>
      <w:r>
        <w:rPr>
          <w:rFonts w:hint="eastAsia" w:ascii="仿宋_GB2312" w:hAnsi="仿宋_GB2312" w:eastAsia="仿宋_GB2312" w:cs="仿宋_GB2312"/>
          <w:b w:val="0"/>
          <w:i w:val="0"/>
          <w:caps w:val="0"/>
          <w:color w:val="000000" w:themeColor="text1"/>
          <w:spacing w:val="0"/>
          <w:sz w:val="32"/>
          <w:szCs w:val="32"/>
          <w:highlight w:val="none"/>
          <w:shd w:val="clear"/>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5.出租、</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抵押限制</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丙方购买的标的物业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限定自用，</w:t>
      </w:r>
      <w:r>
        <w:rPr>
          <w:rFonts w:hint="eastAsia" w:ascii="仿宋_GB2312" w:hAnsi="仿宋_GB2312" w:eastAsia="仿宋_GB2312" w:cs="仿宋_GB2312"/>
          <w:color w:val="000000" w:themeColor="text1"/>
          <w:sz w:val="32"/>
          <w:szCs w:val="32"/>
          <w:highlight w:val="none"/>
          <w14:textFill>
            <w14:solidFill>
              <w14:schemeClr w14:val="tx1"/>
            </w14:solidFill>
          </w14:textFill>
        </w:rPr>
        <w:t>允许抵押，但抵押金额不得超过不动产剩余年期的建（构）筑物残值。</w:t>
      </w:r>
    </w:p>
    <w:p>
      <w:pPr>
        <w:pStyle w:val="3"/>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强制执行</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丙方因人民法院强制执行拍卖或者变卖标的物业所有权的，次受让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应当符合原受让人资格条件，并应当承接原《买卖合同》及本协议规定的责任及义务。人民法院强制执行又无符合条件的次受让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的，标的物业由区政府或其指定单位回购。</w:t>
      </w:r>
    </w:p>
    <w:p>
      <w:pPr>
        <w:pStyle w:val="2"/>
        <w:keepNext w:val="0"/>
        <w:keepLines w:val="0"/>
        <w:pageBreakBefore w:val="0"/>
        <w:numPr>
          <w:ilvl w:val="-1"/>
          <w:numId w:val="0"/>
        </w:numPr>
        <w:kinsoku/>
        <w:wordWrap/>
        <w:topLinePunct w:val="0"/>
        <w:autoSpaceDE/>
        <w:autoSpaceDN/>
        <w:bidi w:val="0"/>
        <w:spacing w:line="560" w:lineRule="exact"/>
        <w:ind w:firstLine="642"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7.股权变更限制</w:t>
      </w:r>
    </w:p>
    <w:p>
      <w:pPr>
        <w:pStyle w:val="2"/>
        <w:keepNext w:val="0"/>
        <w:keepLines w:val="0"/>
        <w:pageBreakBefore w:val="0"/>
        <w:numPr>
          <w:ilvl w:val="-1"/>
          <w:numId w:val="0"/>
        </w:numPr>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auto"/>
          <w:sz w:val="32"/>
          <w:szCs w:val="32"/>
          <w:highlight w:val="none"/>
          <w:u w:val="none"/>
          <w:lang w:eastAsia="zh-CN"/>
        </w:rPr>
        <w:t>原则上丙方</w:t>
      </w:r>
      <w:r>
        <w:rPr>
          <w:rFonts w:hint="eastAsia" w:ascii="仿宋_GB2312" w:hAnsi="仿宋_GB2312" w:eastAsia="仿宋_GB2312" w:cs="仿宋_GB2312"/>
          <w:color w:val="000000" w:themeColor="text1"/>
          <w:sz w:val="32"/>
          <w:szCs w:val="32"/>
          <w:highlight w:val="none"/>
          <w14:textFill>
            <w14:solidFill>
              <w14:schemeClr w14:val="tx1"/>
            </w14:solidFill>
          </w14:textFill>
        </w:rPr>
        <w:t>在使用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标的物业</w:t>
      </w:r>
      <w:r>
        <w:rPr>
          <w:rFonts w:hint="eastAsia" w:ascii="仿宋_GB2312" w:hAnsi="仿宋_GB2312" w:eastAsia="仿宋_GB2312" w:cs="仿宋_GB2312"/>
          <w:color w:val="000000" w:themeColor="text1"/>
          <w:sz w:val="32"/>
          <w:szCs w:val="32"/>
          <w:highlight w:val="none"/>
          <w14:textFill>
            <w14:solidFill>
              <w14:schemeClr w14:val="tx1"/>
            </w14:solidFill>
          </w14:textFill>
        </w:rPr>
        <w:t>期间</w:t>
      </w:r>
      <w:r>
        <w:rPr>
          <w:rFonts w:hint="eastAsia" w:ascii="仿宋_GB2312" w:hAnsi="仿宋_GB2312" w:eastAsia="仿宋_GB2312" w:cs="仿宋_GB2312"/>
          <w:color w:val="auto"/>
          <w:kern w:val="0"/>
          <w:sz w:val="32"/>
          <w:szCs w:val="32"/>
          <w:highlight w:val="none"/>
          <w:u w:val="none"/>
        </w:rPr>
        <w:t>不得以股权转让（导致企业控股权或实际控制权发生变更的转让）或变更的方式变相转让</w:t>
      </w:r>
      <w:r>
        <w:rPr>
          <w:rFonts w:hint="eastAsia" w:ascii="仿宋_GB2312" w:hAnsi="仿宋_GB2312" w:eastAsia="仿宋_GB2312" w:cs="仿宋_GB2312"/>
          <w:color w:val="auto"/>
          <w:kern w:val="0"/>
          <w:sz w:val="32"/>
          <w:szCs w:val="32"/>
          <w:highlight w:val="none"/>
          <w:u w:val="none"/>
          <w:lang w:eastAsia="zh-CN"/>
        </w:rPr>
        <w:t>标的物业权属</w:t>
      </w:r>
      <w:r>
        <w:rPr>
          <w:rFonts w:hint="eastAsia" w:ascii="仿宋_GB2312" w:hAnsi="仿宋_GB2312" w:eastAsia="仿宋_GB2312" w:cs="仿宋_GB2312"/>
          <w:kern w:val="0"/>
          <w:sz w:val="32"/>
          <w:szCs w:val="32"/>
          <w:highlight w:val="none"/>
          <w:u w:val="none"/>
          <w:lang w:val="en-US" w:eastAsia="zh-CN"/>
        </w:rPr>
        <w:t>。</w:t>
      </w:r>
    </w:p>
    <w:p>
      <w:pPr>
        <w:pStyle w:val="2"/>
        <w:keepNext w:val="0"/>
        <w:keepLines w:val="0"/>
        <w:pageBreakBefore w:val="0"/>
        <w:numPr>
          <w:ilvl w:val="-1"/>
          <w:numId w:val="0"/>
        </w:numPr>
        <w:kinsoku/>
        <w:wordWrap/>
        <w:topLinePunct w:val="0"/>
        <w:autoSpaceDE/>
        <w:autoSpaceDN/>
        <w:bidi w:val="0"/>
        <w:spacing w:line="560" w:lineRule="exact"/>
        <w:ind w:firstLine="642"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8.封闭流转限制</w:t>
      </w:r>
    </w:p>
    <w:p>
      <w:pPr>
        <w:pStyle w:val="2"/>
        <w:keepNext w:val="0"/>
        <w:keepLines w:val="0"/>
        <w:pageBreakBefore w:val="0"/>
        <w:numPr>
          <w:ilvl w:val="-1"/>
          <w:numId w:val="0"/>
        </w:numPr>
        <w:kinsoku/>
        <w:wordWrap/>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标的物业使用及再次出售应按</w:t>
      </w:r>
      <w:r>
        <w:rPr>
          <w:rFonts w:hint="eastAsia" w:ascii="仿宋_GB2312" w:hAnsi="仿宋_GB2312" w:eastAsia="仿宋_GB2312" w:cs="仿宋_GB2312"/>
          <w:color w:val="000000" w:themeColor="text1"/>
          <w:sz w:val="32"/>
          <w:szCs w:val="32"/>
          <w:highlight w:val="none"/>
          <w14:textFill>
            <w14:solidFill>
              <w14:schemeClr w14:val="tx1"/>
            </w14:solidFill>
          </w14:textFill>
        </w:rPr>
        <w:t>《改革方案》</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相关要求进行。</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七</w:t>
      </w:r>
      <w:r>
        <w:rPr>
          <w:rFonts w:hint="eastAsia" w:ascii="黑体" w:hAnsi="黑体" w:eastAsia="黑体" w:cs="黑体"/>
          <w:b w:val="0"/>
          <w:bCs/>
          <w:color w:val="000000" w:themeColor="text1"/>
          <w:sz w:val="32"/>
          <w:szCs w:val="32"/>
          <w:highlight w:val="none"/>
          <w14:textFill>
            <w14:solidFill>
              <w14:schemeClr w14:val="tx1"/>
            </w14:solidFill>
          </w14:textFill>
        </w:rPr>
        <w:t>、</w:t>
      </w:r>
      <w:r>
        <w:rPr>
          <w:rFonts w:hint="eastAsia" w:ascii="黑体" w:hAnsi="黑体" w:eastAsia="黑体" w:cs="黑体"/>
          <w:b w:val="0"/>
          <w:bCs/>
          <w:color w:val="000000" w:themeColor="text1"/>
          <w:sz w:val="32"/>
          <w:szCs w:val="32"/>
          <w:highlight w:val="none"/>
          <w:lang w:eastAsia="zh-CN"/>
          <w14:textFill>
            <w14:solidFill>
              <w14:schemeClr w14:val="tx1"/>
            </w14:solidFill>
          </w14:textFill>
        </w:rPr>
        <w:t>违约</w:t>
      </w:r>
      <w:r>
        <w:rPr>
          <w:rFonts w:hint="eastAsia" w:ascii="黑体" w:hAnsi="黑体" w:eastAsia="黑体" w:cs="黑体"/>
          <w:b w:val="0"/>
          <w:bCs/>
          <w:color w:val="000000" w:themeColor="text1"/>
          <w:sz w:val="32"/>
          <w:szCs w:val="32"/>
          <w:highlight w:val="none"/>
          <w14:textFill>
            <w14:solidFill>
              <w14:schemeClr w14:val="tx1"/>
            </w14:solidFill>
          </w14:textFill>
        </w:rPr>
        <w:t>责任</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（一）履约核查内容及一般违约责任</w:t>
      </w:r>
    </w:p>
    <w:p>
      <w:pPr>
        <w:keepNext w:val="0"/>
        <w:keepLines w:val="0"/>
        <w:pageBreakBefore w:val="0"/>
        <w:numPr>
          <w:ilvl w:val="0"/>
          <w:numId w:val="0"/>
        </w:numPr>
        <w:kinsoku/>
        <w:wordWrap/>
        <w:topLinePunct w:val="0"/>
        <w:autoSpaceDE/>
        <w:autoSpaceDN/>
        <w:bidi w:val="0"/>
        <w:spacing w:line="560" w:lineRule="exact"/>
        <w:ind w:firstLine="640"/>
        <w:textAlignment w:val="auto"/>
        <w:outlineLvl w:val="9"/>
        <w:rPr>
          <w:rFonts w:hint="eastAsia" w:eastAsia="仿宋_GB2312" w:cs="仿宋_GB2312"/>
          <w:color w:val="auto"/>
          <w:kern w:val="0"/>
          <w:sz w:val="32"/>
          <w:szCs w:val="32"/>
          <w:highlight w:val="none"/>
          <w:u w:val="none"/>
          <w:lang w:eastAsia="zh-CN"/>
        </w:rPr>
      </w:pPr>
      <w:r>
        <w:rPr>
          <w:rFonts w:hint="eastAsia" w:eastAsia="仿宋_GB2312" w:cs="仿宋_GB2312"/>
          <w:color w:val="auto"/>
          <w:kern w:val="0"/>
          <w:sz w:val="32"/>
          <w:szCs w:val="32"/>
          <w:highlight w:val="none"/>
          <w:u w:val="none"/>
          <w:lang w:eastAsia="zh-CN"/>
        </w:rPr>
        <w:t>甲方应组织相关部门或委托第三方专业机构按照本协议约定及</w:t>
      </w:r>
      <w:r>
        <w:rPr>
          <w:rFonts w:hint="eastAsia" w:ascii="仿宋_GB2312" w:hAnsi="仿宋_GB2312" w:eastAsia="仿宋_GB2312" w:cs="仿宋_GB2312"/>
          <w:color w:val="000000" w:themeColor="text1"/>
          <w:sz w:val="32"/>
          <w:szCs w:val="32"/>
          <w:highlight w:val="none"/>
          <w14:textFill>
            <w14:solidFill>
              <w14:schemeClr w14:val="tx1"/>
            </w14:solidFill>
          </w14:textFill>
        </w:rPr>
        <w:t>《改革方案》</w:t>
      </w:r>
      <w:r>
        <w:rPr>
          <w:rFonts w:hint="eastAsia" w:eastAsia="仿宋_GB2312" w:cs="仿宋_GB2312"/>
          <w:color w:val="auto"/>
          <w:kern w:val="0"/>
          <w:sz w:val="32"/>
          <w:szCs w:val="32"/>
          <w:highlight w:val="none"/>
          <w:u w:val="none"/>
          <w:lang w:eastAsia="zh-CN"/>
        </w:rPr>
        <w:t>规定内容，对丙方进行履约情况核查。若经核查，丙方存在违约情况的，甲方可按照本协议约定及</w:t>
      </w:r>
      <w:r>
        <w:rPr>
          <w:rFonts w:hint="eastAsia" w:ascii="仿宋_GB2312" w:hAnsi="仿宋_GB2312" w:eastAsia="仿宋_GB2312" w:cs="仿宋_GB2312"/>
          <w:color w:val="000000" w:themeColor="text1"/>
          <w:sz w:val="32"/>
          <w:szCs w:val="32"/>
          <w:highlight w:val="none"/>
          <w14:textFill>
            <w14:solidFill>
              <w14:schemeClr w14:val="tx1"/>
            </w14:solidFill>
          </w14:textFill>
        </w:rPr>
        <w:t>《改革方案》</w:t>
      </w:r>
      <w:r>
        <w:rPr>
          <w:rFonts w:hint="eastAsia" w:eastAsia="仿宋_GB2312" w:cs="仿宋_GB2312"/>
          <w:color w:val="auto"/>
          <w:kern w:val="0"/>
          <w:sz w:val="32"/>
          <w:szCs w:val="32"/>
          <w:highlight w:val="none"/>
          <w:u w:val="none"/>
          <w:lang w:eastAsia="zh-CN"/>
        </w:rPr>
        <w:t>规定追究丙方的违约责任，将丙方及其法定代表人、负责人、股东、投资人等责任主体及丙方关联企业依法列入失信“黑名单”，并报送至市公共信用信息管理系统，请求各相关职责部门依法依规实施联合惩戒。在联合惩戒期限内，重点在政府采购、建设工程招投标、政府资金扶持、城市更新、土地竞拍等方面对失信主体予以限制。</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（二）违反产出效率的违约责任</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经核查，丙方纳入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区的产值规模（营业收入）未达到本协议第六条第（二）款第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2项考核指标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约定要求的，丙方应向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支付产值规模（营业收入）不足部分的1%作为该阶段性核查不合格违约金。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产值规模（营业收入）不足部分的1%=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核查期内企业考核指标约定要求的产值规模（营业收入）-核查期内企业实际形成的产值规模（营业收入）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×1%。</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.经核查，丙方纳入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区的增加值未达到本协议第六条第（二）款第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项考核指标约定要求的，丙方应向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甲</w:t>
      </w:r>
      <w:r>
        <w:rPr>
          <w:rFonts w:hint="eastAsia" w:ascii="仿宋_GB2312" w:hAnsi="仿宋_GB2312" w:eastAsia="仿宋_GB2312" w:cs="仿宋_GB2312"/>
          <w:bCs w:val="0"/>
          <w:color w:val="000000" w:themeColor="text1"/>
          <w:sz w:val="32"/>
          <w:szCs w:val="32"/>
          <w:highlight w:val="none"/>
          <w:lang w:val="en-US" w:eastAsia="zh-CN"/>
          <w14:textFill>
            <w14:solidFill>
              <w14:schemeClr w14:val="tx1"/>
            </w14:solidFill>
          </w14:textFill>
        </w:rPr>
        <w:t>方</w:t>
      </w:r>
      <w:r>
        <w:rPr>
          <w:rFonts w:hint="eastAsia" w:ascii="仿宋_GB2312" w:hAnsi="仿宋_GB2312" w:eastAsia="仿宋_GB2312" w:cs="仿宋_GB2312"/>
          <w:color w:val="000000" w:themeColor="text1"/>
          <w:sz w:val="32"/>
          <w:szCs w:val="32"/>
          <w:highlight w:val="none"/>
          <w14:textFill>
            <w14:solidFill>
              <w14:schemeClr w14:val="tx1"/>
            </w14:solidFill>
          </w14:textFill>
        </w:rPr>
        <w:t>支付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增加值不足部分的1%</w:t>
      </w:r>
      <w:r>
        <w:rPr>
          <w:rFonts w:hint="eastAsia" w:ascii="仿宋_GB2312" w:hAnsi="仿宋_GB2312" w:eastAsia="仿宋_GB2312" w:cs="仿宋_GB2312"/>
          <w:color w:val="000000" w:themeColor="text1"/>
          <w:sz w:val="32"/>
          <w:szCs w:val="32"/>
          <w:highlight w:val="none"/>
          <w14:textFill>
            <w14:solidFill>
              <w14:schemeClr w14:val="tx1"/>
            </w14:solidFill>
          </w14:textFill>
        </w:rPr>
        <w:t>作为该阶段性核查不合格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违约金。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增加值不足部分的1%=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核查期内企业考核指标约定要求的增加值-核查期内企业实际形成的增加值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×1%。</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经核查，丙方纳入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区的税收贡献未达到本协议第六条第（二）款第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项考核指标约定要求的，丙方应向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支付税收贡献不足部分作为该阶段性核查不合格违约金。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税收贡献不足部分=核查期内企业考核指标约定要求的税收贡献-核查期内企业实际形成的税收贡献。</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（三）违反产值能耗的违约责任</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经核查，丙方</w:t>
      </w:r>
      <w:r>
        <w:rPr>
          <w:rFonts w:hint="eastAsia" w:ascii="仿宋_GB2312" w:hAnsi="仿宋_GB2312" w:eastAsia="仿宋_GB2312" w:cs="仿宋_GB2312"/>
          <w:b w:val="0"/>
          <w:bCs w:val="0"/>
          <w:color w:val="auto"/>
          <w:kern w:val="0"/>
          <w:sz w:val="32"/>
          <w:szCs w:val="32"/>
          <w:highlight w:val="none"/>
          <w:u w:val="none"/>
          <w:lang w:eastAsia="zh-CN"/>
        </w:rPr>
        <w:t>产值</w:t>
      </w:r>
      <w:r>
        <w:rPr>
          <w:rFonts w:hint="eastAsia" w:ascii="仿宋_GB2312" w:hAnsi="仿宋_GB2312" w:eastAsia="仿宋_GB2312" w:cs="仿宋_GB2312"/>
          <w:b w:val="0"/>
          <w:bCs w:val="0"/>
          <w:color w:val="auto"/>
          <w:kern w:val="0"/>
          <w:sz w:val="32"/>
          <w:szCs w:val="32"/>
          <w:highlight w:val="none"/>
          <w:u w:val="none"/>
        </w:rPr>
        <w:t>能耗</w:t>
      </w:r>
      <w:r>
        <w:rPr>
          <w:rFonts w:hint="eastAsia" w:ascii="仿宋_GB2312" w:hAnsi="仿宋_GB2312" w:eastAsia="仿宋_GB2312" w:cs="仿宋_GB2312"/>
          <w:color w:val="000000" w:themeColor="text1"/>
          <w:sz w:val="32"/>
          <w:szCs w:val="32"/>
          <w:highlight w:val="none"/>
          <w14:textFill>
            <w14:solidFill>
              <w14:schemeClr w14:val="tx1"/>
            </w14:solidFill>
          </w14:textFill>
        </w:rPr>
        <w:t>未达到本协议第六条第（二）款第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2项</w:t>
      </w:r>
      <w:r>
        <w:rPr>
          <w:rFonts w:hint="eastAsia" w:ascii="仿宋_GB2312" w:hAnsi="仿宋_GB2312" w:eastAsia="仿宋_GB2312" w:cs="仿宋_GB2312"/>
          <w:color w:val="000000" w:themeColor="text1"/>
          <w:sz w:val="32"/>
          <w:szCs w:val="32"/>
          <w:highlight w:val="none"/>
          <w14:textFill>
            <w14:solidFill>
              <w14:schemeClr w14:val="tx1"/>
            </w14:solidFill>
          </w14:textFill>
        </w:rPr>
        <w:t>约定要求的，丙方应向</w:t>
      </w:r>
      <w:r>
        <w:rPr>
          <w:rFonts w:hint="eastAsia" w:ascii="仿宋_GB2312" w:hAnsi="仿宋_GB2312" w:eastAsia="仿宋_GB2312" w:cs="仿宋_GB2312"/>
          <w:bCs w:val="0"/>
          <w:color w:val="000000" w:themeColor="text1"/>
          <w:sz w:val="32"/>
          <w:szCs w:val="32"/>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14:textFill>
            <w14:solidFill>
              <w14:schemeClr w14:val="tx1"/>
            </w14:solidFill>
          </w14:textFill>
        </w:rPr>
        <w:t>支付</w:t>
      </w:r>
      <w:r>
        <w:rPr>
          <w:rFonts w:hint="eastAsia" w:ascii="仿宋_GB2312" w:hAnsi="仿宋_GB2312" w:eastAsia="仿宋_GB2312" w:cs="仿宋_GB2312"/>
          <w:b w:val="0"/>
          <w:bCs w:val="0"/>
          <w:color w:val="auto"/>
          <w:kern w:val="0"/>
          <w:sz w:val="32"/>
          <w:szCs w:val="32"/>
          <w:highlight w:val="none"/>
          <w:u w:val="none"/>
          <w:lang w:eastAsia="zh-CN"/>
        </w:rPr>
        <w:t>产值能耗</w:t>
      </w:r>
      <w:r>
        <w:rPr>
          <w:rFonts w:hint="eastAsia" w:ascii="仿宋_GB2312" w:hAnsi="仿宋_GB2312" w:eastAsia="仿宋_GB2312" w:cs="仿宋_GB2312"/>
          <w:b w:val="0"/>
          <w:bCs w:val="0"/>
          <w:color w:val="auto"/>
          <w:kern w:val="0"/>
          <w:sz w:val="32"/>
          <w:szCs w:val="32"/>
          <w:highlight w:val="none"/>
          <w:u w:val="none"/>
        </w:rPr>
        <w:t>超标部分能耗费用的10%</w:t>
      </w:r>
      <w:r>
        <w:rPr>
          <w:rFonts w:hint="eastAsia" w:ascii="仿宋_GB2312" w:hAnsi="仿宋_GB2312" w:eastAsia="仿宋_GB2312" w:cs="仿宋_GB2312"/>
          <w:color w:val="000000" w:themeColor="text1"/>
          <w:sz w:val="32"/>
          <w:szCs w:val="32"/>
          <w:highlight w:val="none"/>
          <w14:textFill>
            <w14:solidFill>
              <w14:schemeClr w14:val="tx1"/>
            </w14:solidFill>
          </w14:textFill>
        </w:rPr>
        <w:t>作为该阶段性核查不合格违约金。</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b w:val="0"/>
          <w:bCs w:val="0"/>
          <w:color w:val="auto"/>
          <w:kern w:val="0"/>
          <w:sz w:val="32"/>
          <w:szCs w:val="32"/>
          <w:highlight w:val="none"/>
          <w:u w:val="none"/>
          <w:lang w:eastAsia="zh-CN"/>
        </w:rPr>
        <w:t>产值能耗</w:t>
      </w:r>
      <w:r>
        <w:rPr>
          <w:rFonts w:hint="eastAsia" w:ascii="仿宋_GB2312" w:hAnsi="仿宋_GB2312" w:eastAsia="仿宋_GB2312" w:cs="仿宋_GB2312"/>
          <w:b w:val="0"/>
          <w:bCs w:val="0"/>
          <w:color w:val="auto"/>
          <w:kern w:val="0"/>
          <w:sz w:val="32"/>
          <w:szCs w:val="32"/>
          <w:highlight w:val="none"/>
          <w:u w:val="none"/>
        </w:rPr>
        <w:t>超标部分能耗费用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auto"/>
          <w:kern w:val="0"/>
          <w:sz w:val="32"/>
          <w:szCs w:val="32"/>
          <w:highlight w:val="none"/>
          <w:u w:val="none"/>
        </w:rPr>
        <w:t>（实际</w:t>
      </w:r>
      <w:r>
        <w:rPr>
          <w:rFonts w:hint="eastAsia" w:ascii="仿宋_GB2312" w:hAnsi="仿宋_GB2312" w:eastAsia="仿宋_GB2312" w:cs="仿宋_GB2312"/>
          <w:b w:val="0"/>
          <w:bCs w:val="0"/>
          <w:color w:val="auto"/>
          <w:kern w:val="0"/>
          <w:sz w:val="32"/>
          <w:szCs w:val="32"/>
          <w:highlight w:val="none"/>
          <w:u w:val="none"/>
          <w:lang w:eastAsia="zh-CN"/>
        </w:rPr>
        <w:t>产值能耗</w:t>
      </w:r>
      <w:r>
        <w:rPr>
          <w:rFonts w:hint="eastAsia" w:ascii="仿宋_GB2312" w:hAnsi="仿宋_GB2312" w:eastAsia="仿宋_GB2312" w:cs="仿宋_GB2312"/>
          <w:b w:val="0"/>
          <w:bCs w:val="0"/>
          <w:color w:val="auto"/>
          <w:kern w:val="0"/>
          <w:sz w:val="32"/>
          <w:szCs w:val="32"/>
          <w:highlight w:val="none"/>
          <w:u w:val="none"/>
        </w:rPr>
        <w:t>-承诺</w:t>
      </w:r>
      <w:r>
        <w:rPr>
          <w:rFonts w:hint="eastAsia" w:ascii="仿宋_GB2312" w:hAnsi="仿宋_GB2312" w:eastAsia="仿宋_GB2312" w:cs="仿宋_GB2312"/>
          <w:b w:val="0"/>
          <w:bCs w:val="0"/>
          <w:color w:val="auto"/>
          <w:kern w:val="0"/>
          <w:sz w:val="32"/>
          <w:szCs w:val="32"/>
          <w:highlight w:val="none"/>
          <w:u w:val="none"/>
          <w:lang w:eastAsia="zh-CN"/>
        </w:rPr>
        <w:t>产值能耗</w:t>
      </w:r>
      <w:r>
        <w:rPr>
          <w:rFonts w:hint="eastAsia" w:ascii="仿宋_GB2312" w:hAnsi="仿宋_GB2312" w:eastAsia="仿宋_GB2312" w:cs="仿宋_GB2312"/>
          <w:b w:val="0"/>
          <w:bCs w:val="0"/>
          <w:color w:val="auto"/>
          <w:kern w:val="0"/>
          <w:sz w:val="32"/>
          <w:szCs w:val="32"/>
          <w:highlight w:val="none"/>
          <w:u w:val="none"/>
        </w:rPr>
        <w:t>）×实际产值×折电系数。</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（四）违反迁入限制的违约责任</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jc w:val="left"/>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丙方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违反</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本协议第六条第（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）款第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w:t>
      </w:r>
      <w:r>
        <w:rPr>
          <w:rFonts w:hint="eastAsia" w:ascii="仿宋_GB2312" w:hAnsi="仿宋_GB2312" w:eastAsia="仿宋_GB2312" w:cs="仿宋_GB2312"/>
          <w:color w:val="000000" w:themeColor="text1"/>
          <w:sz w:val="32"/>
          <w:szCs w:val="32"/>
          <w:highlight w:val="none"/>
          <w14:textFill>
            <w14:solidFill>
              <w14:schemeClr w14:val="tx1"/>
            </w14:solidFill>
          </w14:textFill>
        </w:rPr>
        <w:t>约定要求的，</w:t>
      </w:r>
      <w:r>
        <w:rPr>
          <w:rFonts w:hint="eastAsia" w:ascii="仿宋_GB2312" w:hAnsi="仿宋_GB2312" w:eastAsia="仿宋_GB2312" w:cs="仿宋_GB2312"/>
          <w:b w:val="0"/>
          <w:bCs w:val="0"/>
          <w:color w:val="auto"/>
          <w:sz w:val="32"/>
          <w:szCs w:val="32"/>
          <w:highlight w:val="none"/>
          <w:u w:val="none"/>
        </w:rPr>
        <w:t>甲方有权要求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丙方</w:t>
      </w:r>
      <w:r>
        <w:rPr>
          <w:rFonts w:hint="eastAsia" w:ascii="仿宋_GB2312" w:hAnsi="仿宋_GB2312" w:eastAsia="仿宋_GB2312" w:cs="仿宋_GB2312"/>
          <w:b w:val="0"/>
          <w:bCs w:val="0"/>
          <w:color w:val="auto"/>
          <w:sz w:val="32"/>
          <w:szCs w:val="32"/>
          <w:highlight w:val="none"/>
          <w:u w:val="none"/>
        </w:rPr>
        <w:t>限期改正</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丙方应按购房总价款的5%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向</w:t>
      </w:r>
      <w:r>
        <w:rPr>
          <w:rFonts w:hint="eastAsia" w:ascii="仿宋_GB2312" w:hAnsi="仿宋_GB2312" w:eastAsia="仿宋_GB2312" w:cs="仿宋_GB2312"/>
          <w:bCs w:val="0"/>
          <w:color w:val="000000" w:themeColor="text1"/>
          <w:sz w:val="32"/>
          <w:szCs w:val="32"/>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支付违约金，且不因此解除丙方继续履行的义务。</w:t>
      </w:r>
      <w:r>
        <w:rPr>
          <w:rFonts w:hint="eastAsia" w:ascii="仿宋_GB2312" w:hAnsi="仿宋_GB2312" w:eastAsia="仿宋_GB2312" w:cs="仿宋_GB2312"/>
          <w:b w:val="0"/>
          <w:bCs w:val="0"/>
          <w:color w:val="auto"/>
          <w:sz w:val="32"/>
          <w:szCs w:val="32"/>
          <w:highlight w:val="none"/>
          <w:u w:val="none"/>
        </w:rPr>
        <w:t>拒不改正的，</w:t>
      </w:r>
      <w:r>
        <w:rPr>
          <w:rFonts w:hint="eastAsia" w:ascii="仿宋_GB2312" w:hAnsi="仿宋_GB2312" w:eastAsia="仿宋_GB2312" w:cs="仿宋_GB2312"/>
          <w:b w:val="0"/>
          <w:bCs w:val="0"/>
          <w:color w:val="auto"/>
          <w:sz w:val="32"/>
          <w:szCs w:val="32"/>
          <w:highlight w:val="none"/>
          <w:u w:val="none"/>
          <w:lang w:eastAsia="zh-CN"/>
        </w:rPr>
        <w:t>按照本条第（一）款进行处理，并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参照</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本协议第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条第（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2项强制退出。</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jc w:val="left"/>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乙方或丙方不配合甲方核查的，</w:t>
      </w:r>
      <w:r>
        <w:rPr>
          <w:rFonts w:hint="eastAsia" w:ascii="仿宋_GB2312" w:hAnsi="仿宋_GB2312" w:eastAsia="仿宋_GB2312" w:cs="仿宋_GB2312"/>
          <w:b w:val="0"/>
          <w:bCs w:val="0"/>
          <w:color w:val="auto"/>
          <w:sz w:val="32"/>
          <w:szCs w:val="32"/>
          <w:highlight w:val="none"/>
          <w:u w:val="none"/>
          <w:lang w:eastAsia="zh-CN"/>
        </w:rPr>
        <w:t>按照本条第（一）款进行处理，并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每次其应向甲方支付20万元违约金，且不因此解除配合核查义务。</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0"/>
        <w:jc w:val="left"/>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w:t>
      </w:r>
      <w:r>
        <w:rPr>
          <w:rFonts w:hint="eastAsia" w:ascii="仿宋_GB2312" w:hAnsi="仿宋_GB2312" w:eastAsia="仿宋_GB2312" w:cs="仿宋_GB2312"/>
          <w:color w:val="000000" w:themeColor="text1"/>
          <w:sz w:val="32"/>
          <w:szCs w:val="32"/>
          <w:highlight w:val="none"/>
          <w14:textFill>
            <w14:solidFill>
              <w14:schemeClr w14:val="tx1"/>
            </w14:solidFill>
          </w14:textFill>
        </w:rPr>
        <w:t>方应在甲方出具通知书20个自然日内缴纳违约金，逾期未缴纳则每日加收1‰的违约金。</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jc w:val="left"/>
        <w:textAlignment w:val="auto"/>
        <w:outlineLvl w:val="9"/>
        <w:rPr>
          <w:rFonts w:hint="eastAsia" w:ascii="CESI仿宋-GB2312" w:hAnsi="CESI仿宋-GB2312" w:eastAsia="CESI仿宋-GB2312" w:cs="CESI仿宋-GB2312"/>
          <w:color w:val="000000" w:themeColor="text1"/>
          <w:sz w:val="30"/>
          <w:szCs w:val="30"/>
          <w14:textFill>
            <w14:solidFill>
              <w14:schemeClr w14:val="tx1"/>
            </w14:solidFill>
          </w14:textFill>
        </w:rPr>
      </w:pPr>
      <w:bookmarkStart w:id="0" w:name="_Hlk41639221"/>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（七）</w:t>
      </w:r>
      <w:bookmarkEnd w:id="0"/>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丙方因不可抗力不能履行协议的，应当及时通知甲方和乙方，以减轻可能给甲乙两方造成的损失，并应当在合理期限内提供证明。丙方可向甲方提出书面申请，由甲方报龙华区人民政府审定同意后，根据不可抗力的影响，可以部分或者全部免除责任，但是法律另有规定的除外。丙方迟延履行后发生不可抗力的，不免除其违约责任</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numPr>
          <w:ilvl w:val="-1"/>
          <w:numId w:val="0"/>
        </w:numPr>
        <w:kinsoku/>
        <w:wordWrap/>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八、</w:t>
      </w:r>
      <w:r>
        <w:rPr>
          <w:rFonts w:hint="eastAsia" w:ascii="黑体" w:hAnsi="黑体" w:eastAsia="黑体" w:cs="黑体"/>
          <w:b w:val="0"/>
          <w:bCs/>
          <w:color w:val="000000" w:themeColor="text1"/>
          <w:sz w:val="32"/>
          <w:szCs w:val="32"/>
          <w:highlight w:val="none"/>
          <w14:textFill>
            <w14:solidFill>
              <w14:schemeClr w14:val="tx1"/>
            </w14:solidFill>
          </w14:textFill>
        </w:rPr>
        <w:t>退出机制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（一）乙方退出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项目产业用房及配套用房销售（包括预售）完毕，且</w:t>
      </w:r>
      <w:r>
        <w:rPr>
          <w:rFonts w:hint="eastAsia" w:ascii="仿宋_GB2312" w:hAnsi="仿宋_GB2312" w:eastAsia="仿宋_GB2312" w:cs="仿宋_GB2312"/>
          <w:color w:val="000000" w:themeColor="text1"/>
          <w:sz w:val="32"/>
          <w:szCs w:val="32"/>
          <w:highlight w:val="none"/>
          <w14:textFill>
            <w14:solidFill>
              <w14:schemeClr w14:val="tx1"/>
            </w14:solidFill>
          </w14:textFill>
        </w:rPr>
        <w:t>乙方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不再作为产业园区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运营管理及产业配套服务方提供相关服务的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，乙方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在本协议项下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的权利和义务同步解除</w:t>
      </w:r>
      <w:r>
        <w:rPr>
          <w:rFonts w:hint="eastAsia" w:ascii="仿宋_GB2312" w:hAnsi="仿宋_GB2312" w:eastAsia="仿宋_GB2312" w:cs="仿宋_GB2312"/>
          <w:color w:val="000000" w:themeColor="text1"/>
          <w:sz w:val="32"/>
          <w:szCs w:val="32"/>
          <w:highlight w:val="none"/>
          <w14:textFill>
            <w14:solidFill>
              <w14:schemeClr w14:val="tx1"/>
            </w14:solidFill>
          </w14:textFill>
        </w:rPr>
        <w:t>，丙方应与甲方或甲方指定的第三方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在本协议内容的基础上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重新</w:t>
      </w:r>
      <w:r>
        <w:rPr>
          <w:rFonts w:hint="eastAsia" w:ascii="仿宋_GB2312" w:hAnsi="仿宋_GB2312" w:eastAsia="仿宋_GB2312" w:cs="仿宋_GB2312"/>
          <w:color w:val="000000" w:themeColor="text1"/>
          <w:sz w:val="32"/>
          <w:szCs w:val="32"/>
          <w:highlight w:val="none"/>
          <w14:textFill>
            <w14:solidFill>
              <w14:schemeClr w14:val="tx1"/>
            </w14:solidFill>
          </w14:textFill>
        </w:rPr>
        <w:t>签署产业发展监管协议。</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（二）丙方退出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主动退出。参照</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本协议第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第（二）款第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4项</w:t>
      </w:r>
      <w:r>
        <w:rPr>
          <w:rFonts w:hint="eastAsia" w:ascii="仿宋_GB2312" w:hAnsi="仿宋_GB2312" w:eastAsia="仿宋_GB2312" w:cs="仿宋_GB2312"/>
          <w:color w:val="000000" w:themeColor="text1"/>
          <w:sz w:val="32"/>
          <w:szCs w:val="32"/>
          <w:highlight w:val="none"/>
          <w14:textFill>
            <w14:solidFill>
              <w14:schemeClr w14:val="tx1"/>
            </w14:solidFill>
          </w14:textFill>
        </w:rPr>
        <w:t>“转让限制”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执行。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强制退出。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）丙方自完成不动产登记之日起，5年累计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未达到或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违反本协议第六条第（二）款第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承诺内容的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（其中产出效率仅涉及考核指标要求）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本协议约定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支付违约金后强制退出，在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规定时间内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退还标的物业，且一年内不得入选遴选企业库。</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）丙方</w:t>
      </w:r>
      <w:r>
        <w:rPr>
          <w:rFonts w:hint="eastAsia" w:ascii="仿宋_GB2312" w:hAnsi="仿宋_GB2312" w:eastAsia="仿宋_GB2312" w:cs="仿宋_GB2312"/>
          <w:color w:val="000000" w:themeColor="text1"/>
          <w:sz w:val="32"/>
          <w:szCs w:val="32"/>
          <w:highlight w:val="none"/>
          <w14:textFill>
            <w14:solidFill>
              <w14:schemeClr w14:val="tx1"/>
            </w14:solidFill>
          </w14:textFill>
        </w:rPr>
        <w:t>在使用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标的物业</w:t>
      </w:r>
      <w:r>
        <w:rPr>
          <w:rFonts w:hint="eastAsia" w:ascii="仿宋_GB2312" w:hAnsi="仿宋_GB2312" w:eastAsia="仿宋_GB2312" w:cs="仿宋_GB2312"/>
          <w:color w:val="000000" w:themeColor="text1"/>
          <w:sz w:val="32"/>
          <w:szCs w:val="32"/>
          <w:highlight w:val="none"/>
          <w14:textFill>
            <w14:solidFill>
              <w14:schemeClr w14:val="tx1"/>
            </w14:solidFill>
          </w14:textFill>
        </w:rPr>
        <w:t>期间出现违规出租、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转让、抵押、</w:t>
      </w:r>
      <w:r>
        <w:rPr>
          <w:rFonts w:hint="eastAsia" w:ascii="仿宋_GB2312" w:hAnsi="仿宋_GB2312" w:eastAsia="仿宋_GB2312" w:cs="仿宋_GB2312"/>
          <w:color w:val="000000" w:themeColor="text1"/>
          <w:sz w:val="32"/>
          <w:szCs w:val="32"/>
          <w:highlight w:val="none"/>
          <w14:textFill>
            <w14:solidFill>
              <w14:schemeClr w14:val="tx1"/>
            </w14:solidFill>
          </w14:textFill>
        </w:rPr>
        <w:t>改变其原有使用功能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、产业规划不符合产业定位</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w:t>
      </w:r>
      <w:r>
        <w:rPr>
          <w:rFonts w:hint="eastAsia" w:ascii="仿宋_GB2312" w:hAnsi="仿宋_GB2312" w:eastAsia="仿宋_GB2312" w:cs="仿宋_GB2312"/>
          <w:color w:val="000000" w:themeColor="text1"/>
          <w:sz w:val="32"/>
          <w:szCs w:val="32"/>
          <w:highlight w:val="none"/>
          <w14:textFill>
            <w14:solidFill>
              <w14:schemeClr w14:val="tx1"/>
            </w14:solidFill>
          </w14:textFill>
        </w:rPr>
        <w:t>按《买卖合同》或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14:textFill>
            <w14:solidFill>
              <w14:schemeClr w14:val="tx1"/>
            </w14:solidFill>
          </w14:textFill>
        </w:rPr>
        <w:t>协议约定使用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标的物业</w:t>
      </w:r>
      <w:r>
        <w:rPr>
          <w:rFonts w:hint="eastAsia" w:ascii="仿宋_GB2312" w:hAnsi="仿宋_GB2312" w:eastAsia="仿宋_GB2312" w:cs="仿宋_GB2312"/>
          <w:color w:val="000000" w:themeColor="text1"/>
          <w:sz w:val="32"/>
          <w:szCs w:val="32"/>
          <w:highlight w:val="none"/>
          <w14:textFill>
            <w14:solidFill>
              <w14:schemeClr w14:val="tx1"/>
            </w14:solidFill>
          </w14:textFill>
        </w:rPr>
        <w:t>行为的，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须在规定时间内</w:t>
      </w:r>
      <w:r>
        <w:rPr>
          <w:rFonts w:hint="eastAsia" w:ascii="仿宋_GB2312" w:hAnsi="仿宋_GB2312" w:eastAsia="仿宋_GB2312" w:cs="仿宋_GB2312"/>
          <w:color w:val="000000" w:themeColor="text1"/>
          <w:sz w:val="32"/>
          <w:szCs w:val="32"/>
          <w:highlight w:val="none"/>
          <w14:textFill>
            <w14:solidFill>
              <w14:schemeClr w14:val="tx1"/>
            </w14:solidFill>
          </w14:textFill>
        </w:rPr>
        <w:t>退还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标的物业，且</w:t>
      </w:r>
      <w:r>
        <w:rPr>
          <w:rFonts w:hint="eastAsia" w:ascii="仿宋_GB2312" w:hAnsi="仿宋_GB2312" w:eastAsia="仿宋_GB2312" w:cs="仿宋_GB2312"/>
          <w:color w:val="000000" w:themeColor="text1"/>
          <w:sz w:val="32"/>
          <w:szCs w:val="32"/>
          <w:highlight w:val="none"/>
          <w14:textFill>
            <w14:solidFill>
              <w14:schemeClr w14:val="tx1"/>
            </w14:solidFill>
          </w14:textFill>
        </w:rPr>
        <w:t>5年内不得纳入遴选企业库、不得租赁或购买我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政策性产业用房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kinsoku/>
        <w:wordWrap/>
        <w:topLinePunct w:val="0"/>
        <w:autoSpaceDE/>
        <w:autoSpaceDN/>
        <w:bidi w:val="0"/>
        <w:spacing w:line="560" w:lineRule="exact"/>
        <w:ind w:firstLine="640" w:firstLineChars="0"/>
        <w:textAlignment w:val="auto"/>
        <w:outlineLvl w:val="9"/>
        <w:rPr>
          <w:rFonts w:hint="eastAsia" w:ascii="CESI仿宋-GB2312" w:hAnsi="CESI仿宋-GB2312" w:eastAsia="CESI仿宋-GB2312" w:cs="CESI仿宋-GB2312"/>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强制退出的，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须</w:t>
      </w:r>
      <w:r>
        <w:rPr>
          <w:rFonts w:hint="eastAsia" w:ascii="仿宋_GB2312" w:hAnsi="仿宋_GB2312" w:eastAsia="仿宋_GB2312" w:cs="仿宋_GB2312"/>
          <w:color w:val="000000" w:themeColor="text1"/>
          <w:sz w:val="32"/>
          <w:szCs w:val="32"/>
          <w:highlight w:val="none"/>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甲方发出书面通知后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0天</w:t>
      </w:r>
      <w:r>
        <w:rPr>
          <w:rFonts w:hint="eastAsia" w:ascii="仿宋_GB2312" w:hAnsi="仿宋_GB2312" w:eastAsia="仿宋_GB2312" w:cs="仿宋_GB2312"/>
          <w:color w:val="000000" w:themeColor="text1"/>
          <w:sz w:val="32"/>
          <w:szCs w:val="32"/>
          <w:highlight w:val="none"/>
          <w14:textFill>
            <w14:solidFill>
              <w14:schemeClr w14:val="tx1"/>
            </w14:solidFill>
          </w14:textFill>
        </w:rPr>
        <w:t>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标的物业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退还</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标的物业</w:t>
      </w:r>
      <w:r>
        <w:rPr>
          <w:rFonts w:hint="eastAsia" w:ascii="仿宋_GB2312" w:hAnsi="仿宋_GB2312" w:eastAsia="仿宋_GB2312" w:cs="仿宋_GB2312"/>
          <w:color w:val="000000" w:themeColor="text1"/>
          <w:sz w:val="32"/>
          <w:szCs w:val="32"/>
          <w:highlight w:val="none"/>
          <w14:textFill>
            <w14:solidFill>
              <w14:schemeClr w14:val="tx1"/>
            </w14:solidFill>
          </w14:textFill>
        </w:rPr>
        <w:t>优先由区政府或其指定单位回购，回购价以购置价格为原值折旧后计算确定。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九</w:t>
      </w:r>
      <w:r>
        <w:rPr>
          <w:rFonts w:hint="eastAsia" w:ascii="黑体" w:hAnsi="黑体" w:eastAsia="黑体" w:cs="黑体"/>
          <w:b w:val="0"/>
          <w:bCs/>
          <w:color w:val="000000" w:themeColor="text1"/>
          <w:sz w:val="32"/>
          <w:szCs w:val="32"/>
          <w:highlight w:val="none"/>
          <w14:textFill>
            <w14:solidFill>
              <w14:schemeClr w14:val="tx1"/>
            </w14:solidFill>
          </w14:textFill>
        </w:rPr>
        <w:t>、争议解决方式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CESI仿宋-GB2312" w:hAnsi="CESI仿宋-GB2312" w:eastAsia="CESI仿宋-GB2312" w:cs="CESI仿宋-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因本协议所产生纠纷的，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14:textFill>
            <w14:solidFill>
              <w14:schemeClr w14:val="tx1"/>
            </w14:solidFill>
          </w14:textFill>
        </w:rPr>
        <w:t>方首先应友好协商解决。凡因本协议引起的或与本协议有关的任何争议，经友好协商无法达成一致的，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甲乙丙三</w:t>
      </w:r>
      <w:r>
        <w:rPr>
          <w:rFonts w:hint="eastAsia" w:ascii="仿宋_GB2312" w:hAnsi="仿宋_GB2312" w:eastAsia="仿宋_GB2312" w:cs="仿宋_GB2312"/>
          <w:color w:val="000000" w:themeColor="text1"/>
          <w:sz w:val="32"/>
          <w:szCs w:val="32"/>
          <w:highlight w:val="none"/>
          <w14:textFill>
            <w14:solidFill>
              <w14:schemeClr w14:val="tx1"/>
            </w14:solidFill>
          </w14:textFill>
        </w:rPr>
        <w:t>方同意向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区商事调解院申请调解。调解不成的，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争议解决条款由甲方所在地有管辖权的人民法院管辖，</w:t>
      </w:r>
      <w:r>
        <w:rPr>
          <w:rFonts w:hint="eastAsia" w:ascii="仿宋_GB2312" w:hAnsi="仿宋_GB2312" w:eastAsia="仿宋_GB2312" w:cs="仿宋_GB2312"/>
          <w:color w:val="000000" w:themeColor="text1"/>
          <w:sz w:val="32"/>
          <w:szCs w:val="32"/>
          <w:highlight w:val="none"/>
          <w14:textFill>
            <w14:solidFill>
              <w14:schemeClr w14:val="tx1"/>
            </w14:solidFill>
          </w14:textFill>
        </w:rPr>
        <w:t>任何一方有权向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甲方所在地有管辖权的人民法院</w:t>
      </w:r>
      <w:r>
        <w:rPr>
          <w:rFonts w:hint="eastAsia" w:ascii="仿宋_GB2312" w:hAnsi="仿宋_GB2312" w:eastAsia="仿宋_GB2312" w:cs="仿宋_GB2312"/>
          <w:color w:val="000000" w:themeColor="text1"/>
          <w:sz w:val="32"/>
          <w:szCs w:val="32"/>
          <w:highlight w:val="none"/>
          <w14:textFill>
            <w14:solidFill>
              <w14:schemeClr w14:val="tx1"/>
            </w14:solidFill>
          </w14:textFill>
        </w:rPr>
        <w:t>提起诉讼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十</w:t>
      </w:r>
      <w:r>
        <w:rPr>
          <w:rFonts w:hint="eastAsia" w:ascii="黑体" w:hAnsi="黑体" w:eastAsia="黑体" w:cs="黑体"/>
          <w:b w:val="0"/>
          <w:bCs/>
          <w:color w:val="000000" w:themeColor="text1"/>
          <w:sz w:val="32"/>
          <w:szCs w:val="32"/>
          <w:highlight w:val="none"/>
          <w14:textFill>
            <w14:solidFill>
              <w14:schemeClr w14:val="tx1"/>
            </w14:solidFill>
          </w14:textFill>
        </w:rPr>
        <w:t>、其他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非特别注明的情况下，本协议条款货币种类均为人民币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auto"/>
          <w:sz w:val="32"/>
          <w:szCs w:val="32"/>
          <w:highlight w:val="none"/>
          <w:u w:val="none"/>
          <w:lang w:eastAsia="zh-CN"/>
        </w:rPr>
        <w:t>所称年期为自然年</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2"/>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（二）</w:t>
      </w:r>
      <w:r>
        <w:rPr>
          <w:rFonts w:hint="eastAsia" w:ascii="仿宋_GB2312" w:hAnsi="仿宋_GB2312" w:eastAsia="仿宋_GB2312" w:cs="仿宋_GB2312"/>
          <w:color w:val="auto"/>
          <w:kern w:val="0"/>
          <w:sz w:val="32"/>
          <w:szCs w:val="32"/>
          <w:highlight w:val="none"/>
          <w:u w:val="none"/>
        </w:rPr>
        <w:t>本协议所称</w:t>
      </w:r>
      <w:r>
        <w:rPr>
          <w:rFonts w:hint="eastAsia" w:ascii="仿宋_GB2312" w:hAnsi="仿宋_GB2312" w:eastAsia="仿宋_GB2312" w:cs="仿宋_GB2312"/>
          <w:color w:val="auto"/>
          <w:sz w:val="32"/>
          <w:szCs w:val="32"/>
          <w:highlight w:val="none"/>
          <w:u w:val="none"/>
        </w:rPr>
        <w:t>增加值、</w:t>
      </w:r>
      <w:r>
        <w:rPr>
          <w:rFonts w:hint="eastAsia" w:ascii="仿宋_GB2312" w:hAnsi="仿宋_GB2312" w:eastAsia="仿宋_GB2312" w:cs="仿宋_GB2312"/>
          <w:color w:val="000000" w:themeColor="text1"/>
          <w:sz w:val="32"/>
          <w:szCs w:val="32"/>
          <w:highlight w:val="none"/>
          <w14:textFill>
            <w14:solidFill>
              <w14:schemeClr w14:val="tx1"/>
            </w14:solidFill>
          </w14:textFill>
        </w:rPr>
        <w:t>产值规模（营业收入）</w:t>
      </w:r>
      <w:r>
        <w:rPr>
          <w:rFonts w:hint="eastAsia" w:ascii="仿宋_GB2312" w:hAnsi="仿宋_GB2312" w:eastAsia="仿宋_GB2312" w:cs="仿宋_GB2312"/>
          <w:color w:val="auto"/>
          <w:sz w:val="32"/>
          <w:szCs w:val="32"/>
          <w:highlight w:val="none"/>
          <w:u w:val="none"/>
          <w:lang w:eastAsia="zh-CN"/>
        </w:rPr>
        <w:t>、纳税额</w:t>
      </w:r>
      <w:r>
        <w:rPr>
          <w:rFonts w:hint="eastAsia" w:ascii="仿宋_GB2312" w:hAnsi="仿宋_GB2312" w:eastAsia="仿宋_GB2312" w:cs="仿宋_GB2312"/>
          <w:color w:val="auto"/>
          <w:kern w:val="0"/>
          <w:sz w:val="32"/>
          <w:szCs w:val="32"/>
          <w:highlight w:val="none"/>
          <w:u w:val="none"/>
        </w:rPr>
        <w:t>的统计</w:t>
      </w:r>
      <w:r>
        <w:rPr>
          <w:rFonts w:hint="eastAsia" w:ascii="仿宋_GB2312" w:hAnsi="仿宋_GB2312" w:eastAsia="仿宋_GB2312" w:cs="仿宋_GB2312"/>
          <w:color w:val="auto"/>
          <w:kern w:val="0"/>
          <w:sz w:val="32"/>
          <w:szCs w:val="32"/>
          <w:highlight w:val="none"/>
          <w:u w:val="none"/>
          <w:lang w:eastAsia="zh-CN"/>
        </w:rPr>
        <w:t>核算</w:t>
      </w:r>
      <w:r>
        <w:rPr>
          <w:rFonts w:hint="eastAsia" w:ascii="仿宋_GB2312" w:hAnsi="仿宋_GB2312" w:eastAsia="仿宋_GB2312" w:cs="仿宋_GB2312"/>
          <w:color w:val="auto"/>
          <w:kern w:val="0"/>
          <w:sz w:val="32"/>
          <w:szCs w:val="32"/>
          <w:highlight w:val="none"/>
          <w:u w:val="none"/>
        </w:rPr>
        <w:t>口径以</w:t>
      </w:r>
      <w:r>
        <w:rPr>
          <w:rFonts w:hint="eastAsia" w:ascii="仿宋_GB2312" w:hAnsi="仿宋_GB2312" w:eastAsia="仿宋_GB2312" w:cs="仿宋_GB2312"/>
          <w:color w:val="auto"/>
          <w:kern w:val="0"/>
          <w:sz w:val="32"/>
          <w:szCs w:val="32"/>
          <w:highlight w:val="none"/>
          <w:u w:val="none"/>
          <w:lang w:eastAsia="zh-CN"/>
        </w:rPr>
        <w:t>乙方及其</w:t>
      </w:r>
      <w:r>
        <w:rPr>
          <w:rFonts w:hint="eastAsia" w:ascii="仿宋_GB2312" w:hAnsi="仿宋_GB2312" w:eastAsia="仿宋_GB2312" w:cs="仿宋_GB2312"/>
          <w:color w:val="auto"/>
          <w:kern w:val="0"/>
          <w:sz w:val="32"/>
          <w:szCs w:val="32"/>
          <w:highlight w:val="none"/>
          <w:u w:val="none"/>
        </w:rPr>
        <w:t>控股50%（含）以上</w:t>
      </w:r>
      <w:r>
        <w:rPr>
          <w:rFonts w:hint="eastAsia" w:ascii="仿宋_GB2312" w:hAnsi="仿宋_GB2312" w:eastAsia="仿宋_GB2312" w:cs="仿宋_GB2312"/>
          <w:color w:val="auto"/>
          <w:kern w:val="0"/>
          <w:sz w:val="32"/>
          <w:szCs w:val="32"/>
          <w:highlight w:val="none"/>
          <w:u w:val="none"/>
          <w:lang w:eastAsia="zh-CN"/>
        </w:rPr>
        <w:t>且在龙华区纳统</w:t>
      </w:r>
      <w:r>
        <w:rPr>
          <w:rFonts w:hint="eastAsia" w:ascii="仿宋_GB2312" w:hAnsi="仿宋_GB2312" w:eastAsia="仿宋_GB2312" w:cs="仿宋_GB2312"/>
          <w:color w:val="auto"/>
          <w:kern w:val="0"/>
          <w:sz w:val="32"/>
          <w:szCs w:val="32"/>
          <w:highlight w:val="none"/>
          <w:u w:val="none"/>
        </w:rPr>
        <w:t>的一级、二级子公司作为统计核算口径，各年度股权关系以当年12月3</w:t>
      </w:r>
      <w:r>
        <w:rPr>
          <w:rFonts w:hint="eastAsia" w:ascii="仿宋_GB2312" w:hAnsi="仿宋_GB2312" w:eastAsia="仿宋_GB2312" w:cs="仿宋_GB2312"/>
          <w:color w:val="auto"/>
          <w:kern w:val="0"/>
          <w:sz w:val="32"/>
          <w:szCs w:val="32"/>
          <w:highlight w:val="none"/>
          <w:u w:val="none"/>
          <w:lang w:val="en-US" w:eastAsia="zh-CN"/>
        </w:rPr>
        <w:t>1</w:t>
      </w:r>
      <w:r>
        <w:rPr>
          <w:rFonts w:hint="eastAsia" w:ascii="仿宋_GB2312" w:hAnsi="仿宋_GB2312" w:eastAsia="仿宋_GB2312" w:cs="仿宋_GB2312"/>
          <w:color w:val="auto"/>
          <w:kern w:val="0"/>
          <w:sz w:val="32"/>
          <w:szCs w:val="32"/>
          <w:highlight w:val="none"/>
          <w:u w:val="none"/>
        </w:rPr>
        <w:t>日股权登记状况为准。</w:t>
      </w:r>
      <w:r>
        <w:rPr>
          <w:rFonts w:hint="eastAsia" w:ascii="仿宋_GB2312" w:hAnsi="仿宋_GB2312" w:eastAsia="仿宋_GB2312" w:cs="仿宋_GB2312"/>
          <w:color w:val="auto"/>
          <w:sz w:val="32"/>
          <w:szCs w:val="32"/>
          <w:highlight w:val="none"/>
          <w:u w:val="none"/>
        </w:rPr>
        <w:t>增加值按照收入法计算，统计核算以具备资质的第三方审计机构出具的财务审计报告或经龙华区统计部门核实的统计数据作为数据依据；</w:t>
      </w:r>
      <w:r>
        <w:rPr>
          <w:rFonts w:hint="eastAsia" w:ascii="仿宋_GB2312" w:hAnsi="仿宋_GB2312" w:eastAsia="仿宋_GB2312" w:cs="仿宋_GB2312"/>
          <w:color w:val="000000" w:themeColor="text1"/>
          <w:sz w:val="32"/>
          <w:szCs w:val="32"/>
          <w:highlight w:val="none"/>
          <w14:textFill>
            <w14:solidFill>
              <w14:schemeClr w14:val="tx1"/>
            </w14:solidFill>
          </w14:textFill>
        </w:rPr>
        <w:t>产值规模（营业收入）</w:t>
      </w:r>
      <w:r>
        <w:rPr>
          <w:rFonts w:hint="eastAsia" w:ascii="仿宋_GB2312" w:hAnsi="仿宋_GB2312" w:eastAsia="仿宋_GB2312" w:cs="仿宋_GB2312"/>
          <w:color w:val="auto"/>
          <w:sz w:val="32"/>
          <w:szCs w:val="32"/>
          <w:highlight w:val="none"/>
          <w:u w:val="none"/>
        </w:rPr>
        <w:t>统计核算以经龙华区统计部门核实的统计定报数据作为依据</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纳税额指企业该年度自缴税款、代扣代缴税款、“免抵”税额调库三项合计金额；</w:t>
      </w:r>
      <w:r>
        <w:rPr>
          <w:rFonts w:hint="eastAsia" w:ascii="仿宋_GB2312" w:hAnsi="仿宋_GB2312" w:eastAsia="仿宋_GB2312" w:cs="仿宋_GB2312"/>
          <w:color w:val="auto"/>
          <w:sz w:val="32"/>
          <w:szCs w:val="32"/>
          <w:highlight w:val="none"/>
          <w:u w:val="none"/>
          <w:lang w:eastAsia="zh-CN"/>
        </w:rPr>
        <w:t>耗电量以</w:t>
      </w:r>
      <w:r>
        <w:rPr>
          <w:rFonts w:hint="eastAsia" w:ascii="仿宋_GB2312" w:hAnsi="仿宋_GB2312" w:eastAsia="仿宋_GB2312" w:cs="仿宋_GB2312"/>
          <w:color w:val="auto"/>
          <w:sz w:val="32"/>
          <w:szCs w:val="32"/>
          <w:highlight w:val="none"/>
          <w:u w:val="none"/>
          <w:lang w:val="en-US" w:eastAsia="zh-CN"/>
        </w:rPr>
        <w:t>龙华区供电部门出具的电费缴纳单据作为</w:t>
      </w:r>
      <w:r>
        <w:rPr>
          <w:rFonts w:hint="eastAsia" w:ascii="仿宋_GB2312" w:hAnsi="仿宋_GB2312" w:eastAsia="仿宋_GB2312" w:cs="仿宋_GB2312"/>
          <w:color w:val="auto"/>
          <w:sz w:val="32"/>
          <w:szCs w:val="32"/>
          <w:highlight w:val="none"/>
          <w:u w:val="none"/>
          <w:lang w:eastAsia="zh-CN"/>
        </w:rPr>
        <w:t>依据，折电系数</w:t>
      </w:r>
      <w:r>
        <w:rPr>
          <w:rFonts w:hint="eastAsia" w:ascii="仿宋_GB2312" w:hAnsi="仿宋_GB2312" w:eastAsia="仿宋_GB2312" w:cs="仿宋_GB2312"/>
          <w:color w:val="auto"/>
          <w:sz w:val="32"/>
          <w:szCs w:val="32"/>
          <w:highlight w:val="none"/>
          <w:u w:val="none"/>
          <w:lang w:val="en-US" w:eastAsia="zh-CN"/>
        </w:rPr>
        <w:t>为1.229吨标准煤/万千瓦时。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outlineLvl w:val="9"/>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（三）</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履约考核本协议第六条第（二）款第2项约定要求时，增加值、产值规模（营业收入）、纳税额中违反约定的不足部分可以通过折算增加值、产值规模（营业收入）、纳税额中超过约定要求的部分进行数据平衡。按照“1元产值规模（营业收入）=0.25元增加值=0.05元纳税额”进行折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本协议履行过程中，对协议中部分名词含义的理解存在不同意见的，以甲方的解释为准。</w:t>
      </w:r>
    </w:p>
    <w:p>
      <w:pPr>
        <w:pStyle w:val="8"/>
        <w:keepNext w:val="0"/>
        <w:keepLines w:val="0"/>
        <w:pageBreakBefore w:val="0"/>
        <w:widowControl/>
        <w:suppressLineNumbers w:val="0"/>
        <w:kinsoku/>
        <w:wordWrap/>
        <w:topLinePunct w:val="0"/>
        <w:autoSpaceDE/>
        <w:autoSpaceDN/>
        <w:bidi w:val="0"/>
        <w:spacing w:line="560" w:lineRule="exact"/>
        <w:ind w:firstLine="640" w:firstLineChars="200"/>
        <w:jc w:val="both"/>
        <w:textAlignment w:val="auto"/>
        <w:rPr>
          <w:rFonts w:hint="eastAsia" w:eastAsia="仿宋_GB2312"/>
          <w:sz w:val="32"/>
          <w:szCs w:val="32"/>
          <w:lang w:eastAsia="zh-CN"/>
        </w:rPr>
      </w:pPr>
      <w:r>
        <w:rPr>
          <w:rFonts w:hint="eastAsia" w:ascii="楷体_GB2312" w:hAnsi="楷体_GB2312" w:eastAsia="楷体_GB2312" w:cs="楷体_GB2312"/>
          <w:color w:val="000000"/>
          <w:sz w:val="32"/>
          <w:szCs w:val="32"/>
          <w:lang w:eastAsia="zh-CN"/>
        </w:rPr>
        <w:t>（五）</w:t>
      </w:r>
      <w:r>
        <w:rPr>
          <w:rFonts w:ascii="仿宋_GB2312" w:eastAsia="仿宋_GB2312" w:cs="仿宋_GB2312"/>
          <w:color w:val="000000"/>
          <w:sz w:val="32"/>
          <w:szCs w:val="32"/>
        </w:rPr>
        <w:t>三方一致同意</w:t>
      </w:r>
      <w:r>
        <w:rPr>
          <w:rFonts w:hint="eastAsia" w:ascii="仿宋_GB2312" w:eastAsia="仿宋_GB2312" w:cs="仿宋_GB2312"/>
          <w:color w:val="000000"/>
          <w:sz w:val="32"/>
          <w:szCs w:val="32"/>
        </w:rPr>
        <w:t>，不得向任何其他方透露在合作过程中形成或获知的政府秘密、商业秘密等相关资料及非公开信息（无论是以口头、书面或其他形式），亦不得将保密资料的部分或全部用于本协议书约定事项以外的其它用途，但甲方因政府信息公开、部门间信息共享、审计等履职工作需要，向特定或不特定主体披露上述信息的，不视为违反此约定。三方的保密义务自本协议书生效之日起，至上述保密信息完全公开或被公众完全知悉时止。三方的保密义务长期有效，不因本协议书的无效、变更、解除或终止而免除</w:t>
      </w:r>
      <w:r>
        <w:rPr>
          <w:rFonts w:hint="eastAsia" w:ascii="仿宋_GB2312" w:eastAsia="仿宋_GB2312" w:cs="仿宋_GB2312"/>
          <w:color w:val="000000"/>
          <w:sz w:val="32"/>
          <w:szCs w:val="32"/>
          <w:lang w:eastAsia="zh-CN"/>
        </w:rPr>
        <w:t>。</w:t>
      </w:r>
    </w:p>
    <w:p>
      <w:pPr>
        <w:pStyle w:val="8"/>
        <w:keepNext w:val="0"/>
        <w:keepLines w:val="0"/>
        <w:pageBreakBefore w:val="0"/>
        <w:widowControl/>
        <w:suppressLineNumbers w:val="0"/>
        <w:kinsoku/>
        <w:wordWrap/>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sz w:val="32"/>
          <w:szCs w:val="32"/>
        </w:rPr>
        <w:t>本协议项下任何一方向另外两方发出的通知、信件、数据电文等，应当发送至本协议首部约定的地址、联系人、通信终端和</w:t>
      </w:r>
      <w:r>
        <w:rPr>
          <w:rFonts w:hint="eastAsia" w:ascii="仿宋_GB2312" w:hAnsi="仿宋_GB2312" w:eastAsia="仿宋_GB2312" w:cs="仿宋_GB2312"/>
          <w:b w:val="0"/>
          <w:bCs/>
          <w:color w:val="000000"/>
          <w:sz w:val="32"/>
          <w:szCs w:val="32"/>
        </w:rPr>
        <w:t>电子邮箱</w:t>
      </w:r>
      <w:r>
        <w:rPr>
          <w:rFonts w:hint="eastAsia" w:ascii="仿宋_GB2312" w:hAnsi="仿宋_GB2312" w:eastAsia="仿宋_GB2312" w:cs="仿宋_GB2312"/>
          <w:color w:val="000000"/>
          <w:sz w:val="32"/>
          <w:szCs w:val="32"/>
        </w:rPr>
        <w:t>。一方当事人变更名称、地址、联系人、通信终端或</w:t>
      </w:r>
      <w:r>
        <w:rPr>
          <w:rFonts w:hint="eastAsia" w:ascii="仿宋_GB2312" w:hAnsi="仿宋_GB2312" w:eastAsia="仿宋_GB2312" w:cs="仿宋_GB2312"/>
          <w:b w:val="0"/>
          <w:bCs/>
          <w:color w:val="000000"/>
          <w:sz w:val="32"/>
          <w:szCs w:val="32"/>
        </w:rPr>
        <w:t>电子邮箱</w:t>
      </w:r>
      <w:r>
        <w:rPr>
          <w:rFonts w:hint="eastAsia" w:ascii="仿宋_GB2312" w:hAnsi="仿宋_GB2312" w:eastAsia="仿宋_GB2312" w:cs="仿宋_GB2312"/>
          <w:color w:val="000000"/>
          <w:sz w:val="32"/>
          <w:szCs w:val="32"/>
        </w:rPr>
        <w:t>的，应当在变更后三个自然日内及时书面通知另外两方当事人，另外两方当事人实际收到变更通知前的送达仍为有效送达，电子送达与书面送达具有同等的法律效力。</w:t>
      </w:r>
    </w:p>
    <w:p>
      <w:pPr>
        <w:pStyle w:val="8"/>
        <w:keepNext w:val="0"/>
        <w:keepLines w:val="0"/>
        <w:pageBreakBefore w:val="0"/>
        <w:widowControl/>
        <w:kinsoku/>
        <w:wordWrap/>
        <w:overflowPunct/>
        <w:topLinePunct w:val="0"/>
        <w:autoSpaceDE/>
        <w:autoSpaceDN/>
        <w:bidi w:val="0"/>
        <w:adjustRightInd w:val="0"/>
        <w:snapToGrid w:val="0"/>
        <w:spacing w:line="560" w:lineRule="exact"/>
        <w:ind w:left="17" w:firstLine="640" w:firstLineChars="200"/>
        <w:jc w:val="both"/>
        <w:textAlignment w:val="auto"/>
        <w:outlineLvl w:val="0"/>
        <w:rPr>
          <w:rFonts w:hint="eastAsia" w:ascii="黑体" w:hAnsi="黑体" w:eastAsia="黑体" w:cs="黑体"/>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sz w:val="32"/>
          <w:szCs w:val="32"/>
        </w:rPr>
        <w:t>三方将按如下方式确定通知被视为正式送达的日期。以专人递送的，接收人签收之日视为送达之日。以传真方式发出的，以发件方发送后打印出的发送确认单所示时间视为送达之日。以特快专递形式发出的，接收日期视为送达之日。拒收邮件或通讯地址变更未告知的，邮件退还之日视为送达之日。以电子邮件、手机短信、即时通讯软件信息送达的，以发出时间为送达时间。本协议项下的通知自送达之日发生效力</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17" w:firstLine="640" w:firstLineChars="200"/>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十一</w:t>
      </w:r>
      <w:r>
        <w:rPr>
          <w:rFonts w:hint="eastAsia" w:ascii="黑体" w:hAnsi="黑体" w:eastAsia="黑体" w:cs="黑体"/>
          <w:b w:val="0"/>
          <w:bCs/>
          <w:color w:val="000000" w:themeColor="text1"/>
          <w:sz w:val="32"/>
          <w:szCs w:val="32"/>
          <w:highlight w:val="none"/>
          <w14:textFill>
            <w14:solidFill>
              <w14:schemeClr w14:val="tx1"/>
            </w14:solidFill>
          </w14:textFill>
        </w:rPr>
        <w:t>、合同效力</w:t>
      </w:r>
    </w:p>
    <w:p>
      <w:pPr>
        <w:keepNext w:val="0"/>
        <w:keepLines w:val="0"/>
        <w:pageBreakBefore w:val="0"/>
        <w:numPr>
          <w:ilvl w:val="0"/>
          <w:numId w:val="0"/>
        </w:numPr>
        <w:kinsoku/>
        <w:wordWrap/>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本协议书一式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玖</w:t>
      </w:r>
      <w:r>
        <w:rPr>
          <w:rFonts w:hint="eastAsia" w:ascii="仿宋_GB2312" w:hAnsi="仿宋_GB2312" w:eastAsia="仿宋_GB2312" w:cs="仿宋_GB2312"/>
          <w:color w:val="000000" w:themeColor="text1"/>
          <w:sz w:val="32"/>
          <w:szCs w:val="32"/>
          <w:highlight w:val="none"/>
          <w14:textFill>
            <w14:solidFill>
              <w14:schemeClr w14:val="tx1"/>
            </w14:solidFill>
          </w14:textFill>
        </w:rPr>
        <w:t>份，具有同等法律效力，甲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、乙、丙三</w:t>
      </w:r>
      <w:r>
        <w:rPr>
          <w:rFonts w:hint="eastAsia" w:ascii="仿宋_GB2312" w:hAnsi="仿宋_GB2312" w:eastAsia="仿宋_GB2312" w:cs="仿宋_GB2312"/>
          <w:color w:val="000000" w:themeColor="text1"/>
          <w:sz w:val="32"/>
          <w:szCs w:val="32"/>
          <w:highlight w:val="none"/>
          <w14:textFill>
            <w14:solidFill>
              <w14:schemeClr w14:val="tx1"/>
            </w14:solidFill>
          </w14:textFill>
        </w:rPr>
        <w:t>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14:textFill>
            <w14:solidFill>
              <w14:schemeClr w14:val="tx1"/>
            </w14:solidFill>
          </w14:textFill>
        </w:rPr>
        <w:t>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叁</w:t>
      </w:r>
      <w:r>
        <w:rPr>
          <w:rFonts w:hint="eastAsia" w:ascii="仿宋_GB2312" w:hAnsi="仿宋_GB2312" w:eastAsia="仿宋_GB2312" w:cs="仿宋_GB2312"/>
          <w:color w:val="000000" w:themeColor="text1"/>
          <w:sz w:val="32"/>
          <w:szCs w:val="32"/>
          <w:highlight w:val="none"/>
          <w14:textFill>
            <w14:solidFill>
              <w14:schemeClr w14:val="tx1"/>
            </w14:solidFill>
          </w14:textFill>
        </w:rPr>
        <w:t>份。</w:t>
      </w:r>
    </w:p>
    <w:p>
      <w:pPr>
        <w:keepNext w:val="0"/>
        <w:keepLines w:val="0"/>
        <w:pageBreakBefore w:val="0"/>
        <w:numPr>
          <w:ilvl w:val="0"/>
          <w:numId w:val="0"/>
        </w:numPr>
        <w:kinsoku/>
        <w:wordWrap/>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本协议作为编号为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的《买卖合同》的附件以及组成部分。</w:t>
      </w:r>
    </w:p>
    <w:p>
      <w:pPr>
        <w:keepNext w:val="0"/>
        <w:keepLines w:val="0"/>
        <w:pageBreakBefore w:val="0"/>
        <w:numPr>
          <w:ilvl w:val="0"/>
          <w:numId w:val="0"/>
        </w:numPr>
        <w:kinsoku/>
        <w:wordWrap/>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本协议书自甲乙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丙三</w:t>
      </w:r>
      <w:r>
        <w:rPr>
          <w:rFonts w:hint="eastAsia" w:ascii="仿宋_GB2312" w:hAnsi="仿宋_GB2312" w:eastAsia="仿宋_GB2312" w:cs="仿宋_GB2312"/>
          <w:color w:val="000000" w:themeColor="text1"/>
          <w:sz w:val="32"/>
          <w:szCs w:val="32"/>
          <w:highlight w:val="none"/>
          <w14:textFill>
            <w14:solidFill>
              <w14:schemeClr w14:val="tx1"/>
            </w14:solidFill>
          </w14:textFill>
        </w:rPr>
        <w:t>方签字盖章之日起生效。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本协议书未尽事宜，经甲乙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丙三</w:t>
      </w:r>
      <w:r>
        <w:rPr>
          <w:rFonts w:hint="eastAsia" w:ascii="仿宋_GB2312" w:hAnsi="仿宋_GB2312" w:eastAsia="仿宋_GB2312" w:cs="仿宋_GB2312"/>
          <w:color w:val="000000" w:themeColor="text1"/>
          <w:sz w:val="32"/>
          <w:szCs w:val="32"/>
          <w:highlight w:val="none"/>
          <w14:textFill>
            <w14:solidFill>
              <w14:schemeClr w14:val="tx1"/>
            </w14:solidFill>
          </w14:textFill>
        </w:rPr>
        <w:t>方协商一致，可另行签订补充协议，补充协议与本协议书具有同等法律效力。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（以下无正文）</w:t>
      </w:r>
    </w:p>
    <w:p>
      <w:pPr>
        <w:keepNext w:val="0"/>
        <w:keepLines w:val="0"/>
        <w:pageBreakBefore w:val="0"/>
        <w:kinsoku/>
        <w:wordWrap/>
        <w:topLinePunct w:val="0"/>
        <w:autoSpaceDE/>
        <w:autoSpaceDN/>
        <w:bidi w:val="0"/>
        <w:adjustRightInd/>
        <w:snapToGrid/>
        <w:spacing w:line="560" w:lineRule="exact"/>
        <w:textAlignment w:val="auto"/>
        <w:rPr>
          <w:rFonts w:hint="eastAsia" w:ascii="CESI仿宋-GB2312" w:hAnsi="CESI仿宋-GB2312" w:eastAsia="CESI仿宋-GB2312" w:cs="CESI仿宋-GB2312"/>
          <w:bCs/>
          <w:color w:val="000000" w:themeColor="text1"/>
          <w:sz w:val="30"/>
          <w:szCs w:val="30"/>
          <w:highlight w:val="none"/>
          <w14:textFill>
            <w14:solidFill>
              <w14:schemeClr w14:val="tx1"/>
            </w14:solidFill>
          </w14:textFill>
        </w:rPr>
      </w:pPr>
      <w:r>
        <w:rPr>
          <w:rFonts w:hint="eastAsia" w:ascii="CESI仿宋-GB2312" w:hAnsi="CESI仿宋-GB2312" w:eastAsia="CESI仿宋-GB2312" w:cs="CESI仿宋-GB2312"/>
          <w:bCs/>
          <w:color w:val="000000" w:themeColor="text1"/>
          <w:sz w:val="30"/>
          <w:szCs w:val="30"/>
          <w:highlight w:val="none"/>
          <w14:textFill>
            <w14:solidFill>
              <w14:schemeClr w14:val="tx1"/>
            </w14:solidFill>
          </w14:textFill>
        </w:rPr>
        <w:br w:type="page"/>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（本页为签署页）</w:t>
      </w:r>
    </w:p>
    <w:p>
      <w:pPr>
        <w:keepNext w:val="0"/>
        <w:keepLines w:val="0"/>
        <w:pageBreakBefore w:val="0"/>
        <w:kinsoku/>
        <w:wordWrap/>
        <w:overflowPunct/>
        <w:topLinePunct w:val="0"/>
        <w:autoSpaceDE/>
        <w:autoSpaceDN/>
        <w:bidi w:val="0"/>
        <w:adjustRightInd w:val="0"/>
        <w:snapToGrid w:val="0"/>
        <w:spacing w:line="560" w:lineRule="exact"/>
        <w:ind w:left="904" w:hanging="960" w:hangingChars="3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left="904" w:hanging="960" w:hangingChars="3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 xml:space="preserve">甲方（盖章）：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法定代表人：</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委托代理人：</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pStyle w:val="3"/>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b w:val="0"/>
          <w:bCs/>
          <w:sz w:val="32"/>
          <w:szCs w:val="32"/>
        </w:rPr>
      </w:pPr>
    </w:p>
    <w:p>
      <w:pPr>
        <w:keepNext w:val="0"/>
        <w:keepLines w:val="0"/>
        <w:pageBreakBefore w:val="0"/>
        <w:kinsoku/>
        <w:wordWrap/>
        <w:overflowPunct/>
        <w:topLinePunct w:val="0"/>
        <w:autoSpaceDE/>
        <w:autoSpaceDN/>
        <w:bidi w:val="0"/>
        <w:adjustRightInd w:val="0"/>
        <w:snapToGrid w:val="0"/>
        <w:spacing w:line="560" w:lineRule="exact"/>
        <w:ind w:left="602" w:hanging="640" w:hanging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乙方（盖章）：</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法定代表人：</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委托代理人：</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pStyle w:val="3"/>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b w:val="0"/>
          <w:bCs/>
          <w:sz w:val="32"/>
          <w:szCs w:val="32"/>
        </w:rPr>
      </w:pPr>
    </w:p>
    <w:p>
      <w:pPr>
        <w:keepNext w:val="0"/>
        <w:keepLines w:val="0"/>
        <w:pageBreakBefore w:val="0"/>
        <w:kinsoku/>
        <w:wordWrap/>
        <w:overflowPunct/>
        <w:topLinePunct w:val="0"/>
        <w:autoSpaceDE/>
        <w:autoSpaceDN/>
        <w:bidi w:val="0"/>
        <w:adjustRightInd w:val="0"/>
        <w:snapToGrid w:val="0"/>
        <w:spacing w:line="560" w:lineRule="exact"/>
        <w:ind w:left="602" w:hanging="640" w:hanging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丙</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方（盖章）：</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法定代表人：</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委托代理人：</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签订日期：</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val="0"/>
        <w:snapToGrid w:val="0"/>
        <w:spacing w:line="560" w:lineRule="exact"/>
        <w:ind w:firstLine="4480" w:firstLineChars="1400"/>
        <w:textAlignment w:val="auto"/>
        <w:outlineLvl w:val="9"/>
        <w:rPr>
          <w:color w:val="000000" w:themeColor="text1"/>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签订地点：</w:t>
      </w:r>
      <w:r>
        <w:rPr>
          <w:rFonts w:hint="eastAsia" w:ascii="仿宋_GB2312" w:hAnsi="仿宋_GB2312" w:eastAsia="仿宋_GB2312" w:cs="仿宋_GB2312"/>
          <w:b w:val="0"/>
          <w:bCs/>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 xml:space="preserve">     </w:t>
      </w:r>
      <w:r>
        <w:rPr>
          <w:rFonts w:hint="eastAsia" w:ascii="CESI仿宋-GB2312" w:hAnsi="CESI仿宋-GB2312" w:eastAsia="CESI仿宋-GB2312" w:cs="CESI仿宋-GB2312"/>
          <w:b/>
          <w:color w:val="000000" w:themeColor="text1"/>
          <w:sz w:val="30"/>
          <w:szCs w:val="30"/>
          <w:highlight w:val="none"/>
          <w:u w:val="single"/>
          <w14:textFill>
            <w14:solidFill>
              <w14:schemeClr w14:val="tx1"/>
            </w14:solidFill>
          </w14:textFill>
        </w:rPr>
        <w:t xml:space="preserve">        </w:t>
      </w:r>
    </w:p>
    <w:sectPr>
      <w:headerReference r:id="rId4" w:type="first"/>
      <w:headerReference r:id="rId3" w:type="default"/>
      <w:footerReference r:id="rId5" w:type="default"/>
      <w:footerReference r:id="rId6" w:type="even"/>
      <w:pgSz w:w="11906" w:h="16838"/>
      <w:pgMar w:top="2098" w:right="1474" w:bottom="1984"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p>
  <w:p>
    <w:pPr>
      <w:pStyle w:val="6"/>
      <w:framePr w:wrap="around" w:vAnchor="text" w:hAnchor="margin" w:xAlign="outside" w:y="1"/>
      <w:ind w:firstLine="280" w:firstLineChars="100"/>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ZGQxMDVlYjAxY2Q0ZjhjYjNkODM4MjZjNDUwNzAifQ=="/>
  </w:docVars>
  <w:rsids>
    <w:rsidRoot w:val="00000000"/>
    <w:rsid w:val="01FF621E"/>
    <w:rsid w:val="02B57D59"/>
    <w:rsid w:val="030D4EBA"/>
    <w:rsid w:val="045209E4"/>
    <w:rsid w:val="04FD3B02"/>
    <w:rsid w:val="06BDD52D"/>
    <w:rsid w:val="075F30E8"/>
    <w:rsid w:val="0C281FE4"/>
    <w:rsid w:val="0DFA664A"/>
    <w:rsid w:val="0FBF545B"/>
    <w:rsid w:val="0FBFC60B"/>
    <w:rsid w:val="0FFF5B66"/>
    <w:rsid w:val="112E7287"/>
    <w:rsid w:val="11A836BF"/>
    <w:rsid w:val="1213607E"/>
    <w:rsid w:val="13798C3B"/>
    <w:rsid w:val="13F073AE"/>
    <w:rsid w:val="145015A0"/>
    <w:rsid w:val="14653FFD"/>
    <w:rsid w:val="14DE7975"/>
    <w:rsid w:val="151B56FF"/>
    <w:rsid w:val="17DE2FB7"/>
    <w:rsid w:val="17F63174"/>
    <w:rsid w:val="18BA9FCF"/>
    <w:rsid w:val="1AEFFF4D"/>
    <w:rsid w:val="1AFFDA08"/>
    <w:rsid w:val="1B0A238F"/>
    <w:rsid w:val="1B377FEC"/>
    <w:rsid w:val="1B9725B1"/>
    <w:rsid w:val="1BDE3365"/>
    <w:rsid w:val="1BFDA316"/>
    <w:rsid w:val="1D08638A"/>
    <w:rsid w:val="1D163CD4"/>
    <w:rsid w:val="1DB717F6"/>
    <w:rsid w:val="1DB7A61D"/>
    <w:rsid w:val="1EC4B592"/>
    <w:rsid w:val="1F5326B4"/>
    <w:rsid w:val="1F8FA0F2"/>
    <w:rsid w:val="1F926133"/>
    <w:rsid w:val="1FFB6018"/>
    <w:rsid w:val="1FFFE5A1"/>
    <w:rsid w:val="20E7A2C5"/>
    <w:rsid w:val="23CAB4C1"/>
    <w:rsid w:val="240F17C4"/>
    <w:rsid w:val="24E5D5BE"/>
    <w:rsid w:val="255076C2"/>
    <w:rsid w:val="260364D4"/>
    <w:rsid w:val="26067DE7"/>
    <w:rsid w:val="27779D67"/>
    <w:rsid w:val="2A6C1170"/>
    <w:rsid w:val="2AA917DF"/>
    <w:rsid w:val="2BCBCE96"/>
    <w:rsid w:val="2BF73FE3"/>
    <w:rsid w:val="2EB60A4F"/>
    <w:rsid w:val="2F17227B"/>
    <w:rsid w:val="2F744449"/>
    <w:rsid w:val="2F8F7016"/>
    <w:rsid w:val="2F9D1316"/>
    <w:rsid w:val="2FE43FBE"/>
    <w:rsid w:val="2FE7393D"/>
    <w:rsid w:val="2FFC74DE"/>
    <w:rsid w:val="32397EE6"/>
    <w:rsid w:val="33F0DA09"/>
    <w:rsid w:val="34793B7A"/>
    <w:rsid w:val="34A33566"/>
    <w:rsid w:val="34A46435"/>
    <w:rsid w:val="34EE6ED2"/>
    <w:rsid w:val="35CB00AA"/>
    <w:rsid w:val="36621F5E"/>
    <w:rsid w:val="36AE7E47"/>
    <w:rsid w:val="372A2A0B"/>
    <w:rsid w:val="377AFEF8"/>
    <w:rsid w:val="37DF9B80"/>
    <w:rsid w:val="37FB7B4A"/>
    <w:rsid w:val="37FEBA9B"/>
    <w:rsid w:val="38B74680"/>
    <w:rsid w:val="39B7E411"/>
    <w:rsid w:val="3A5B4E64"/>
    <w:rsid w:val="3ABD583D"/>
    <w:rsid w:val="3B170289"/>
    <w:rsid w:val="3B32D95C"/>
    <w:rsid w:val="3BCF60C5"/>
    <w:rsid w:val="3BED2081"/>
    <w:rsid w:val="3C287563"/>
    <w:rsid w:val="3CB5B0BF"/>
    <w:rsid w:val="3CFDE13D"/>
    <w:rsid w:val="3D15282A"/>
    <w:rsid w:val="3D7528E8"/>
    <w:rsid w:val="3DEA5067"/>
    <w:rsid w:val="3DFF3290"/>
    <w:rsid w:val="3E3B2EF3"/>
    <w:rsid w:val="3E7FA013"/>
    <w:rsid w:val="3E975D7F"/>
    <w:rsid w:val="3EEE58CB"/>
    <w:rsid w:val="3EFC6E5A"/>
    <w:rsid w:val="3EFCB216"/>
    <w:rsid w:val="3F27F5DB"/>
    <w:rsid w:val="3F2B07C2"/>
    <w:rsid w:val="3F4D9EEE"/>
    <w:rsid w:val="3F77B977"/>
    <w:rsid w:val="3F7DEF05"/>
    <w:rsid w:val="3F7FBD5D"/>
    <w:rsid w:val="3F9D8C4B"/>
    <w:rsid w:val="3FAB42B1"/>
    <w:rsid w:val="3FABB0A5"/>
    <w:rsid w:val="3FB90B0B"/>
    <w:rsid w:val="3FBE4700"/>
    <w:rsid w:val="3FCEA857"/>
    <w:rsid w:val="3FE96CBF"/>
    <w:rsid w:val="3FEF2F35"/>
    <w:rsid w:val="3FEF8BAA"/>
    <w:rsid w:val="3FFF0AC4"/>
    <w:rsid w:val="3FFF9463"/>
    <w:rsid w:val="3FFFC0FC"/>
    <w:rsid w:val="402F091C"/>
    <w:rsid w:val="41215C63"/>
    <w:rsid w:val="412E2888"/>
    <w:rsid w:val="41A75014"/>
    <w:rsid w:val="42AB4717"/>
    <w:rsid w:val="44346DE2"/>
    <w:rsid w:val="4472470D"/>
    <w:rsid w:val="44CF7689"/>
    <w:rsid w:val="44D8663C"/>
    <w:rsid w:val="4537569D"/>
    <w:rsid w:val="467F0F5E"/>
    <w:rsid w:val="46D544C0"/>
    <w:rsid w:val="49B2F523"/>
    <w:rsid w:val="4B7FF5A1"/>
    <w:rsid w:val="4BAFFF22"/>
    <w:rsid w:val="4BF50A8D"/>
    <w:rsid w:val="4BFC0A7A"/>
    <w:rsid w:val="4DDEDDBC"/>
    <w:rsid w:val="4EFF576B"/>
    <w:rsid w:val="4F1043FE"/>
    <w:rsid w:val="4F1A41D0"/>
    <w:rsid w:val="4FB5F613"/>
    <w:rsid w:val="4FED9D89"/>
    <w:rsid w:val="4FF5B396"/>
    <w:rsid w:val="4FFF64E9"/>
    <w:rsid w:val="50BF8959"/>
    <w:rsid w:val="51B43959"/>
    <w:rsid w:val="51FCDDBC"/>
    <w:rsid w:val="52737DC8"/>
    <w:rsid w:val="535CF74D"/>
    <w:rsid w:val="53FB9CF8"/>
    <w:rsid w:val="55152C2C"/>
    <w:rsid w:val="55FD421D"/>
    <w:rsid w:val="568C61EF"/>
    <w:rsid w:val="579B33D8"/>
    <w:rsid w:val="57A9663E"/>
    <w:rsid w:val="57BF811F"/>
    <w:rsid w:val="57F77419"/>
    <w:rsid w:val="57FF975D"/>
    <w:rsid w:val="58EF4FB1"/>
    <w:rsid w:val="58FCB7F4"/>
    <w:rsid w:val="593B7274"/>
    <w:rsid w:val="5B73BED1"/>
    <w:rsid w:val="5B7D24B3"/>
    <w:rsid w:val="5BC26E0E"/>
    <w:rsid w:val="5BE73146"/>
    <w:rsid w:val="5BF52520"/>
    <w:rsid w:val="5BF75702"/>
    <w:rsid w:val="5D916354"/>
    <w:rsid w:val="5DC7BF55"/>
    <w:rsid w:val="5E2B60E9"/>
    <w:rsid w:val="5E7332C4"/>
    <w:rsid w:val="5E7BD734"/>
    <w:rsid w:val="5E9E5A59"/>
    <w:rsid w:val="5ECBC753"/>
    <w:rsid w:val="5EDA6126"/>
    <w:rsid w:val="5EFBE117"/>
    <w:rsid w:val="5EFEF18E"/>
    <w:rsid w:val="5F0766F7"/>
    <w:rsid w:val="5F4D96AF"/>
    <w:rsid w:val="5F5E9FC9"/>
    <w:rsid w:val="5F62564B"/>
    <w:rsid w:val="5F6B9609"/>
    <w:rsid w:val="5F7C8185"/>
    <w:rsid w:val="5FBEED13"/>
    <w:rsid w:val="5FBF25F2"/>
    <w:rsid w:val="5FD71024"/>
    <w:rsid w:val="5FF8C68D"/>
    <w:rsid w:val="5FFD8184"/>
    <w:rsid w:val="5FFDA97F"/>
    <w:rsid w:val="5FFFB509"/>
    <w:rsid w:val="5FFFEBFE"/>
    <w:rsid w:val="6120605F"/>
    <w:rsid w:val="63635B3E"/>
    <w:rsid w:val="63DD7118"/>
    <w:rsid w:val="65180E4F"/>
    <w:rsid w:val="658C42F3"/>
    <w:rsid w:val="65FF0510"/>
    <w:rsid w:val="6638F3F5"/>
    <w:rsid w:val="672D5FB4"/>
    <w:rsid w:val="676B121F"/>
    <w:rsid w:val="677FE494"/>
    <w:rsid w:val="69EC1A28"/>
    <w:rsid w:val="6ADEF965"/>
    <w:rsid w:val="6B51665B"/>
    <w:rsid w:val="6B814E20"/>
    <w:rsid w:val="6BBD0892"/>
    <w:rsid w:val="6BD59054"/>
    <w:rsid w:val="6CAD3942"/>
    <w:rsid w:val="6D3BB695"/>
    <w:rsid w:val="6DBF3F0B"/>
    <w:rsid w:val="6DBF5BA7"/>
    <w:rsid w:val="6DCD06FB"/>
    <w:rsid w:val="6E5FDCAF"/>
    <w:rsid w:val="6EBDE892"/>
    <w:rsid w:val="6ED1368E"/>
    <w:rsid w:val="6EFF6E17"/>
    <w:rsid w:val="6F25163E"/>
    <w:rsid w:val="6F3DC5BA"/>
    <w:rsid w:val="6FBF93D3"/>
    <w:rsid w:val="6FCC9284"/>
    <w:rsid w:val="6FDA2D29"/>
    <w:rsid w:val="6FDE34B9"/>
    <w:rsid w:val="6FDE4C3B"/>
    <w:rsid w:val="6FDF2AC1"/>
    <w:rsid w:val="6FE92E68"/>
    <w:rsid w:val="6FFA2ADA"/>
    <w:rsid w:val="6FFC0C79"/>
    <w:rsid w:val="6FFE9006"/>
    <w:rsid w:val="6FFEA0AE"/>
    <w:rsid w:val="6FFEEED1"/>
    <w:rsid w:val="6FFFE784"/>
    <w:rsid w:val="70CA109C"/>
    <w:rsid w:val="72384E22"/>
    <w:rsid w:val="729D379E"/>
    <w:rsid w:val="729F9786"/>
    <w:rsid w:val="72FEDE5E"/>
    <w:rsid w:val="72FFAC37"/>
    <w:rsid w:val="73672CEE"/>
    <w:rsid w:val="737F5779"/>
    <w:rsid w:val="73E60C7C"/>
    <w:rsid w:val="73FAFEAD"/>
    <w:rsid w:val="73FCEE6B"/>
    <w:rsid w:val="73FEE1EB"/>
    <w:rsid w:val="73FF0F6D"/>
    <w:rsid w:val="74120FE7"/>
    <w:rsid w:val="745FE5D3"/>
    <w:rsid w:val="74DA9A57"/>
    <w:rsid w:val="7534619E"/>
    <w:rsid w:val="756E23CB"/>
    <w:rsid w:val="75D82EB8"/>
    <w:rsid w:val="75FBCB81"/>
    <w:rsid w:val="76797101"/>
    <w:rsid w:val="769F4852"/>
    <w:rsid w:val="76E9054C"/>
    <w:rsid w:val="76FFF965"/>
    <w:rsid w:val="7745C5C0"/>
    <w:rsid w:val="775DA05C"/>
    <w:rsid w:val="7790EA3E"/>
    <w:rsid w:val="77AE75E1"/>
    <w:rsid w:val="77B3821B"/>
    <w:rsid w:val="77BF9B34"/>
    <w:rsid w:val="77D79C82"/>
    <w:rsid w:val="77EDE17C"/>
    <w:rsid w:val="77EEA033"/>
    <w:rsid w:val="77FA41D6"/>
    <w:rsid w:val="77FDD148"/>
    <w:rsid w:val="77FEDAA8"/>
    <w:rsid w:val="77FF247D"/>
    <w:rsid w:val="77FF81D8"/>
    <w:rsid w:val="77FFE0D4"/>
    <w:rsid w:val="785A1014"/>
    <w:rsid w:val="78BAEF33"/>
    <w:rsid w:val="78F2C434"/>
    <w:rsid w:val="79DA5A2A"/>
    <w:rsid w:val="79FF6BF8"/>
    <w:rsid w:val="7A792B9E"/>
    <w:rsid w:val="7ADF46CF"/>
    <w:rsid w:val="7AFAC94B"/>
    <w:rsid w:val="7B737882"/>
    <w:rsid w:val="7B770F42"/>
    <w:rsid w:val="7B82B95A"/>
    <w:rsid w:val="7BBD1054"/>
    <w:rsid w:val="7BBF04AC"/>
    <w:rsid w:val="7BBF09EC"/>
    <w:rsid w:val="7BE86D5F"/>
    <w:rsid w:val="7BF3AB24"/>
    <w:rsid w:val="7BFC6960"/>
    <w:rsid w:val="7BFD2217"/>
    <w:rsid w:val="7CEE1551"/>
    <w:rsid w:val="7CFD69B6"/>
    <w:rsid w:val="7CFF6B1D"/>
    <w:rsid w:val="7D36DF67"/>
    <w:rsid w:val="7D37E3A9"/>
    <w:rsid w:val="7D3E1FA3"/>
    <w:rsid w:val="7D6D2410"/>
    <w:rsid w:val="7D7F77DF"/>
    <w:rsid w:val="7D9FA2A8"/>
    <w:rsid w:val="7DB71174"/>
    <w:rsid w:val="7DDB2FAE"/>
    <w:rsid w:val="7DE792B2"/>
    <w:rsid w:val="7DEDD6CF"/>
    <w:rsid w:val="7DF40011"/>
    <w:rsid w:val="7DFE8CEE"/>
    <w:rsid w:val="7DFFAFCA"/>
    <w:rsid w:val="7E043BAD"/>
    <w:rsid w:val="7E5F4FAA"/>
    <w:rsid w:val="7E6700E6"/>
    <w:rsid w:val="7E7CAC54"/>
    <w:rsid w:val="7E7F0502"/>
    <w:rsid w:val="7E986598"/>
    <w:rsid w:val="7EA7B54F"/>
    <w:rsid w:val="7EBF308A"/>
    <w:rsid w:val="7EBF959A"/>
    <w:rsid w:val="7EEFBA62"/>
    <w:rsid w:val="7EF7ECF1"/>
    <w:rsid w:val="7EFA765A"/>
    <w:rsid w:val="7F1DCDB1"/>
    <w:rsid w:val="7F64AEC7"/>
    <w:rsid w:val="7F7BCCCC"/>
    <w:rsid w:val="7F7F62F9"/>
    <w:rsid w:val="7F7F6D69"/>
    <w:rsid w:val="7F7FBF3D"/>
    <w:rsid w:val="7F97A892"/>
    <w:rsid w:val="7FA4619F"/>
    <w:rsid w:val="7FAA6712"/>
    <w:rsid w:val="7FAFEC22"/>
    <w:rsid w:val="7FBC32D1"/>
    <w:rsid w:val="7FBFB5F3"/>
    <w:rsid w:val="7FD4CE87"/>
    <w:rsid w:val="7FD75697"/>
    <w:rsid w:val="7FDB6B9C"/>
    <w:rsid w:val="7FDF87BA"/>
    <w:rsid w:val="7FDF9305"/>
    <w:rsid w:val="7FDFFEDB"/>
    <w:rsid w:val="7FEF82FE"/>
    <w:rsid w:val="7FF410E5"/>
    <w:rsid w:val="7FF41458"/>
    <w:rsid w:val="7FF5B632"/>
    <w:rsid w:val="7FF8EDBE"/>
    <w:rsid w:val="7FF9725B"/>
    <w:rsid w:val="7FF9FD56"/>
    <w:rsid w:val="7FFBA6C2"/>
    <w:rsid w:val="7FFCC356"/>
    <w:rsid w:val="7FFD72AF"/>
    <w:rsid w:val="7FFEDD54"/>
    <w:rsid w:val="7FFF139B"/>
    <w:rsid w:val="7FFF641F"/>
    <w:rsid w:val="7FFF8835"/>
    <w:rsid w:val="7FFFBE38"/>
    <w:rsid w:val="7FFFE2C2"/>
    <w:rsid w:val="87DE97C4"/>
    <w:rsid w:val="8EDEC747"/>
    <w:rsid w:val="8F3BD5C9"/>
    <w:rsid w:val="912F3A33"/>
    <w:rsid w:val="94FF26DC"/>
    <w:rsid w:val="96EFFAF7"/>
    <w:rsid w:val="9B3F7126"/>
    <w:rsid w:val="9B9F067A"/>
    <w:rsid w:val="9B9F0909"/>
    <w:rsid w:val="9C4C018E"/>
    <w:rsid w:val="9DF3A56A"/>
    <w:rsid w:val="9F4FD833"/>
    <w:rsid w:val="9F5F6793"/>
    <w:rsid w:val="9F9F989C"/>
    <w:rsid w:val="A4EF8BFB"/>
    <w:rsid w:val="A7786576"/>
    <w:rsid w:val="A7D716B9"/>
    <w:rsid w:val="A7DFD413"/>
    <w:rsid w:val="A7E7BADB"/>
    <w:rsid w:val="AB8F2DD8"/>
    <w:rsid w:val="ABBD3F99"/>
    <w:rsid w:val="ABFB35DE"/>
    <w:rsid w:val="AC5DC092"/>
    <w:rsid w:val="AD9B5FAB"/>
    <w:rsid w:val="AD9BF8AC"/>
    <w:rsid w:val="AFBEC1B4"/>
    <w:rsid w:val="AFBFDA7C"/>
    <w:rsid w:val="AFEE9C50"/>
    <w:rsid w:val="AFFB9F9E"/>
    <w:rsid w:val="B3B7794E"/>
    <w:rsid w:val="B3F6C185"/>
    <w:rsid w:val="B4DB3598"/>
    <w:rsid w:val="B5DF91CC"/>
    <w:rsid w:val="B67FC781"/>
    <w:rsid w:val="B79FD3C8"/>
    <w:rsid w:val="B7AF0A9E"/>
    <w:rsid w:val="B7FB0E6D"/>
    <w:rsid w:val="B7FC8F42"/>
    <w:rsid w:val="B81CFFB5"/>
    <w:rsid w:val="B87FB6DD"/>
    <w:rsid w:val="B9CF7E95"/>
    <w:rsid w:val="BAA70AD0"/>
    <w:rsid w:val="BAFB41BB"/>
    <w:rsid w:val="BAFF3CDF"/>
    <w:rsid w:val="BBD9D737"/>
    <w:rsid w:val="BC4FCBE5"/>
    <w:rsid w:val="BCDFCBA8"/>
    <w:rsid w:val="BCFAC9CF"/>
    <w:rsid w:val="BD7F2771"/>
    <w:rsid w:val="BD9F38FD"/>
    <w:rsid w:val="BDAF00BF"/>
    <w:rsid w:val="BDB3AE70"/>
    <w:rsid w:val="BDBE2612"/>
    <w:rsid w:val="BDEB20F5"/>
    <w:rsid w:val="BE0FF2EA"/>
    <w:rsid w:val="BEB7926F"/>
    <w:rsid w:val="BEB91B98"/>
    <w:rsid w:val="BECFB351"/>
    <w:rsid w:val="BEFFD00B"/>
    <w:rsid w:val="BF231936"/>
    <w:rsid w:val="BF5EFDBC"/>
    <w:rsid w:val="BF6F2CE4"/>
    <w:rsid w:val="BF751E6C"/>
    <w:rsid w:val="BF8EF9A6"/>
    <w:rsid w:val="BFCB58EA"/>
    <w:rsid w:val="BFCE26FE"/>
    <w:rsid w:val="BFDF4A1D"/>
    <w:rsid w:val="BFDF5FD0"/>
    <w:rsid w:val="BFE4B8ED"/>
    <w:rsid w:val="BFE7698B"/>
    <w:rsid w:val="BFEE150D"/>
    <w:rsid w:val="BFF6F717"/>
    <w:rsid w:val="BFFEB84B"/>
    <w:rsid w:val="BFFEE9CC"/>
    <w:rsid w:val="BFFF97B8"/>
    <w:rsid w:val="C0EF8493"/>
    <w:rsid w:val="C69DAB77"/>
    <w:rsid w:val="CAEB9905"/>
    <w:rsid w:val="CAFE4455"/>
    <w:rsid w:val="CBA7A9B7"/>
    <w:rsid w:val="CBFD7701"/>
    <w:rsid w:val="CD3B24D8"/>
    <w:rsid w:val="CDAF9925"/>
    <w:rsid w:val="CF5B91C5"/>
    <w:rsid w:val="CF5F0731"/>
    <w:rsid w:val="CF7B259B"/>
    <w:rsid w:val="CFDF08FE"/>
    <w:rsid w:val="D1FF4214"/>
    <w:rsid w:val="D3E96849"/>
    <w:rsid w:val="D3F27AA6"/>
    <w:rsid w:val="D3F9F009"/>
    <w:rsid w:val="D45AE163"/>
    <w:rsid w:val="D67E8E81"/>
    <w:rsid w:val="D69BF1BD"/>
    <w:rsid w:val="D76ED730"/>
    <w:rsid w:val="D7BEB52B"/>
    <w:rsid w:val="D7F72FFD"/>
    <w:rsid w:val="D7FF10CE"/>
    <w:rsid w:val="D9765CF0"/>
    <w:rsid w:val="D9F60F50"/>
    <w:rsid w:val="D9FE4468"/>
    <w:rsid w:val="DB235F95"/>
    <w:rsid w:val="DBDF82B3"/>
    <w:rsid w:val="DBFC0C99"/>
    <w:rsid w:val="DBFEB7AD"/>
    <w:rsid w:val="DBFEE4A4"/>
    <w:rsid w:val="DCBC0599"/>
    <w:rsid w:val="DCBF9507"/>
    <w:rsid w:val="DCE627DA"/>
    <w:rsid w:val="DD7B32F0"/>
    <w:rsid w:val="DD84DAA8"/>
    <w:rsid w:val="DDDF415B"/>
    <w:rsid w:val="DDF6CC42"/>
    <w:rsid w:val="DDFFFBAF"/>
    <w:rsid w:val="DE4589B3"/>
    <w:rsid w:val="DE75CB35"/>
    <w:rsid w:val="DEB7FA50"/>
    <w:rsid w:val="DEDF0BCF"/>
    <w:rsid w:val="DEEBCF19"/>
    <w:rsid w:val="DF2F50C1"/>
    <w:rsid w:val="DF3564F9"/>
    <w:rsid w:val="DF3B9576"/>
    <w:rsid w:val="DF4FCBF1"/>
    <w:rsid w:val="DF5C88E9"/>
    <w:rsid w:val="DF6639D5"/>
    <w:rsid w:val="DFBD405A"/>
    <w:rsid w:val="DFBF37A3"/>
    <w:rsid w:val="DFCB6D8D"/>
    <w:rsid w:val="DFEB38F4"/>
    <w:rsid w:val="DFEC3D71"/>
    <w:rsid w:val="DFF6565B"/>
    <w:rsid w:val="DFF708C3"/>
    <w:rsid w:val="DFF70D44"/>
    <w:rsid w:val="DFF997EA"/>
    <w:rsid w:val="DFFB75C7"/>
    <w:rsid w:val="E22F5975"/>
    <w:rsid w:val="E5ED1E36"/>
    <w:rsid w:val="E5FF50F6"/>
    <w:rsid w:val="E6B14BE0"/>
    <w:rsid w:val="E6BC01EC"/>
    <w:rsid w:val="E7547EAB"/>
    <w:rsid w:val="E79F2E2C"/>
    <w:rsid w:val="E7DD79C2"/>
    <w:rsid w:val="E7F76754"/>
    <w:rsid w:val="E7FD098F"/>
    <w:rsid w:val="E7FE0E73"/>
    <w:rsid w:val="E7FFF308"/>
    <w:rsid w:val="E8DB53E9"/>
    <w:rsid w:val="E97F4AF7"/>
    <w:rsid w:val="EADD2F78"/>
    <w:rsid w:val="EBE7C973"/>
    <w:rsid w:val="EBFE7C8B"/>
    <w:rsid w:val="EC1FA4FF"/>
    <w:rsid w:val="EC37ACC6"/>
    <w:rsid w:val="ECDBB759"/>
    <w:rsid w:val="ECE2A23A"/>
    <w:rsid w:val="EDFE9E3A"/>
    <w:rsid w:val="EE7355DB"/>
    <w:rsid w:val="EED3E13D"/>
    <w:rsid w:val="EEF7FE47"/>
    <w:rsid w:val="EF7F7675"/>
    <w:rsid w:val="EF7FCD09"/>
    <w:rsid w:val="EF857295"/>
    <w:rsid w:val="EFBB3BDD"/>
    <w:rsid w:val="EFBF1987"/>
    <w:rsid w:val="EFBFACF1"/>
    <w:rsid w:val="EFBFD49E"/>
    <w:rsid w:val="EFCB86CF"/>
    <w:rsid w:val="EFE76233"/>
    <w:rsid w:val="EFF77807"/>
    <w:rsid w:val="EFF9B75A"/>
    <w:rsid w:val="EFFB4A64"/>
    <w:rsid w:val="EFFCBDAD"/>
    <w:rsid w:val="EFFE301D"/>
    <w:rsid w:val="EFFEAF12"/>
    <w:rsid w:val="EFFF4C91"/>
    <w:rsid w:val="F049FB15"/>
    <w:rsid w:val="F1FB59DC"/>
    <w:rsid w:val="F2FBD64F"/>
    <w:rsid w:val="F2FF69CD"/>
    <w:rsid w:val="F37F1E0E"/>
    <w:rsid w:val="F3BB50BF"/>
    <w:rsid w:val="F3F99D20"/>
    <w:rsid w:val="F3FF4951"/>
    <w:rsid w:val="F3FF8DDC"/>
    <w:rsid w:val="F54D2940"/>
    <w:rsid w:val="F57F50C5"/>
    <w:rsid w:val="F5DD1447"/>
    <w:rsid w:val="F5F1C9D1"/>
    <w:rsid w:val="F5FD2953"/>
    <w:rsid w:val="F5FD9779"/>
    <w:rsid w:val="F64F2FC7"/>
    <w:rsid w:val="F6AC0C53"/>
    <w:rsid w:val="F6CFF041"/>
    <w:rsid w:val="F6EEA0D2"/>
    <w:rsid w:val="F6F70ADA"/>
    <w:rsid w:val="F755E184"/>
    <w:rsid w:val="F77F7FC6"/>
    <w:rsid w:val="F7E50F11"/>
    <w:rsid w:val="F7E7A02D"/>
    <w:rsid w:val="F7EB3628"/>
    <w:rsid w:val="F7EEF2F7"/>
    <w:rsid w:val="F7EEFCBA"/>
    <w:rsid w:val="F7FC4CC7"/>
    <w:rsid w:val="F7FD2B91"/>
    <w:rsid w:val="F8DDE516"/>
    <w:rsid w:val="F9CFECAD"/>
    <w:rsid w:val="F9D7CEB2"/>
    <w:rsid w:val="F9F72545"/>
    <w:rsid w:val="F9FBEDF2"/>
    <w:rsid w:val="FA7FDAE8"/>
    <w:rsid w:val="FAE5F4B6"/>
    <w:rsid w:val="FAF0C75E"/>
    <w:rsid w:val="FB3C7696"/>
    <w:rsid w:val="FB3F34DF"/>
    <w:rsid w:val="FB6FBB28"/>
    <w:rsid w:val="FB755EF5"/>
    <w:rsid w:val="FB7756C6"/>
    <w:rsid w:val="FB7F23F2"/>
    <w:rsid w:val="FBBF2F94"/>
    <w:rsid w:val="FBBFA4EE"/>
    <w:rsid w:val="FBCCDD81"/>
    <w:rsid w:val="FBED509E"/>
    <w:rsid w:val="FBF5AFB8"/>
    <w:rsid w:val="FBF9848A"/>
    <w:rsid w:val="FBFDC72E"/>
    <w:rsid w:val="FBFE2390"/>
    <w:rsid w:val="FCAB5842"/>
    <w:rsid w:val="FCDBD819"/>
    <w:rsid w:val="FD3F2919"/>
    <w:rsid w:val="FD7C99F3"/>
    <w:rsid w:val="FDB7E496"/>
    <w:rsid w:val="FDBBDBBE"/>
    <w:rsid w:val="FDCDB5C2"/>
    <w:rsid w:val="FDDE35B6"/>
    <w:rsid w:val="FDE708B1"/>
    <w:rsid w:val="FDF5CB2A"/>
    <w:rsid w:val="FDF6CDF6"/>
    <w:rsid w:val="FE2FC43E"/>
    <w:rsid w:val="FE6E78AE"/>
    <w:rsid w:val="FE7ECC95"/>
    <w:rsid w:val="FEAA108F"/>
    <w:rsid w:val="FEBDC9E0"/>
    <w:rsid w:val="FECF8DEB"/>
    <w:rsid w:val="FED20859"/>
    <w:rsid w:val="FEF20C55"/>
    <w:rsid w:val="FEF35870"/>
    <w:rsid w:val="FEF51732"/>
    <w:rsid w:val="FEF5FC0E"/>
    <w:rsid w:val="FEF73280"/>
    <w:rsid w:val="FEF7A33C"/>
    <w:rsid w:val="FEF7D026"/>
    <w:rsid w:val="FEFD7DA3"/>
    <w:rsid w:val="FEFE431A"/>
    <w:rsid w:val="FEFF3882"/>
    <w:rsid w:val="FEFF6831"/>
    <w:rsid w:val="FF3B69A9"/>
    <w:rsid w:val="FF3D7DBD"/>
    <w:rsid w:val="FF3DA9C3"/>
    <w:rsid w:val="FF5F982C"/>
    <w:rsid w:val="FF6B7AD1"/>
    <w:rsid w:val="FF7A2B38"/>
    <w:rsid w:val="FF7B0E23"/>
    <w:rsid w:val="FF7EE4F8"/>
    <w:rsid w:val="FF7F4990"/>
    <w:rsid w:val="FF8EBC7A"/>
    <w:rsid w:val="FF976331"/>
    <w:rsid w:val="FFB7C5AA"/>
    <w:rsid w:val="FFBEC138"/>
    <w:rsid w:val="FFBF0088"/>
    <w:rsid w:val="FFBFA02A"/>
    <w:rsid w:val="FFCD54D2"/>
    <w:rsid w:val="FFCEBD70"/>
    <w:rsid w:val="FFCF54E4"/>
    <w:rsid w:val="FFD68A31"/>
    <w:rsid w:val="FFD702B9"/>
    <w:rsid w:val="FFD7C392"/>
    <w:rsid w:val="FFDF7796"/>
    <w:rsid w:val="FFDFF963"/>
    <w:rsid w:val="FFE4B081"/>
    <w:rsid w:val="FFE5B167"/>
    <w:rsid w:val="FFEB1A70"/>
    <w:rsid w:val="FFEBB2C5"/>
    <w:rsid w:val="FFEDB7ED"/>
    <w:rsid w:val="FFEDEAA1"/>
    <w:rsid w:val="FFF6913B"/>
    <w:rsid w:val="FFF70854"/>
    <w:rsid w:val="FFF7695F"/>
    <w:rsid w:val="FFF7EA4B"/>
    <w:rsid w:val="FFFB5262"/>
    <w:rsid w:val="FFFBC518"/>
    <w:rsid w:val="FFFC1796"/>
    <w:rsid w:val="FFFD7180"/>
    <w:rsid w:val="FFFDC385"/>
    <w:rsid w:val="FFFDF3FA"/>
    <w:rsid w:val="FFFE356B"/>
    <w:rsid w:val="FFFF3386"/>
    <w:rsid w:val="FFFF6A7A"/>
    <w:rsid w:val="FFFFB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firstLineChars="200"/>
    </w:pPr>
    <w:rPr>
      <w:rFonts w:ascii="Arial" w:hAnsi="Arial" w:cs="宋体"/>
      <w:sz w:val="28"/>
      <w:szCs w:val="28"/>
    </w:rPr>
  </w:style>
  <w:style w:type="paragraph" w:styleId="3">
    <w:name w:val="Normal Indent"/>
    <w:basedOn w:val="1"/>
    <w:qFormat/>
    <w:uiPriority w:val="0"/>
    <w:pPr>
      <w:ind w:firstLine="420" w:firstLineChars="200"/>
    </w:pPr>
    <w:rPr>
      <w:szCs w:val="24"/>
    </w:rPr>
  </w:style>
  <w:style w:type="paragraph" w:styleId="4">
    <w:name w:val="annotation text"/>
    <w:basedOn w:val="1"/>
    <w:qFormat/>
    <w:uiPriority w:val="0"/>
    <w:pPr>
      <w:jc w:val="left"/>
    </w:pPr>
  </w:style>
  <w:style w:type="paragraph" w:styleId="5">
    <w:name w:val="Body Text Indent"/>
    <w:basedOn w:val="1"/>
    <w:qFormat/>
    <w:uiPriority w:val="0"/>
    <w:pPr>
      <w:ind w:firstLine="570"/>
    </w:pPr>
    <w:rPr>
      <w:rFonts w:ascii="宋体" w:hAnsi="宋体"/>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1">
    <w:name w:val="page number"/>
    <w:basedOn w:val="10"/>
    <w:qFormat/>
    <w:uiPriority w:val="0"/>
  </w:style>
  <w:style w:type="paragraph" w:customStyle="1" w:styleId="12">
    <w:name w:val="列出段落2"/>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3760</Words>
  <Characters>3793</Characters>
  <Lines>0</Lines>
  <Paragraphs>0</Paragraphs>
  <TotalTime>202</TotalTime>
  <ScaleCrop>false</ScaleCrop>
  <LinksUpToDate>false</LinksUpToDate>
  <CharactersWithSpaces>4931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2014-12-06T12:08:00Z</dcterms:created>
  <dc:creator>user</dc:creator>
  <cp:lastModifiedBy>longhua</cp:lastModifiedBy>
  <cp:lastPrinted>2023-02-26T06:14:00Z</cp:lastPrinted>
  <dcterms:modified xsi:type="dcterms:W3CDTF">2024-06-13T10:04:47Z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4AC504AD7644443C955108B991F9ED4B</vt:lpwstr>
  </property>
</Properties>
</file>