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2</w:t>
      </w:r>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6"/>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color w:val="000000"/>
                <w:kern w:val="0"/>
                <w:sz w:val="24"/>
                <w:szCs w:val="24"/>
              </w:rPr>
            </w:pPr>
            <w:bookmarkStart w:id="0" w:name="_GoBack"/>
            <w:bookmarkEnd w:id="0"/>
            <w:r>
              <w:rPr>
                <w:rFonts w:hint="eastAsia" w:ascii="黑体" w:hAnsi="华文中宋" w:eastAsia="黑体" w:cs="仿宋_GB2312"/>
                <w:kern w:val="0"/>
                <w:sz w:val="24"/>
                <w:szCs w:val="24"/>
              </w:rPr>
              <w:t>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1"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w:t>
            </w:r>
            <w:r>
              <w:rPr>
                <w:rFonts w:hint="eastAsia" w:ascii="仿宋_GB2312" w:hAnsi="仿宋_GB2312" w:eastAsia="仿宋_GB2312" w:cs="仿宋_GB2312"/>
                <w:b/>
                <w:bCs/>
                <w:color w:val="000000"/>
                <w:kern w:val="0"/>
                <w:sz w:val="24"/>
              </w:rPr>
              <w:t>商品房及安居商品房购房合同</w:t>
            </w:r>
            <w:r>
              <w:rPr>
                <w:rFonts w:hint="eastAsia" w:ascii="仿宋_GB2312" w:hAnsi="仿宋_GB2312" w:eastAsia="仿宋_GB2312" w:cs="仿宋_GB2312"/>
                <w:b/>
                <w:bCs/>
                <w:color w:val="000000"/>
                <w:kern w:val="0"/>
                <w:sz w:val="24"/>
                <w:lang w:eastAsia="zh-CN"/>
              </w:rPr>
              <w:t>（未到国土部门备案的购房合同不能申请学位）</w:t>
            </w:r>
            <w:r>
              <w:rPr>
                <w:rFonts w:hint="eastAsia" w:ascii="仿宋_GB2312" w:hAnsi="仿宋_GB2312" w:eastAsia="仿宋_GB2312" w:cs="仿宋_GB2312"/>
                <w:b/>
                <w:bCs/>
                <w:color w:val="000000"/>
                <w:kern w:val="0"/>
                <w:sz w:val="24"/>
              </w:rPr>
              <w:t>、</w:t>
            </w:r>
            <w:r>
              <w:rPr>
                <w:rFonts w:hint="eastAsia" w:ascii="仿宋_GB2312" w:hAnsi="仿宋_GB2312" w:eastAsia="仿宋_GB2312" w:cs="仿宋_GB2312"/>
                <w:b/>
                <w:bCs/>
                <w:color w:val="000000"/>
                <w:kern w:val="0"/>
                <w:sz w:val="24"/>
              </w:rPr>
              <w:t>房屋租赁信息、其他类住房（含自建房、军产房、集资房、小产权房、父母一方网格居住信息登记、商务公寓、集体宿舍等）可作为住房材料申请学位，但不参与积分。</w:t>
            </w:r>
          </w:p>
        </w:tc>
      </w:tr>
    </w:tbl>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6"/>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3" w:leftChars="-295" w:hanging="622"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F5FB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 w:type="character" w:customStyle="1" w:styleId="13">
    <w:name w:val="未处理的提及1"/>
    <w:basedOn w:val="7"/>
    <w:unhideWhenUsed/>
    <w:qFormat/>
    <w:uiPriority w:val="99"/>
    <w:rPr>
      <w:color w:val="605E5C"/>
      <w:shd w:val="clear" w:color="auto" w:fill="E1DFDD"/>
    </w:rPr>
  </w:style>
  <w:style w:type="character" w:customStyle="1" w:styleId="14">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0</TotalTime>
  <ScaleCrop>false</ScaleCrop>
  <LinksUpToDate>false</LinksUpToDate>
  <CharactersWithSpaces>6250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2019-04-10T12:21:00Z</dcterms:created>
  <dc:creator>刘碧波</dc:creator>
  <cp:lastModifiedBy>何慧</cp:lastModifiedBy>
  <cp:lastPrinted>2022-05-28T10:45:00Z</cp:lastPrinted>
  <dcterms:modified xsi:type="dcterms:W3CDTF">2023-05-29T03:01:32Z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7E24CF58B2DF41CEA9DBC020F6DBEE1D</vt:lpwstr>
  </property>
</Properties>
</file>