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附件</w:t>
      </w:r>
      <w:r>
        <w:rPr>
          <w:rFonts w:hint="eastAsia" w:ascii="仿宋_GB2312" w:hAnsi="仿宋_GB2312" w:eastAsia="仿宋_GB2312" w:cs="仿宋_GB2312"/>
          <w:color w:val="000000"/>
          <w:kern w:val="0"/>
          <w:sz w:val="28"/>
          <w:szCs w:val="28"/>
          <w:lang w:val="en-US" w:eastAsia="zh-CN"/>
        </w:rPr>
        <w:t>3</w:t>
      </w:r>
    </w:p>
    <w:p>
      <w:pPr>
        <w:widowControl/>
        <w:jc w:val="center"/>
        <w:rPr>
          <w:rFonts w:hint="eastAsia" w:asciiTheme="minorEastAsia" w:hAnsiTheme="minorEastAsia" w:eastAsiaTheme="minorEastAsia" w:cstheme="minorEastAsia"/>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rPr>
        <w:t>深圳市</w:t>
      </w:r>
      <w:r>
        <w:rPr>
          <w:rFonts w:hint="eastAsia" w:ascii="方正小标宋简体" w:hAnsi="方正小标宋简体" w:eastAsia="方正小标宋简体" w:cs="方正小标宋简体"/>
          <w:b w:val="0"/>
          <w:bCs w:val="0"/>
          <w:color w:val="000000"/>
          <w:kern w:val="0"/>
          <w:sz w:val="36"/>
          <w:szCs w:val="36"/>
        </w:rPr>
        <w:t>龙华区幼儿园学位类型和积分办法（一）</w:t>
      </w:r>
    </w:p>
    <w:tbl>
      <w:tblPr>
        <w:tblStyle w:val="6"/>
        <w:tblW w:w="15535" w:type="dxa"/>
        <w:tblInd w:w="-8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1455"/>
        <w:gridCol w:w="1785"/>
        <w:gridCol w:w="1005"/>
        <w:gridCol w:w="5140"/>
        <w:gridCol w:w="5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960" w:type="dxa"/>
            <w:vMerge w:val="restart"/>
            <w:tcBorders>
              <w:top w:val="single" w:color="000000"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学位</w:t>
            </w:r>
          </w:p>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类型</w:t>
            </w:r>
          </w:p>
        </w:tc>
        <w:tc>
          <w:tcPr>
            <w:tcW w:w="145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lang w:val="en-US" w:eastAsia="zh-CN"/>
              </w:rPr>
              <w:t>幼儿</w:t>
            </w:r>
            <w:r>
              <w:rPr>
                <w:rFonts w:hint="eastAsia" w:ascii="黑体" w:hAnsi="华文中宋" w:eastAsia="黑体" w:cs="仿宋_GB2312"/>
                <w:kern w:val="0"/>
                <w:sz w:val="24"/>
                <w:szCs w:val="24"/>
              </w:rPr>
              <w:t>户籍</w:t>
            </w:r>
          </w:p>
          <w:p>
            <w:pPr>
              <w:widowControl/>
              <w:spacing w:line="225" w:lineRule="atLeast"/>
              <w:jc w:val="center"/>
              <w:rPr>
                <w:rFonts w:ascii="仿宋" w:hAnsi="仿宋" w:eastAsia="仿宋" w:cs="Arial"/>
                <w:color w:val="000000"/>
                <w:kern w:val="0"/>
                <w:sz w:val="24"/>
                <w:szCs w:val="24"/>
              </w:rPr>
            </w:pPr>
            <w:r>
              <w:rPr>
                <w:rFonts w:hint="eastAsia" w:ascii="黑体" w:hAnsi="华文中宋" w:eastAsia="黑体" w:cs="仿宋_GB2312"/>
                <w:kern w:val="0"/>
                <w:sz w:val="24"/>
                <w:szCs w:val="24"/>
              </w:rPr>
              <w:t>类型</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tcPr>
          <w:p>
            <w:pPr>
              <w:widowControl/>
              <w:spacing w:line="225" w:lineRule="atLeast"/>
              <w:ind w:firstLine="240" w:firstLineChars="100"/>
              <w:jc w:val="both"/>
              <w:rPr>
                <w:rFonts w:ascii="黑体" w:hAnsi="华文中宋" w:eastAsia="黑体" w:cs="仿宋_GB2312"/>
                <w:kern w:val="0"/>
                <w:sz w:val="24"/>
                <w:szCs w:val="24"/>
              </w:rPr>
            </w:pPr>
            <w:r>
              <w:rPr>
                <w:rFonts w:hint="eastAsia" w:ascii="黑体" w:hAnsi="华文中宋" w:eastAsia="黑体" w:cs="仿宋_GB2312"/>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rPr>
              <w:t>加分</w:t>
            </w:r>
            <w:r>
              <w:rPr>
                <w:rFonts w:hint="eastAsia" w:ascii="黑体" w:hAnsi="华文中宋" w:eastAsia="黑体" w:cs="仿宋_GB2312"/>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960" w:type="dxa"/>
            <w:vMerge w:val="continue"/>
            <w:tcBorders>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kern w:val="0"/>
                <w:sz w:val="24"/>
                <w:szCs w:val="24"/>
              </w:rPr>
            </w:pPr>
          </w:p>
        </w:tc>
        <w:tc>
          <w:tcPr>
            <w:tcW w:w="1455" w:type="dxa"/>
            <w:vMerge w:val="continue"/>
            <w:tcBorders>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p>
        </w:tc>
        <w:tc>
          <w:tcPr>
            <w:tcW w:w="1785" w:type="dxa"/>
            <w:vMerge w:val="continue"/>
            <w:tcBorders>
              <w:left w:val="single" w:color="auto" w:sz="6" w:space="0"/>
              <w:bottom w:val="single" w:color="FFFFFF" w:sz="6" w:space="0"/>
              <w:right w:val="single" w:color="auto" w:sz="6" w:space="0"/>
            </w:tcBorders>
            <w:shd w:val="clear" w:color="auto" w:fill="FFFFFF"/>
            <w:tcMar>
              <w:top w:w="0" w:type="dxa"/>
              <w:left w:w="105" w:type="dxa"/>
              <w:bottom w:w="0" w:type="dxa"/>
              <w:right w:w="105" w:type="dxa"/>
            </w:tcMar>
          </w:tcPr>
          <w:p>
            <w:pPr>
              <w:widowControl/>
              <w:spacing w:line="225" w:lineRule="atLeast"/>
              <w:jc w:val="center"/>
              <w:rPr>
                <w:rFonts w:hint="eastAsia" w:ascii="黑体" w:hAnsi="华文中宋" w:eastAsia="黑体" w:cs="仿宋_GB2312"/>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p>
        </w:tc>
        <w:tc>
          <w:tcPr>
            <w:tcW w:w="5140" w:type="dxa"/>
            <w:tcBorders>
              <w:top w:val="single" w:color="auto" w:sz="4" w:space="0"/>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default" w:ascii="黑体" w:hAnsi="华文中宋" w:eastAsia="黑体" w:cs="仿宋_GB2312"/>
                <w:kern w:val="0"/>
                <w:sz w:val="24"/>
                <w:szCs w:val="24"/>
                <w:lang w:val="en-US" w:eastAsia="zh-CN"/>
              </w:rPr>
            </w:pPr>
            <w:r>
              <w:rPr>
                <w:rFonts w:hint="eastAsia" w:ascii="黑体" w:hAnsi="华文中宋" w:eastAsia="黑体" w:cs="仿宋_GB2312"/>
                <w:kern w:val="0"/>
                <w:sz w:val="24"/>
                <w:szCs w:val="24"/>
                <w:lang w:val="en-US"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rPr>
            </w:pPr>
            <w:r>
              <w:rPr>
                <w:rFonts w:hint="eastAsia" w:ascii="仿宋_GB2312" w:hAnsi="华文中宋" w:eastAsia="仿宋_GB2312" w:cs="仿宋_GB2312"/>
                <w:kern w:val="0"/>
                <w:sz w:val="24"/>
              </w:rPr>
              <w:t>第一类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55" w:lineRule="atLeast"/>
              <w:jc w:val="both"/>
              <w:rPr>
                <w:rFonts w:ascii="仿宋" w:hAnsi="仿宋" w:eastAsia="仿宋" w:cs="Arial"/>
                <w:color w:val="000000"/>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b/>
                <w:color w:val="auto"/>
                <w:kern w:val="0"/>
                <w:sz w:val="28"/>
                <w:szCs w:val="28"/>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内商品房或保障型商品房</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w:t>
            </w:r>
          </w:p>
        </w:tc>
        <w:tc>
          <w:tcPr>
            <w:tcW w:w="5140" w:type="dxa"/>
            <w:vMerge w:val="restart"/>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0.1</w:t>
            </w:r>
            <w:r>
              <w:rPr>
                <w:rFonts w:hint="eastAsia" w:ascii="仿宋_GB2312" w:hAnsi="华文中宋" w:eastAsia="仿宋_GB2312" w:cs="仿宋_GB2312"/>
                <w:kern w:val="0"/>
                <w:sz w:val="24"/>
              </w:rPr>
              <w:t>分。</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楷体_GB2312" w:hAnsi="楷体_GB2312" w:eastAsia="楷体_GB2312" w:cs="楷体_GB2312"/>
                <w:b/>
                <w:kern w:val="0"/>
                <w:sz w:val="28"/>
                <w:szCs w:val="28"/>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w:t>
            </w:r>
            <w:r>
              <w:rPr>
                <w:rFonts w:hint="eastAsia" w:ascii="仿宋_GB2312" w:hAnsi="华文中宋" w:eastAsia="仿宋_GB2312" w:cs="仿宋_GB2312"/>
                <w:kern w:val="0"/>
                <w:sz w:val="24"/>
                <w:lang w:eastAsia="zh-CN"/>
              </w:rPr>
              <w:t>入园</w:t>
            </w:r>
            <w:r>
              <w:rPr>
                <w:rFonts w:hint="eastAsia" w:ascii="仿宋_GB2312" w:hAnsi="华文中宋" w:eastAsia="仿宋_GB2312" w:cs="仿宋_GB2312"/>
                <w:kern w:val="0"/>
                <w:sz w:val="24"/>
              </w:rPr>
              <w:t>适龄儿童的父母（或法定监护人）在深圳市缴纳社会保险（</w:t>
            </w:r>
            <w:r>
              <w:rPr>
                <w:rFonts w:hint="eastAsia" w:ascii="仿宋_GB2312" w:hAnsi="华文中宋" w:eastAsia="仿宋_GB2312" w:cs="仿宋_GB2312"/>
                <w:kern w:val="0"/>
                <w:sz w:val="24"/>
                <w:lang w:eastAsia="zh-CN"/>
              </w:rPr>
              <w:t>必须同时购买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以申请入园适龄儿童的父母（或法定监护人）户籍迁入深圳时间最长的一方计算积分，每满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785" w:type="dxa"/>
            <w:vMerge w:val="continue"/>
            <w:tcBorders>
              <w:left w:val="single" w:color="auto" w:sz="6" w:space="0"/>
              <w:bottom w:val="single" w:color="000000"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vAlign w:val="center"/>
          </w:tcPr>
          <w:p>
            <w:pPr>
              <w:widowControl/>
              <w:rPr>
                <w:rFonts w:hint="eastAsia" w:ascii="仿宋" w:hAnsi="仿宋" w:eastAsia="仿宋_GB2312" w:cs="Arial"/>
                <w:color w:val="auto"/>
                <w:kern w:val="0"/>
                <w:sz w:val="24"/>
                <w:lang w:eastAsia="zh-CN"/>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内租房</w:t>
            </w:r>
            <w:r>
              <w:rPr>
                <w:rFonts w:hint="eastAsia" w:ascii="仿宋_GB2312" w:hAnsi="华文中宋" w:eastAsia="仿宋_GB2312" w:cs="仿宋_GB2312"/>
                <w:color w:val="auto"/>
                <w:kern w:val="0"/>
                <w:sz w:val="24"/>
                <w:lang w:eastAsia="zh-CN"/>
              </w:rPr>
              <w:t>、</w:t>
            </w:r>
            <w:r>
              <w:rPr>
                <w:rFonts w:hint="eastAsia" w:ascii="仿宋_GB2312" w:hAnsi="华文中宋" w:eastAsia="仿宋_GB2312" w:cs="仿宋_GB2312"/>
                <w:color w:val="auto"/>
                <w:kern w:val="0"/>
                <w:sz w:val="24"/>
              </w:rPr>
              <w:t>公共租赁房</w:t>
            </w:r>
            <w:r>
              <w:rPr>
                <w:rFonts w:hint="eastAsia" w:ascii="仿宋_GB2312" w:hAnsi="华文中宋" w:eastAsia="仿宋_GB2312" w:cs="仿宋_GB2312"/>
                <w:color w:val="auto"/>
                <w:kern w:val="0"/>
                <w:sz w:val="24"/>
                <w:lang w:eastAsia="zh-CN"/>
              </w:rPr>
              <w:t>或其他类住房</w:t>
            </w: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03"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19" w:hRule="atLeast"/>
        </w:trPr>
        <w:tc>
          <w:tcPr>
            <w:tcW w:w="960"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55"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非深圳户籍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34" w:hRule="atLeast"/>
        </w:trPr>
        <w:tc>
          <w:tcPr>
            <w:tcW w:w="15535" w:type="dxa"/>
            <w:gridSpan w:val="6"/>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kern w:val="0"/>
                <w:sz w:val="24"/>
              </w:rPr>
              <w:t>1．积分办法（一）适用于住宅小区配套幼儿园</w:t>
            </w:r>
            <w:r>
              <w:rPr>
                <w:rFonts w:hint="eastAsia" w:ascii="仿宋_GB2312" w:hAnsi="仿宋_GB2312" w:eastAsia="仿宋_GB2312" w:cs="仿宋_GB2312"/>
                <w:b/>
                <w:bCs/>
                <w:color w:val="auto"/>
                <w:kern w:val="0"/>
                <w:sz w:val="24"/>
                <w:highlight w:val="none"/>
              </w:rPr>
              <w:t>。</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2．以上积分项积分不封顶。</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3．招生系统根据户籍、住房类别和社保等条件自动生成学位类型和积分，学位申请材料经“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”数据资源库后台比对和审核后，其学位类型和积分正式有效。</w:t>
            </w:r>
          </w:p>
          <w:p>
            <w:pPr>
              <w:autoSpaceDE w:val="0"/>
              <w:autoSpaceDN w:val="0"/>
              <w:adjustRightInd w:val="0"/>
              <w:snapToGrid w:val="0"/>
              <w:ind w:firstLine="240" w:firstLineChars="100"/>
              <w:rPr>
                <w:rFonts w:hint="eastAsia" w:ascii="仿宋_GB2312" w:hAnsi="仿宋_GB2312" w:eastAsia="仿宋_GB2312" w:cs="仿宋_GB2312"/>
                <w:b/>
                <w:bCs/>
                <w:kern w:val="0"/>
                <w:sz w:val="24"/>
              </w:rPr>
            </w:pPr>
            <w:r>
              <w:rPr>
                <w:rFonts w:hint="eastAsia" w:ascii="仿宋_GB2312" w:hAnsi="仿宋_GB2312" w:eastAsia="仿宋_GB2312" w:cs="仿宋_GB2312"/>
                <w:b/>
                <w:bCs/>
                <w:color w:val="auto"/>
                <w:kern w:val="0"/>
                <w:sz w:val="24"/>
                <w:highlight w:val="none"/>
              </w:rPr>
              <w:t>4．</w:t>
            </w:r>
            <w:r>
              <w:rPr>
                <w:rFonts w:hint="eastAsia" w:ascii="仿宋_GB2312" w:hAnsi="仿宋_GB2312" w:eastAsia="仿宋_GB2312" w:cs="仿宋_GB2312"/>
                <w:b/>
                <w:bCs/>
                <w:color w:val="000000"/>
                <w:kern w:val="0"/>
                <w:sz w:val="24"/>
              </w:rPr>
              <w:t>商品房及安居商品房购房合同</w:t>
            </w:r>
            <w:r>
              <w:rPr>
                <w:rFonts w:hint="eastAsia" w:ascii="仿宋_GB2312" w:hAnsi="仿宋_GB2312" w:eastAsia="仿宋_GB2312" w:cs="仿宋_GB2312"/>
                <w:b/>
                <w:bCs/>
                <w:color w:val="000000"/>
                <w:kern w:val="0"/>
                <w:sz w:val="24"/>
                <w:lang w:eastAsia="zh-CN"/>
              </w:rPr>
              <w:t>（未到国土部门备案的购房合同不能申请学位）</w:t>
            </w:r>
            <w:r>
              <w:rPr>
                <w:rFonts w:hint="eastAsia" w:ascii="仿宋_GB2312" w:hAnsi="仿宋_GB2312" w:eastAsia="仿宋_GB2312" w:cs="仿宋_GB2312"/>
                <w:b/>
                <w:bCs/>
                <w:color w:val="000000"/>
                <w:kern w:val="0"/>
                <w:sz w:val="24"/>
              </w:rPr>
              <w:t>、房屋租赁信息、其他类住房（含自建房、军产房、集资房、小产权房、父母一方网格居住信息登记、商务公寓、集体宿舍等）可作为住房材料申请学位，但不参与积分。</w:t>
            </w:r>
          </w:p>
        </w:tc>
      </w:tr>
    </w:tbl>
    <w:p>
      <w:pPr>
        <w:widowControl/>
        <w:jc w:val="center"/>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深圳市龙华区幼儿园学位类型和积分办法（二）</w:t>
      </w:r>
    </w:p>
    <w:tbl>
      <w:tblPr>
        <w:tblStyle w:val="6"/>
        <w:tblW w:w="15550" w:type="dxa"/>
        <w:tblInd w:w="-8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420"/>
        <w:gridCol w:w="1610"/>
        <w:gridCol w:w="1005"/>
        <w:gridCol w:w="5140"/>
        <w:gridCol w:w="5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1185" w:type="dxa"/>
            <w:vMerge w:val="restart"/>
            <w:tcBorders>
              <w:top w:val="single" w:color="000000" w:sz="6" w:space="0"/>
              <w:left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学位</w:t>
            </w:r>
          </w:p>
          <w:p>
            <w:pPr>
              <w:autoSpaceDE w:val="0"/>
              <w:autoSpaceDN w:val="0"/>
              <w:adjustRightInd w:val="0"/>
              <w:snapToGrid w:val="0"/>
              <w:jc w:val="center"/>
              <w:rPr>
                <w:rFonts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类型</w:t>
            </w:r>
          </w:p>
        </w:tc>
        <w:tc>
          <w:tcPr>
            <w:tcW w:w="1420"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lang w:val="en-US" w:eastAsia="zh-CN"/>
              </w:rPr>
              <w:t>幼儿</w:t>
            </w:r>
            <w:r>
              <w:rPr>
                <w:rFonts w:hint="eastAsia" w:ascii="黑体" w:hAnsi="华文中宋" w:eastAsia="黑体" w:cs="仿宋_GB2312"/>
                <w:kern w:val="0"/>
                <w:sz w:val="24"/>
                <w:szCs w:val="24"/>
              </w:rPr>
              <w:t>户籍</w:t>
            </w:r>
          </w:p>
          <w:p>
            <w:pPr>
              <w:widowControl/>
              <w:spacing w:line="225" w:lineRule="atLeast"/>
              <w:jc w:val="center"/>
              <w:rPr>
                <w:rFonts w:ascii="仿宋" w:hAnsi="仿宋" w:eastAsia="仿宋" w:cs="Arial"/>
                <w:b w:val="0"/>
                <w:bCs w:val="0"/>
                <w:color w:val="000000"/>
                <w:kern w:val="0"/>
                <w:sz w:val="22"/>
                <w:szCs w:val="22"/>
              </w:rPr>
            </w:pPr>
            <w:r>
              <w:rPr>
                <w:rFonts w:hint="eastAsia" w:ascii="黑体" w:hAnsi="华文中宋" w:eastAsia="黑体" w:cs="仿宋_GB2312"/>
                <w:kern w:val="0"/>
                <w:sz w:val="24"/>
                <w:szCs w:val="24"/>
              </w:rPr>
              <w:t>类型</w:t>
            </w:r>
          </w:p>
        </w:tc>
        <w:tc>
          <w:tcPr>
            <w:tcW w:w="1610" w:type="dxa"/>
            <w:vMerge w:val="restart"/>
            <w:tcBorders>
              <w:top w:val="single" w:color="000000" w:sz="6" w:space="0"/>
              <w:left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p>
            <w:pPr>
              <w:widowControl/>
              <w:spacing w:line="225" w:lineRule="atLeast"/>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highlight w:val="none"/>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rPr>
              <w:t>加分</w:t>
            </w:r>
            <w:r>
              <w:rPr>
                <w:rFonts w:hint="eastAsia" w:ascii="黑体" w:hAnsi="华文中宋" w:eastAsia="黑体" w:cs="仿宋_GB2312"/>
                <w:b w:val="0"/>
                <w:bCs w:val="0"/>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1185" w:type="dxa"/>
            <w:vMerge w:val="continue"/>
            <w:tcBorders>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p>
        </w:tc>
        <w:tc>
          <w:tcPr>
            <w:tcW w:w="1420" w:type="dxa"/>
            <w:vMerge w:val="continue"/>
            <w:tcBorders>
              <w:left w:val="single" w:color="auto"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rPr>
            </w:pPr>
          </w:p>
        </w:tc>
        <w:tc>
          <w:tcPr>
            <w:tcW w:w="1610" w:type="dxa"/>
            <w:vMerge w:val="continue"/>
            <w:tcBorders>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p>
        </w:tc>
        <w:tc>
          <w:tcPr>
            <w:tcW w:w="5140" w:type="dxa"/>
            <w:tcBorders>
              <w:top w:val="single" w:color="auto" w:sz="4" w:space="0"/>
              <w:left w:val="single" w:color="auto" w:sz="6" w:space="0"/>
              <w:bottom w:val="single" w:color="FFFFFF" w:sz="6" w:space="0"/>
              <w:right w:val="single" w:color="auto" w:sz="4"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3"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szCs w:val="24"/>
              </w:rPr>
            </w:pPr>
            <w:r>
              <w:rPr>
                <w:rFonts w:hint="eastAsia" w:ascii="仿宋_GB2312" w:hAnsi="华文中宋" w:eastAsia="仿宋_GB2312" w:cs="仿宋_GB2312"/>
                <w:kern w:val="0"/>
                <w:sz w:val="24"/>
              </w:rPr>
              <w:t>第一类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widowControl/>
              <w:spacing w:line="255" w:lineRule="atLeast"/>
              <w:jc w:val="left"/>
              <w:rPr>
                <w:rFonts w:ascii="仿宋" w:hAnsi="仿宋" w:eastAsia="仿宋" w:cs="Arial"/>
                <w:color w:val="000000"/>
                <w:kern w:val="0"/>
                <w:sz w:val="24"/>
                <w:szCs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8"/>
                <w:szCs w:val="28"/>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w:t>
            </w:r>
            <w:r>
              <w:rPr>
                <w:rFonts w:hint="eastAsia" w:ascii="仿宋_GB2312" w:hAnsi="华文中宋" w:eastAsia="仿宋_GB2312" w:cs="仿宋_GB2312"/>
                <w:kern w:val="0"/>
                <w:sz w:val="24"/>
                <w:lang w:eastAsia="zh-CN"/>
              </w:rPr>
              <w:t>、</w:t>
            </w:r>
            <w:r>
              <w:rPr>
                <w:rFonts w:hint="eastAsia" w:ascii="仿宋_GB2312" w:hAnsi="华文中宋" w:eastAsia="仿宋_GB2312" w:cs="仿宋_GB2312"/>
                <w:kern w:val="0"/>
                <w:sz w:val="24"/>
              </w:rPr>
              <w:t>原著居民住房或保障型商品房</w:t>
            </w:r>
          </w:p>
        </w:tc>
        <w:tc>
          <w:tcPr>
            <w:tcW w:w="1005"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60分</w:t>
            </w:r>
          </w:p>
        </w:tc>
        <w:tc>
          <w:tcPr>
            <w:tcW w:w="5140" w:type="dxa"/>
            <w:vMerge w:val="restart"/>
            <w:tcBorders>
              <w:top w:val="single" w:color="000000" w:sz="6" w:space="0"/>
              <w:left w:val="single" w:color="auto" w:sz="4"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hint="eastAsia"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w:t>
            </w:r>
            <w:r>
              <w:rPr>
                <w:rFonts w:hint="eastAsia" w:ascii="仿宋_GB2312" w:hAnsi="华文中宋" w:eastAsia="仿宋_GB2312" w:cs="仿宋_GB2312"/>
                <w:kern w:val="0"/>
                <w:sz w:val="24"/>
              </w:rPr>
              <w:t>日期每满1个月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仿宋_GB2312" w:hAnsi="华文中宋" w:eastAsia="仿宋_GB2312" w:cs="仿宋_GB2312"/>
                <w:kern w:val="0"/>
                <w:sz w:val="24"/>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按照申请适龄儿童的父母（或法定监护人）在深圳市缴纳社会保险（必须</w:t>
            </w:r>
            <w:r>
              <w:rPr>
                <w:rFonts w:hint="eastAsia" w:ascii="仿宋_GB2312" w:hAnsi="华文中宋" w:eastAsia="仿宋_GB2312" w:cs="仿宋_GB2312"/>
                <w:kern w:val="0"/>
                <w:sz w:val="24"/>
                <w:lang w:eastAsia="zh-CN"/>
              </w:rPr>
              <w:t>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以同时缴纳养老保险和医疗保险的月数作为积分月数，每满</w:t>
            </w:r>
            <w:r>
              <w:rPr>
                <w:rFonts w:hint="eastAsia" w:ascii="仿宋_GB2312" w:hAnsi="华文中宋" w:eastAsia="仿宋_GB2312" w:cs="仿宋_GB2312"/>
                <w:kern w:val="0"/>
                <w:sz w:val="24"/>
                <w:lang w:val="en-US" w:eastAsia="zh-CN"/>
              </w:rPr>
              <w:t>1个月加0.1分，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w:t>
            </w:r>
            <w:bookmarkStart w:id="0" w:name="_GoBack"/>
            <w:bookmarkEnd w:id="0"/>
            <w:r>
              <w:rPr>
                <w:rFonts w:hint="eastAsia" w:ascii="仿宋_GB2312" w:hAnsi="华文中宋" w:eastAsia="仿宋_GB2312" w:cs="仿宋_GB2312"/>
                <w:kern w:val="0"/>
                <w:sz w:val="24"/>
                <w:lang w:eastAsia="zh-CN"/>
              </w:rPr>
              <w:t>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ascii="仿宋" w:hAnsi="仿宋" w:eastAsia="仿宋" w:cs="Arial"/>
                <w:color w:val="000000"/>
                <w:kern w:val="0"/>
                <w:sz w:val="24"/>
                <w:szCs w:val="24"/>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7"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shd w:val="clear" w:color="auto" w:fill="FFFFFF"/>
            <w:noWrap w:val="0"/>
            <w:vAlign w:val="top"/>
          </w:tcPr>
          <w:p>
            <w:pPr>
              <w:widowControl/>
              <w:jc w:val="left"/>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29"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w:t>
            </w:r>
            <w:r>
              <w:rPr>
                <w:rFonts w:hint="eastAsia" w:ascii="仿宋_GB2312" w:hAnsi="华文中宋" w:eastAsia="仿宋_GB2312" w:cs="仿宋_GB2312"/>
                <w:kern w:val="0"/>
                <w:sz w:val="24"/>
                <w:lang w:eastAsia="zh-CN"/>
              </w:rPr>
              <w:t>、</w:t>
            </w:r>
            <w:r>
              <w:rPr>
                <w:rFonts w:hint="eastAsia" w:ascii="仿宋_GB2312" w:hAnsi="华文中宋" w:eastAsia="仿宋_GB2312" w:cs="仿宋_GB2312"/>
                <w:kern w:val="0"/>
                <w:sz w:val="24"/>
              </w:rPr>
              <w:t>公共租赁房或其他类住房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86"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14" w:hRule="atLeast"/>
        </w:trPr>
        <w:tc>
          <w:tcPr>
            <w:tcW w:w="1185" w:type="dxa"/>
            <w:tcBorders>
              <w:top w:val="single" w:color="auto" w:sz="6" w:space="0"/>
              <w:left w:val="single" w:color="000000"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20" w:type="dxa"/>
            <w:tcBorders>
              <w:top w:val="single" w:color="auto" w:sz="6" w:space="0"/>
              <w:left w:val="single" w:color="auto" w:sz="6"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w:t>
            </w:r>
            <w:r>
              <w:rPr>
                <w:rFonts w:hint="eastAsia" w:ascii="仿宋_GB2312" w:hAnsi="华文中宋" w:eastAsia="仿宋_GB2312" w:cs="仿宋_GB2312"/>
                <w:kern w:val="0"/>
                <w:sz w:val="24"/>
                <w:lang w:eastAsia="zh-CN"/>
              </w:rPr>
              <w:t>、</w:t>
            </w:r>
            <w:r>
              <w:rPr>
                <w:rFonts w:hint="eastAsia" w:ascii="仿宋_GB2312" w:hAnsi="华文中宋" w:eastAsia="仿宋_GB2312" w:cs="仿宋_GB2312"/>
                <w:kern w:val="0"/>
                <w:sz w:val="24"/>
              </w:rPr>
              <w:t>公共租赁房或其他类住房</w:t>
            </w:r>
          </w:p>
        </w:tc>
        <w:tc>
          <w:tcPr>
            <w:tcW w:w="1005" w:type="dxa"/>
            <w:vMerge w:val="continue"/>
            <w:tcBorders>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bl>
    <w:p>
      <w:pPr>
        <w:autoSpaceDE w:val="0"/>
        <w:autoSpaceDN w:val="0"/>
        <w:adjustRightInd w:val="0"/>
        <w:snapToGrid w:val="0"/>
        <w:spacing w:line="560" w:lineRule="exact"/>
        <w:ind w:left="2" w:leftChars="-295" w:hanging="621" w:hangingChars="258"/>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left="0" w:leftChars="-180" w:right="-741" w:rightChars="-353" w:hanging="378" w:hangingChars="157"/>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1．积分办法（二）适用于非住宅小区配套幼儿园及住宅小区配套幼儿园有学位富余面向所在社区</w:t>
      </w:r>
      <w:r>
        <w:rPr>
          <w:rFonts w:hint="eastAsia" w:ascii="仿宋_GB2312" w:hAnsi="仿宋_GB2312" w:eastAsia="仿宋_GB2312" w:cs="仿宋_GB2312"/>
          <w:b/>
          <w:bCs/>
          <w:color w:val="auto"/>
          <w:kern w:val="0"/>
          <w:sz w:val="24"/>
          <w:szCs w:val="24"/>
          <w:lang w:val="en-US" w:eastAsia="zh-CN"/>
        </w:rPr>
        <w:t>及周边社区</w:t>
      </w:r>
      <w:r>
        <w:rPr>
          <w:rFonts w:hint="eastAsia" w:ascii="仿宋_GB2312" w:hAnsi="仿宋_GB2312" w:eastAsia="仿宋_GB2312" w:cs="仿宋_GB2312"/>
          <w:b/>
          <w:bCs/>
          <w:color w:val="auto"/>
          <w:kern w:val="0"/>
          <w:sz w:val="24"/>
          <w:szCs w:val="24"/>
        </w:rPr>
        <w:t>扩招情形。</w:t>
      </w:r>
    </w:p>
    <w:p>
      <w:pPr>
        <w:autoSpaceDE w:val="0"/>
        <w:autoSpaceDN w:val="0"/>
        <w:adjustRightInd w:val="0"/>
        <w:snapToGrid w:val="0"/>
        <w:ind w:left="0" w:leftChars="-180"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2．以上积分项积分不封顶。</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3．招生系统根据户籍、住房类别和社保等条件自动生成学位类型和积分，</w:t>
      </w:r>
      <w:r>
        <w:rPr>
          <w:rFonts w:hint="eastAsia" w:ascii="仿宋_GB2312" w:hAnsi="仿宋_GB2312" w:eastAsia="仿宋_GB2312" w:cs="仿宋_GB2312"/>
          <w:b/>
          <w:bCs/>
          <w:color w:val="auto"/>
          <w:kern w:val="0"/>
          <w:sz w:val="24"/>
          <w:highlight w:val="none"/>
        </w:rPr>
        <w:t>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kern w:val="0"/>
          <w:sz w:val="24"/>
          <w:szCs w:val="24"/>
        </w:rPr>
        <w:t>数据资源库后台比对和审核后，其学位类型和积分正式有效。</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kern w:val="0"/>
          <w:sz w:val="24"/>
          <w:szCs w:val="24"/>
          <w:lang w:val="en-US" w:eastAsia="zh-CN"/>
        </w:rPr>
        <w:t>4</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color w:val="000000"/>
          <w:kern w:val="0"/>
          <w:sz w:val="24"/>
          <w:szCs w:val="24"/>
        </w:rPr>
        <w:t>商品房及安居商品房购房合同</w:t>
      </w:r>
      <w:r>
        <w:rPr>
          <w:rFonts w:hint="eastAsia" w:ascii="仿宋_GB2312" w:hAnsi="仿宋_GB2312" w:eastAsia="仿宋_GB2312" w:cs="仿宋_GB2312"/>
          <w:b/>
          <w:bCs/>
          <w:color w:val="000000"/>
          <w:kern w:val="0"/>
          <w:sz w:val="24"/>
          <w:szCs w:val="24"/>
          <w:highlight w:val="none"/>
          <w:lang w:eastAsia="zh-CN"/>
        </w:rPr>
        <w:t>（未到国土部门备案的购房合同不能申请学位）</w:t>
      </w:r>
      <w:r>
        <w:rPr>
          <w:rFonts w:hint="eastAsia" w:ascii="仿宋_GB2312" w:hAnsi="仿宋_GB2312" w:eastAsia="仿宋_GB2312" w:cs="仿宋_GB2312"/>
          <w:b/>
          <w:bCs/>
          <w:color w:val="000000"/>
          <w:kern w:val="0"/>
          <w:sz w:val="24"/>
          <w:szCs w:val="24"/>
        </w:rPr>
        <w:t>、房屋租赁信息、其他类住房（含自建房、军产房、集资房、小产权房、父母一方网格居住信息登记、商务公寓、集体宿舍等）可作为住房材料申请学位，但不参与积分。</w:t>
      </w:r>
    </w:p>
    <w:sectPr>
      <w:pgSz w:w="16838" w:h="11906" w:orient="landscape"/>
      <w:pgMar w:top="166" w:right="1440" w:bottom="4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1EE6"/>
    <w:rsid w:val="00024996"/>
    <w:rsid w:val="00047C01"/>
    <w:rsid w:val="00047DB6"/>
    <w:rsid w:val="00076021"/>
    <w:rsid w:val="000934D5"/>
    <w:rsid w:val="00115248"/>
    <w:rsid w:val="00174AD7"/>
    <w:rsid w:val="001A54F1"/>
    <w:rsid w:val="002754D4"/>
    <w:rsid w:val="003E12E2"/>
    <w:rsid w:val="004367F4"/>
    <w:rsid w:val="004862ED"/>
    <w:rsid w:val="004B1B30"/>
    <w:rsid w:val="0052217D"/>
    <w:rsid w:val="00542AA1"/>
    <w:rsid w:val="005531ED"/>
    <w:rsid w:val="00587C1F"/>
    <w:rsid w:val="00635486"/>
    <w:rsid w:val="0071525E"/>
    <w:rsid w:val="00722395"/>
    <w:rsid w:val="0074279C"/>
    <w:rsid w:val="007A090D"/>
    <w:rsid w:val="007A70B6"/>
    <w:rsid w:val="007A7B64"/>
    <w:rsid w:val="007F58B3"/>
    <w:rsid w:val="008D4CF9"/>
    <w:rsid w:val="008E29B8"/>
    <w:rsid w:val="00961FDB"/>
    <w:rsid w:val="00965A9F"/>
    <w:rsid w:val="00A709A3"/>
    <w:rsid w:val="00A849F2"/>
    <w:rsid w:val="00B12B8A"/>
    <w:rsid w:val="00B15B65"/>
    <w:rsid w:val="00B379DA"/>
    <w:rsid w:val="00B755A4"/>
    <w:rsid w:val="00B91361"/>
    <w:rsid w:val="00B9670D"/>
    <w:rsid w:val="00B968E0"/>
    <w:rsid w:val="00BC1E26"/>
    <w:rsid w:val="00BE4F22"/>
    <w:rsid w:val="00C43F8D"/>
    <w:rsid w:val="00C75AA8"/>
    <w:rsid w:val="00C96A51"/>
    <w:rsid w:val="00CA5845"/>
    <w:rsid w:val="00CA76BE"/>
    <w:rsid w:val="00CE6989"/>
    <w:rsid w:val="00D23994"/>
    <w:rsid w:val="00ED635A"/>
    <w:rsid w:val="00F54200"/>
    <w:rsid w:val="00FC4F96"/>
    <w:rsid w:val="00FD08BA"/>
    <w:rsid w:val="025474B6"/>
    <w:rsid w:val="046A2580"/>
    <w:rsid w:val="04D338ED"/>
    <w:rsid w:val="04F40349"/>
    <w:rsid w:val="05931EE6"/>
    <w:rsid w:val="07A45F69"/>
    <w:rsid w:val="07FC2F4B"/>
    <w:rsid w:val="08E17AC0"/>
    <w:rsid w:val="0A7060F0"/>
    <w:rsid w:val="0A7C5C85"/>
    <w:rsid w:val="0A89429B"/>
    <w:rsid w:val="0B946A4B"/>
    <w:rsid w:val="0D644422"/>
    <w:rsid w:val="0DA73082"/>
    <w:rsid w:val="0E01540F"/>
    <w:rsid w:val="0E8A2EA5"/>
    <w:rsid w:val="0F65723C"/>
    <w:rsid w:val="10B854E7"/>
    <w:rsid w:val="10F90CDD"/>
    <w:rsid w:val="12C37CD0"/>
    <w:rsid w:val="14073BDB"/>
    <w:rsid w:val="146C3F60"/>
    <w:rsid w:val="15CE7164"/>
    <w:rsid w:val="1641791E"/>
    <w:rsid w:val="16A47295"/>
    <w:rsid w:val="16E93C31"/>
    <w:rsid w:val="194D071B"/>
    <w:rsid w:val="1A645187"/>
    <w:rsid w:val="1A7761BB"/>
    <w:rsid w:val="1A8746FC"/>
    <w:rsid w:val="1B4431B4"/>
    <w:rsid w:val="1BD708F7"/>
    <w:rsid w:val="1E271BD3"/>
    <w:rsid w:val="1F6A4DC8"/>
    <w:rsid w:val="20660DC6"/>
    <w:rsid w:val="240316F6"/>
    <w:rsid w:val="24146899"/>
    <w:rsid w:val="24172686"/>
    <w:rsid w:val="252C2495"/>
    <w:rsid w:val="274A57F7"/>
    <w:rsid w:val="27E807FD"/>
    <w:rsid w:val="27EC2159"/>
    <w:rsid w:val="28146CD6"/>
    <w:rsid w:val="285B2FB6"/>
    <w:rsid w:val="2883089A"/>
    <w:rsid w:val="291127A5"/>
    <w:rsid w:val="299D23ED"/>
    <w:rsid w:val="2BD05E2D"/>
    <w:rsid w:val="2C596A27"/>
    <w:rsid w:val="2E9231E8"/>
    <w:rsid w:val="2ED81470"/>
    <w:rsid w:val="2F7B4D6D"/>
    <w:rsid w:val="2FCA7624"/>
    <w:rsid w:val="30F372F8"/>
    <w:rsid w:val="31C13360"/>
    <w:rsid w:val="3203217C"/>
    <w:rsid w:val="32F15DFE"/>
    <w:rsid w:val="32FF1536"/>
    <w:rsid w:val="33294EEC"/>
    <w:rsid w:val="33A92064"/>
    <w:rsid w:val="345C39F7"/>
    <w:rsid w:val="35874CE3"/>
    <w:rsid w:val="360452E9"/>
    <w:rsid w:val="37C40CD5"/>
    <w:rsid w:val="37CA6D45"/>
    <w:rsid w:val="39CB2B46"/>
    <w:rsid w:val="39EE16C0"/>
    <w:rsid w:val="3AA249CB"/>
    <w:rsid w:val="3B06083E"/>
    <w:rsid w:val="3C0705C8"/>
    <w:rsid w:val="3C5A1BF3"/>
    <w:rsid w:val="3C5D51E5"/>
    <w:rsid w:val="3D891605"/>
    <w:rsid w:val="3EFF3A79"/>
    <w:rsid w:val="3FFF5B4F"/>
    <w:rsid w:val="402E156B"/>
    <w:rsid w:val="43B31E8C"/>
    <w:rsid w:val="442712BC"/>
    <w:rsid w:val="450C6ED4"/>
    <w:rsid w:val="45AF5024"/>
    <w:rsid w:val="46933FE2"/>
    <w:rsid w:val="46B46290"/>
    <w:rsid w:val="47223C40"/>
    <w:rsid w:val="476C27D9"/>
    <w:rsid w:val="476D5746"/>
    <w:rsid w:val="485B1771"/>
    <w:rsid w:val="48C56751"/>
    <w:rsid w:val="49433379"/>
    <w:rsid w:val="49A24764"/>
    <w:rsid w:val="4C0308D8"/>
    <w:rsid w:val="4C4A42B7"/>
    <w:rsid w:val="4D2E617B"/>
    <w:rsid w:val="4D8860D9"/>
    <w:rsid w:val="4DD46B8A"/>
    <w:rsid w:val="50AB1369"/>
    <w:rsid w:val="513333C4"/>
    <w:rsid w:val="517843A6"/>
    <w:rsid w:val="51CD6F6B"/>
    <w:rsid w:val="543B2E4E"/>
    <w:rsid w:val="55594BD9"/>
    <w:rsid w:val="570E3375"/>
    <w:rsid w:val="5BAE2F83"/>
    <w:rsid w:val="5BE91DD5"/>
    <w:rsid w:val="5BFF8228"/>
    <w:rsid w:val="5C754E90"/>
    <w:rsid w:val="5CDF4D8B"/>
    <w:rsid w:val="5D03589A"/>
    <w:rsid w:val="5D7F29EB"/>
    <w:rsid w:val="5E172123"/>
    <w:rsid w:val="5E8855A7"/>
    <w:rsid w:val="5EFF738F"/>
    <w:rsid w:val="626B485B"/>
    <w:rsid w:val="638C6AF9"/>
    <w:rsid w:val="63B669E6"/>
    <w:rsid w:val="65027BE7"/>
    <w:rsid w:val="650D1DD7"/>
    <w:rsid w:val="66B90824"/>
    <w:rsid w:val="685F1C4F"/>
    <w:rsid w:val="68A433FC"/>
    <w:rsid w:val="68FC6D41"/>
    <w:rsid w:val="69F70606"/>
    <w:rsid w:val="6A3008A5"/>
    <w:rsid w:val="6A327686"/>
    <w:rsid w:val="6BF451A5"/>
    <w:rsid w:val="6C19107F"/>
    <w:rsid w:val="6CED5143"/>
    <w:rsid w:val="6D2337E4"/>
    <w:rsid w:val="6D6066FB"/>
    <w:rsid w:val="6DD93DBF"/>
    <w:rsid w:val="6E3D3441"/>
    <w:rsid w:val="6EB67B75"/>
    <w:rsid w:val="6EE567A7"/>
    <w:rsid w:val="6FB72814"/>
    <w:rsid w:val="6FF26A2A"/>
    <w:rsid w:val="707632D2"/>
    <w:rsid w:val="71BF242C"/>
    <w:rsid w:val="72892EAE"/>
    <w:rsid w:val="73782754"/>
    <w:rsid w:val="74604DE8"/>
    <w:rsid w:val="75D345C7"/>
    <w:rsid w:val="75E7372C"/>
    <w:rsid w:val="77107800"/>
    <w:rsid w:val="78817ECC"/>
    <w:rsid w:val="78C42E32"/>
    <w:rsid w:val="79287574"/>
    <w:rsid w:val="7B131366"/>
    <w:rsid w:val="7B517D5F"/>
    <w:rsid w:val="7F067FD2"/>
    <w:rsid w:val="7F7F5117"/>
    <w:rsid w:val="7F8F1F14"/>
    <w:rsid w:val="7F8F41F5"/>
    <w:rsid w:val="7FCD3A4F"/>
    <w:rsid w:val="F5FB8440"/>
    <w:rsid w:val="FB8D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字符"/>
    <w:basedOn w:val="7"/>
    <w:link w:val="4"/>
    <w:qFormat/>
    <w:uiPriority w:val="0"/>
    <w:rPr>
      <w:rFonts w:ascii="Times New Roman" w:hAnsi="Times New Roman"/>
      <w:kern w:val="2"/>
      <w:sz w:val="18"/>
      <w:szCs w:val="18"/>
    </w:rPr>
  </w:style>
  <w:style w:type="character" w:customStyle="1" w:styleId="12">
    <w:name w:val="页脚 字符"/>
    <w:basedOn w:val="7"/>
    <w:link w:val="3"/>
    <w:qFormat/>
    <w:uiPriority w:val="0"/>
    <w:rPr>
      <w:rFonts w:ascii="Times New Roman" w:hAnsi="Times New Roman"/>
      <w:kern w:val="2"/>
      <w:sz w:val="18"/>
      <w:szCs w:val="18"/>
    </w:rPr>
  </w:style>
  <w:style w:type="character" w:customStyle="1" w:styleId="13">
    <w:name w:val="未处理的提及1"/>
    <w:basedOn w:val="7"/>
    <w:unhideWhenUsed/>
    <w:qFormat/>
    <w:uiPriority w:val="99"/>
    <w:rPr>
      <w:color w:val="605E5C"/>
      <w:shd w:val="clear" w:color="auto" w:fill="E1DFDD"/>
    </w:rPr>
  </w:style>
  <w:style w:type="character" w:customStyle="1" w:styleId="14">
    <w:name w:val="批注框文本 字符"/>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5383</Words>
  <Characters>879</Characters>
  <Lines>7</Lines>
  <Paragraphs>12</Paragraphs>
  <TotalTime>33</TotalTime>
  <ScaleCrop>false</ScaleCrop>
  <LinksUpToDate>false</LinksUpToDate>
  <CharactersWithSpaces>6250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2019-04-10T20:21:00Z</dcterms:created>
  <dc:creator>刘碧波</dc:creator>
  <cp:lastModifiedBy>admin1001</cp:lastModifiedBy>
  <cp:lastPrinted>2022-05-28T18:45:00Z</cp:lastPrinted>
  <dcterms:modified xsi:type="dcterms:W3CDTF">2023-11-30T15:32:23Z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7E24CF58B2DF41CEA9DBC020F6DBEE1D</vt:lpwstr>
  </property>
</Properties>
</file>