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000000"/>
          <w:sz w:val="44"/>
          <w:szCs w:val="44"/>
          <w:highlight w:val="none"/>
        </w:rPr>
      </w:pPr>
      <w:r>
        <w:rPr>
          <w:rFonts w:hint="eastAsia" w:ascii="黑体" w:hAnsi="黑体" w:eastAsia="黑体" w:cs="黑体"/>
          <w:b w:val="0"/>
          <w:bCs/>
          <w:color w:val="000000"/>
          <w:sz w:val="32"/>
          <w:szCs w:val="32"/>
          <w:highlight w:val="none"/>
          <w:lang w:eastAsia="zh-CN"/>
        </w:rPr>
        <w:t>附件</w:t>
      </w:r>
      <w:r>
        <w:rPr>
          <w:rFonts w:hint="eastAsia" w:ascii="黑体" w:hAnsi="黑体" w:eastAsia="黑体" w:cs="黑体"/>
          <w:b w:val="0"/>
          <w:bCs/>
          <w:color w:val="000000"/>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评分标准</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257"/>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694"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364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694" w:type="pct"/>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3647" w:type="pct"/>
            <w:noWrap w:val="0"/>
            <w:vAlign w:val="center"/>
          </w:tcPr>
          <w:p>
            <w:pPr>
              <w:topLinePunct/>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000" w:type="pct"/>
            <w:gridSpan w:val="3"/>
            <w:noWrap w:val="0"/>
            <w:vAlign w:val="top"/>
          </w:tcPr>
          <w:p>
            <w:pPr>
              <w:spacing w:line="560" w:lineRule="exact"/>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pct"/>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2"/>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4" w:type="pct"/>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3647" w:type="pc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694" w:type="pc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3647" w:type="pct"/>
            <w:noWrap w:val="0"/>
            <w:vAlign w:val="top"/>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近3年承办过政府/工会系统的公益招聘会、就业帮扶类项目，每提供1个完整业绩（附合同+验收证明）得2分，最高6分；</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近3年有直播送岗、线上招聘运营经验，每提供1个完整业绩（附合同+直播数据/项目成果）得2分，最高4分；</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注：业绩时间以合同签订时间为准，同类项目指单场参展企业≥30家或服务求职者≥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00人的招聘项目。</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694" w:type="pct"/>
            <w:noWrap w:val="0"/>
            <w:vAlign w:val="center"/>
          </w:tcPr>
          <w:p>
            <w:pPr>
              <w:spacing w:line="5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团队能力</w:t>
            </w:r>
          </w:p>
          <w:p>
            <w:pPr>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（10分）</w:t>
            </w:r>
          </w:p>
        </w:tc>
        <w:tc>
          <w:tcPr>
            <w:tcW w:w="3647" w:type="pct"/>
            <w:noWrap w:val="0"/>
            <w:vAlign w:val="top"/>
          </w:tcPr>
          <w:p>
            <w:pPr>
              <w:topLinePunct/>
              <w:snapToGrid w:val="0"/>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b/>
                <w:bCs/>
                <w:color w:val="auto"/>
                <w:sz w:val="24"/>
                <w:szCs w:val="24"/>
                <w:lang w:val="en-US" w:eastAsia="zh-CN"/>
              </w:rPr>
              <w:t>（一）评审内容</w:t>
            </w:r>
            <w:r>
              <w:rPr>
                <w:rFonts w:hint="eastAsia" w:ascii="仿宋_GB2312" w:hAnsi="仿宋_GB2312" w:eastAsia="仿宋_GB2312" w:cs="仿宋_GB2312"/>
                <w:b/>
                <w:bCs/>
                <w:color w:val="auto"/>
                <w:sz w:val="24"/>
                <w:szCs w:val="24"/>
                <w:lang w:val="en-US" w:eastAsia="zh-CN"/>
              </w:rPr>
              <w:t>：</w:t>
            </w:r>
          </w:p>
          <w:p>
            <w:pPr>
              <w:topLinePunct/>
              <w:snapToGrid w:val="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default" w:ascii="仿宋_GB2312" w:hAnsi="仿宋_GB2312" w:eastAsia="仿宋_GB2312" w:cs="仿宋_GB2312"/>
                <w:color w:val="auto"/>
                <w:sz w:val="24"/>
                <w:szCs w:val="24"/>
                <w:highlight w:val="none"/>
                <w:lang w:val="en-US" w:eastAsia="zh-CN"/>
              </w:rPr>
              <w:t>按要求配置就业指导员</w:t>
            </w:r>
            <w:r>
              <w:rPr>
                <w:rFonts w:hint="eastAsia" w:ascii="仿宋_GB2312" w:hAnsi="仿宋_GB2312" w:eastAsia="仿宋_GB2312" w:cs="仿宋_GB2312"/>
                <w:color w:val="auto"/>
                <w:sz w:val="24"/>
                <w:szCs w:val="24"/>
                <w:highlight w:val="none"/>
                <w:lang w:val="en-US" w:eastAsia="zh-CN"/>
              </w:rPr>
              <w:t>、摄影、摄像、直播主持、导播、灯光师、音控师、直播摄像等有关专业/技术人员，</w:t>
            </w:r>
            <w:r>
              <w:rPr>
                <w:rFonts w:hint="eastAsia" w:ascii="仿宋_GB2312" w:hAnsi="仿宋_GB2312" w:eastAsia="仿宋_GB2312" w:cs="仿宋_GB2312"/>
                <w:color w:val="auto"/>
                <w:sz w:val="24"/>
                <w:szCs w:val="24"/>
                <w:lang w:val="en-US" w:eastAsia="zh-CN"/>
              </w:rPr>
              <w:t>且</w:t>
            </w:r>
            <w:r>
              <w:rPr>
                <w:rFonts w:hint="default" w:ascii="仿宋_GB2312" w:hAnsi="仿宋_GB2312" w:eastAsia="仿宋_GB2312" w:cs="仿宋_GB2312"/>
                <w:color w:val="auto"/>
                <w:sz w:val="24"/>
                <w:szCs w:val="24"/>
                <w:lang w:val="en-US" w:eastAsia="zh-CN"/>
              </w:rPr>
              <w:t>具备相关专业技能证书或从业经验证明（附证明）</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每1人得1分，</w:t>
            </w:r>
            <w:r>
              <w:rPr>
                <w:rFonts w:hint="eastAsia" w:ascii="仿宋_GB2312" w:hAnsi="仿宋_GB2312" w:eastAsia="仿宋_GB2312" w:cs="仿宋_GB2312"/>
                <w:color w:val="auto"/>
                <w:sz w:val="24"/>
                <w:szCs w:val="24"/>
                <w:lang w:val="en-US" w:eastAsia="zh-CN"/>
              </w:rPr>
              <w:t>最高</w:t>
            </w:r>
            <w:r>
              <w:rPr>
                <w:rFonts w:hint="default" w:ascii="仿宋_GB2312" w:hAnsi="仿宋_GB2312" w:eastAsia="仿宋_GB2312" w:cs="仿宋_GB2312"/>
                <w:color w:val="auto"/>
                <w:sz w:val="24"/>
                <w:szCs w:val="24"/>
                <w:lang w:val="en-US" w:eastAsia="zh-CN"/>
              </w:rPr>
              <w:t>得</w:t>
            </w:r>
            <w:r>
              <w:rPr>
                <w:rFonts w:hint="eastAsia" w:ascii="仿宋_GB2312" w:hAnsi="仿宋_GB2312" w:eastAsia="仿宋_GB2312" w:cs="仿宋_GB2312"/>
                <w:color w:val="auto"/>
                <w:sz w:val="24"/>
                <w:szCs w:val="24"/>
                <w:lang w:val="en-US" w:eastAsia="zh-CN"/>
              </w:rPr>
              <w:t>8</w:t>
            </w:r>
            <w:r>
              <w:rPr>
                <w:rFonts w:hint="default" w:ascii="仿宋_GB2312" w:hAnsi="仿宋_GB2312" w:eastAsia="仿宋_GB2312" w:cs="仿宋_GB2312"/>
                <w:color w:val="auto"/>
                <w:sz w:val="24"/>
                <w:szCs w:val="24"/>
                <w:lang w:val="en-US" w:eastAsia="zh-CN"/>
              </w:rPr>
              <w:t>分；</w:t>
            </w:r>
          </w:p>
          <w:p>
            <w:pPr>
              <w:topLinePunct/>
              <w:snapToGrid w:val="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default" w:ascii="仿宋_GB2312" w:hAnsi="仿宋_GB2312" w:eastAsia="仿宋_GB2312" w:cs="仿宋_GB2312"/>
                <w:color w:val="auto"/>
                <w:sz w:val="24"/>
                <w:szCs w:val="24"/>
                <w:lang w:val="en-US" w:eastAsia="zh-CN"/>
              </w:rPr>
              <w:t>项目负责人具备近3年同类</w:t>
            </w:r>
            <w:bookmarkStart w:id="0" w:name="_GoBack"/>
            <w:bookmarkEnd w:id="0"/>
            <w:r>
              <w:rPr>
                <w:rFonts w:hint="default" w:ascii="仿宋_GB2312" w:hAnsi="仿宋_GB2312" w:eastAsia="仿宋_GB2312" w:cs="仿宋_GB2312"/>
                <w:color w:val="auto"/>
                <w:sz w:val="24"/>
                <w:szCs w:val="24"/>
                <w:lang w:val="en-US" w:eastAsia="zh-CN"/>
              </w:rPr>
              <w:t>招聘项目统筹经验（附业绩证明），得</w:t>
            </w:r>
            <w:r>
              <w:rPr>
                <w:rFonts w:hint="eastAsia" w:ascii="仿宋_GB2312" w:hAnsi="仿宋_GB2312" w:eastAsia="仿宋_GB2312" w:cs="仿宋_GB2312"/>
                <w:color w:val="auto"/>
                <w:sz w:val="24"/>
                <w:szCs w:val="24"/>
                <w:lang w:val="en-US" w:eastAsia="zh-CN"/>
              </w:rPr>
              <w:t>2</w:t>
            </w:r>
            <w:r>
              <w:rPr>
                <w:rFonts w:hint="default" w:ascii="仿宋_GB2312" w:hAnsi="仿宋_GB2312" w:eastAsia="仿宋_GB2312" w:cs="仿宋_GB2312"/>
                <w:color w:val="auto"/>
                <w:sz w:val="24"/>
                <w:szCs w:val="24"/>
                <w:lang w:val="en-US" w:eastAsia="zh-CN"/>
              </w:rPr>
              <w:t>分；</w:t>
            </w:r>
          </w:p>
          <w:p>
            <w:pPr>
              <w:topLinePunct/>
              <w:snapToGrid w:val="0"/>
              <w:jc w:val="left"/>
              <w:rPr>
                <w:rFonts w:hint="default" w:ascii="仿宋_GB2312" w:hAnsi="仿宋_GB2312" w:eastAsia="仿宋_GB2312" w:cs="仿宋_GB2312"/>
                <w:b/>
                <w:bCs/>
                <w:color w:val="auto"/>
                <w:sz w:val="24"/>
                <w:szCs w:val="24"/>
                <w:lang w:val="en-US" w:eastAsia="zh-CN"/>
              </w:rPr>
            </w:pPr>
            <w:r>
              <w:rPr>
                <w:rFonts w:hint="default" w:ascii="仿宋_GB2312" w:hAnsi="仿宋_GB2312" w:eastAsia="仿宋_GB2312" w:cs="仿宋_GB2312"/>
                <w:b/>
                <w:bCs/>
                <w:color w:val="auto"/>
                <w:sz w:val="24"/>
                <w:szCs w:val="24"/>
                <w:lang w:val="en-US" w:eastAsia="zh-CN"/>
              </w:rPr>
              <w:t>（二）评审依据</w:t>
            </w:r>
            <w:r>
              <w:rPr>
                <w:rFonts w:hint="eastAsia" w:ascii="仿宋_GB2312" w:hAnsi="仿宋_GB2312" w:eastAsia="仿宋_GB2312" w:cs="仿宋_GB2312"/>
                <w:b/>
                <w:bCs/>
                <w:color w:val="auto"/>
                <w:sz w:val="24"/>
                <w:szCs w:val="24"/>
                <w:lang w:val="en-US" w:eastAsia="zh-CN"/>
              </w:rPr>
              <w:t>：</w:t>
            </w:r>
          </w:p>
          <w:p>
            <w:pPr>
              <w:topLinePunct/>
              <w:snapToGrid w:val="0"/>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1.提供学历证书</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相关专业技能证书</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从业经验证明。</w:t>
            </w:r>
          </w:p>
          <w:p>
            <w:pPr>
              <w:topLinePunct/>
              <w:snapToGrid w:val="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default" w:ascii="仿宋_GB2312" w:hAnsi="仿宋_GB2312" w:eastAsia="仿宋_GB2312" w:cs="仿宋_GB2312"/>
                <w:color w:val="auto"/>
                <w:sz w:val="24"/>
                <w:szCs w:val="24"/>
                <w:lang w:val="en-US" w:eastAsia="zh-CN"/>
              </w:rPr>
              <w:t>.提供可证明同类招聘项目的合同关键页</w:t>
            </w:r>
            <w:r>
              <w:rPr>
                <w:rFonts w:hint="eastAsia" w:ascii="仿宋_GB2312" w:hAnsi="仿宋_GB2312" w:eastAsia="仿宋_GB2312" w:cs="仿宋_GB2312"/>
                <w:color w:val="auto"/>
                <w:sz w:val="24"/>
                <w:szCs w:val="24"/>
                <w:lang w:val="en-US" w:eastAsia="zh-CN"/>
              </w:rPr>
              <w:t>以及</w:t>
            </w:r>
            <w:r>
              <w:rPr>
                <w:rFonts w:hint="default" w:ascii="仿宋_GB2312" w:hAnsi="仿宋_GB2312" w:eastAsia="仿宋_GB2312" w:cs="仿宋_GB2312"/>
                <w:color w:val="auto"/>
                <w:sz w:val="24"/>
                <w:szCs w:val="24"/>
                <w:lang w:val="en-US" w:eastAsia="zh-CN"/>
              </w:rPr>
              <w:t>其他资料能够直接证明项目负责人实际参与上述招聘项目工作的材料</w:t>
            </w:r>
            <w:r>
              <w:rPr>
                <w:rFonts w:hint="eastAsia" w:ascii="仿宋_GB2312" w:hAnsi="仿宋_GB2312" w:eastAsia="仿宋_GB2312" w:cs="仿宋_GB2312"/>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694" w:type="pct"/>
            <w:noWrap w:val="0"/>
            <w:vAlign w:val="center"/>
          </w:tcPr>
          <w:p>
            <w:pPr>
              <w:spacing w:line="560" w:lineRule="exact"/>
              <w:jc w:val="center"/>
              <w:rPr>
                <w:rFonts w:hint="eastAsia"/>
                <w:highlight w:val="none"/>
                <w:lang w:eastAsia="zh-CN"/>
              </w:rPr>
            </w:pPr>
            <w:r>
              <w:rPr>
                <w:rFonts w:hint="eastAsia" w:ascii="仿宋_GB2312" w:hAnsi="仿宋_GB2312" w:eastAsia="仿宋_GB2312" w:cs="仿宋_GB2312"/>
                <w:sz w:val="24"/>
                <w:szCs w:val="24"/>
                <w:highlight w:val="none"/>
                <w:lang w:val="en-US" w:eastAsia="zh-CN"/>
              </w:rPr>
              <w:t>项目完成（服务期满）后的服务承诺（5分）</w:t>
            </w:r>
          </w:p>
        </w:tc>
        <w:tc>
          <w:tcPr>
            <w:tcW w:w="3647" w:type="pct"/>
            <w:noWrap w:val="0"/>
            <w:vAlign w:val="center"/>
          </w:tcPr>
          <w:p>
            <w:pPr>
              <w:topLinePunct/>
              <w:snapToGrid w:val="0"/>
              <w:jc w:val="both"/>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根据针对本项目做出的服务承诺，包括但不限于以下内容：如核心数据统计、招聘成果跟进、满意度调查、活动总结、项目成果资料完整移交等。</w:t>
            </w:r>
          </w:p>
          <w:p>
            <w:pPr>
              <w:topLinePunct/>
              <w:snapToGrid w:val="0"/>
              <w:jc w:val="both"/>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tabs>
                <w:tab w:val="center" w:pos="4107"/>
                <w:tab w:val="left" w:pos="5892"/>
              </w:tabs>
              <w:spacing w:line="560" w:lineRule="exact"/>
              <w:jc w:val="left"/>
              <w:rPr>
                <w:rFonts w:hint="default" w:ascii="仿宋_GB2312" w:hAnsi="仿宋_GB2312" w:eastAsia="仿宋_GB2312" w:cs="仿宋_GB2312"/>
                <w:b/>
                <w:bCs/>
                <w:color w:val="FF0000"/>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694" w:type="pct"/>
            <w:noWrap w:val="0"/>
            <w:vAlign w:val="top"/>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评分因素</w:t>
            </w:r>
          </w:p>
        </w:tc>
        <w:tc>
          <w:tcPr>
            <w:tcW w:w="3647" w:type="pct"/>
            <w:noWrap w:val="0"/>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694" w:type="pct"/>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（30分）</w:t>
            </w:r>
          </w:p>
        </w:tc>
        <w:tc>
          <w:tcPr>
            <w:tcW w:w="3647" w:type="pct"/>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1.线上推广服务，包括但不限于：推广方式、推广渠道、推广节奏及预热方案合理性等；</w:t>
            </w:r>
          </w:p>
          <w:p>
            <w:pPr>
              <w:keepNext w:val="0"/>
              <w:keepLines w:val="0"/>
              <w:pageBreakBefore w:val="0"/>
              <w:widowControl w:val="0"/>
              <w:snapToGrid/>
              <w:spacing w:line="276"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2.线下招聘会，包括但不限于：优质企业筛选标准（合法经营、无劳资纠纷等）及筛选流程，求职者简历初筛、岗位前置匹配的方法，到场人数保障措施等；</w:t>
            </w:r>
          </w:p>
          <w:p>
            <w:pPr>
              <w:keepNext w:val="0"/>
              <w:keepLines w:val="0"/>
              <w:pageBreakBefore w:val="0"/>
              <w:widowControl w:val="0"/>
              <w:snapToGrid/>
              <w:spacing w:line="276"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3.现场执行：50家企业展位规划、现场功能区（签到区、咨询服务区、等候休息区等）布置方案，物料制作、运输及现场秩序、应急预案及安全保障流程等。</w:t>
            </w:r>
          </w:p>
          <w:p>
            <w:pPr>
              <w:keepNext w:val="0"/>
              <w:keepLines w:val="0"/>
              <w:pageBreakBefore w:val="0"/>
              <w:widowControl w:val="0"/>
              <w:snapToGrid/>
              <w:spacing w:line="276"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4.直播送岗服务，包括但不限于：6-10家优质企业筛选、30个以上岗位征集及审核方式；直播平台推流渠道、设备租赁及技术保障，</w:t>
            </w:r>
            <w:r>
              <w:rPr>
                <w:rFonts w:hint="default"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val="en-US" w:eastAsia="zh-CN"/>
              </w:rPr>
              <w:t>0分钟以上直播的流程设计、脚本策划等；</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lang w:val="en-US" w:eastAsia="zh-CN"/>
              </w:rPr>
              <w:t>满足以上任意一项要求得5分，最高得20分，在此基础上。</w:t>
            </w:r>
            <w:r>
              <w:rPr>
                <w:rFonts w:hint="eastAsia" w:ascii="仿宋_GB2312" w:hAnsi="仿宋_GB2312" w:eastAsia="仿宋_GB2312" w:cs="仿宋_GB2312"/>
                <w:sz w:val="24"/>
                <w:szCs w:val="24"/>
                <w:lang w:eastAsia="zh-CN"/>
              </w:rPr>
              <w:t>根据各服务商的具体响应内容按照量化的评审因素指标进一步评审，设定优、良、中、差四个评分标准：</w:t>
            </w:r>
            <w:r>
              <w:rPr>
                <w:rFonts w:hint="eastAsia" w:ascii="仿宋_GB2312" w:hAnsi="仿宋_GB2312" w:eastAsia="仿宋_GB2312" w:cs="仿宋_GB2312"/>
                <w:sz w:val="24"/>
                <w:szCs w:val="24"/>
                <w:lang w:val="en-US" w:eastAsia="zh-CN"/>
              </w:rPr>
              <w:t>：</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1.优：项目实施方案内容全面、具体、针对性强、科学合理、可操作性强得10分；</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2.良：项目实施方案内容较丰富、针对性较强、可操作性较强得7分；</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3.中：项目实施方案内容基本全面、一般具体、针对性一般、一般科学合理、可操作性一般得4分；</w:t>
            </w:r>
          </w:p>
          <w:p>
            <w:pP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4.差：方案欠缺不足等其它情况不得分。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694" w:type="pct"/>
            <w:noWrap w:val="0"/>
            <w:vAlign w:val="center"/>
          </w:tcPr>
          <w:p>
            <w:pPr>
              <w:pStyle w:val="2"/>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项目重点难点分析、应对措施及相关合理化建议</w:t>
            </w:r>
          </w:p>
          <w:p>
            <w:pPr>
              <w:pStyle w:val="2"/>
              <w:jc w:val="center"/>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15分</w:t>
            </w:r>
            <w:r>
              <w:rPr>
                <w:rFonts w:hint="eastAsia" w:ascii="仿宋_GB2312" w:hAnsi="仿宋_GB2312" w:eastAsia="仿宋_GB2312" w:cs="仿宋_GB2312"/>
                <w:sz w:val="24"/>
                <w:szCs w:val="24"/>
                <w:vertAlign w:val="baseline"/>
                <w:lang w:eastAsia="zh-CN"/>
              </w:rPr>
              <w:t>）</w:t>
            </w:r>
          </w:p>
        </w:tc>
        <w:tc>
          <w:tcPr>
            <w:tcW w:w="3647" w:type="pct"/>
            <w:noWrap w:val="0"/>
            <w:vAlign w:val="top"/>
          </w:tcPr>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根据对项目的理解及自身管理经验，针对本项目的重点难点提出可行的应对措施及合理化建议，包括但不限于以下内容：</w:t>
            </w:r>
          </w:p>
          <w:p>
            <w:pPr>
              <w:numPr>
                <w:ilvl w:val="0"/>
                <w:numId w:val="0"/>
              </w:numPr>
              <w:rPr>
                <w:rFonts w:hint="eastAsia"/>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详细阐述本项目存在的重难点问题；</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根据项目重难点，详细阐述对应的应对措施；</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针对项目提出其他合理化建议。</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二、评分标准：</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满足以上任意一项要求得3分，最高得9分，在此基础上。</w:t>
            </w:r>
            <w:r>
              <w:rPr>
                <w:rFonts w:hint="eastAsia" w:ascii="仿宋_GB2312" w:hAnsi="仿宋_GB2312" w:eastAsia="仿宋_GB2312" w:cs="仿宋_GB2312"/>
                <w:sz w:val="24"/>
                <w:szCs w:val="24"/>
                <w:lang w:eastAsia="zh-CN"/>
              </w:rPr>
              <w:t>根据各服务商的具体响应内容按照量化的评审因素指标进一步评审，设定优、良、中、差四个评分标准：</w:t>
            </w:r>
            <w:r>
              <w:rPr>
                <w:rFonts w:hint="eastAsia" w:ascii="仿宋_GB2312" w:hAnsi="仿宋_GB2312" w:eastAsia="仿宋_GB2312" w:cs="仿宋_GB2312"/>
                <w:sz w:val="24"/>
                <w:szCs w:val="24"/>
                <w:lang w:val="en-US" w:eastAsia="zh-CN"/>
              </w:rPr>
              <w:t>：</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分；</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分；</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差：</w:t>
            </w:r>
            <w:r>
              <w:rPr>
                <w:rFonts w:hint="eastAsia" w:ascii="仿宋_GB2312" w:hAnsi="仿宋_GB2312" w:eastAsia="仿宋_GB2312" w:cs="仿宋_GB2312"/>
                <w:color w:val="auto"/>
                <w:sz w:val="24"/>
                <w:szCs w:val="24"/>
                <w:highlight w:val="none"/>
                <w:lang w:val="en-US" w:eastAsia="zh-CN"/>
              </w:rPr>
              <w:t>方案欠缺不足等</w:t>
            </w:r>
            <w:r>
              <w:rPr>
                <w:rFonts w:hint="eastAsia" w:ascii="仿宋_GB2312" w:hAnsi="仿宋_GB2312" w:eastAsia="仿宋_GB2312" w:cs="仿宋_GB2312"/>
                <w:sz w:val="24"/>
                <w:szCs w:val="24"/>
                <w:lang w:val="en-US" w:eastAsia="zh-CN"/>
              </w:rPr>
              <w:t>其它情况不得分。</w:t>
            </w:r>
          </w:p>
        </w:tc>
      </w:tr>
    </w:tbl>
    <w:p>
      <w:pPr>
        <w:jc w:val="center"/>
        <w:rPr>
          <w:rFonts w:hint="eastAsia" w:ascii="仿宋_GB2312" w:hAnsi="仿宋_GB2312" w:eastAsia="仿宋_GB2312" w:cs="仿宋_GB2312"/>
          <w:b w:val="0"/>
          <w:bCs/>
          <w:color w:val="000000"/>
          <w:sz w:val="32"/>
          <w:szCs w:val="32"/>
          <w:highlight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E3F7A0C"/>
    <w:rsid w:val="3E77C2E4"/>
    <w:rsid w:val="4A1947CF"/>
    <w:rsid w:val="B2F9504C"/>
    <w:rsid w:val="BBEFDE8B"/>
    <w:rsid w:val="C5FD9188"/>
    <w:rsid w:val="D7FE514E"/>
    <w:rsid w:val="F54C4B61"/>
    <w:rsid w:val="FBDC7EFD"/>
    <w:rsid w:val="FEFE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Title"/>
    <w:basedOn w:val="1"/>
    <w:next w:val="1"/>
    <w:qFormat/>
    <w:uiPriority w:val="10"/>
    <w:pPr>
      <w:widowControl w:val="0"/>
      <w:spacing w:before="240" w:after="60"/>
      <w:jc w:val="center"/>
      <w:outlineLvl w:val="0"/>
    </w:pPr>
    <w:rPr>
      <w:rFonts w:ascii="等线 Light" w:hAnsi="等线 Light" w:eastAsia="宋体" w:cs="Times New Roman"/>
      <w:b/>
      <w:bCs/>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方小小</cp:lastModifiedBy>
  <dcterms:modified xsi:type="dcterms:W3CDTF">2026-04-13T15:40:40Z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6BFB8A6401BE312B29EE9F69EB148E37</vt:lpwstr>
  </property>
</Properties>
</file>