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sz w:val="44"/>
          <w:szCs w:val="44"/>
          <w:highlight w:val="none"/>
        </w:rPr>
        <w:t>龙华文体中心信息化建设项目</w:t>
      </w:r>
      <w:r>
        <w:rPr>
          <w:rFonts w:hint="eastAsia" w:ascii="方正小标宋简体" w:hAnsi="方正小标宋简体" w:eastAsia="方正小标宋简体" w:cs="方正小标宋简体"/>
          <w:bCs/>
          <w:sz w:val="44"/>
          <w:szCs w:val="44"/>
          <w:highlight w:val="none"/>
        </w:rPr>
        <w:t>需求书</w:t>
      </w:r>
    </w:p>
    <w:p>
      <w:pPr>
        <w:widowControl/>
        <w:tabs>
          <w:tab w:val="left" w:pos="1820"/>
        </w:tabs>
        <w:adjustRightInd w:val="0"/>
        <w:snapToGrid w:val="0"/>
        <w:spacing w:line="360" w:lineRule="auto"/>
        <w:ind w:firstLine="640" w:firstLineChars="200"/>
        <w:rPr>
          <w:rFonts w:hint="eastAsia" w:ascii="黑体" w:hAnsi="黑体" w:eastAsia="黑体" w:cs="黑体"/>
          <w:bCs/>
          <w:sz w:val="32"/>
          <w:szCs w:val="32"/>
          <w:highlight w:val="none"/>
        </w:rPr>
      </w:pPr>
    </w:p>
    <w:p>
      <w:pPr>
        <w:pStyle w:val="8"/>
        <w:snapToGrid w:val="0"/>
        <w:spacing w:after="0" w:line="360" w:lineRule="auto"/>
        <w:ind w:left="0" w:leftChars="0" w:right="147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一、项目目标</w:t>
      </w:r>
    </w:p>
    <w:p>
      <w:pPr>
        <w:spacing w:line="360" w:lineRule="auto"/>
        <w:ind w:firstLine="640" w:firstLineChars="200"/>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以服务竞赛为核心，以十五运会场馆信息化建设为主线，对场馆信息技术功能用房、竞赛信息系统、信息基础网络、信息基础设施、网络安全保障、智慧化等提出建设要求，目的是在场馆改造建设初期统筹规划信息技术，确保场馆信息技术基础设施能符合服务竞赛要求，满足场馆信息技术服务赛时运行能力需求。</w:t>
      </w:r>
    </w:p>
    <w:p>
      <w:pPr>
        <w:tabs>
          <w:tab w:val="left" w:pos="1820"/>
        </w:tabs>
        <w:adjustRightInd w:val="0"/>
        <w:snapToGrid w:val="0"/>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报价限额</w:t>
      </w:r>
    </w:p>
    <w:p>
      <w:pPr>
        <w:snapToGrid w:val="0"/>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79.5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，各报价项目需与预算表项目保持一致，同时各项目报价不得超过各单项限额。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项目内容及要求</w:t>
      </w:r>
    </w:p>
    <w:p>
      <w:pPr>
        <w:pStyle w:val="9"/>
        <w:numPr>
          <w:ilvl w:val="0"/>
          <w:numId w:val="0"/>
        </w:numPr>
        <w:spacing w:line="360" w:lineRule="auto"/>
        <w:rPr>
          <w:rFonts w:hint="eastAsia" w:ascii="楷体_GB2312" w:hAnsi="楷体_GB2312" w:eastAsia="楷体_GB2312" w:cs="楷体_GB2312"/>
          <w:highlight w:val="none"/>
        </w:rPr>
      </w:pPr>
      <w:r>
        <w:rPr>
          <w:rFonts w:hint="eastAsia" w:ascii="楷体_GB2312" w:hAnsi="楷体_GB2312" w:eastAsia="楷体_GB2312" w:cs="楷体_GB2312"/>
          <w:highlight w:val="none"/>
        </w:rPr>
        <w:t>项目清单</w:t>
      </w:r>
    </w:p>
    <w:tbl>
      <w:tblPr>
        <w:tblStyle w:val="10"/>
        <w:tblW w:w="5181" w:type="pct"/>
        <w:tblInd w:w="0" w:type="dxa"/>
        <w:tblLayout w:type="fixed"/>
        <w:tblCellMar>
          <w:top w:w="0" w:type="dxa"/>
          <w:left w:w="108" w:type="dxa"/>
          <w:bottom w:w="0" w:type="dxa"/>
          <w:right w:w="108" w:type="dxa"/>
        </w:tblCellMar>
      </w:tblPr>
      <w:tblGrid>
        <w:gridCol w:w="1054"/>
        <w:gridCol w:w="855"/>
        <w:gridCol w:w="4618"/>
        <w:gridCol w:w="897"/>
        <w:gridCol w:w="982"/>
        <w:gridCol w:w="982"/>
      </w:tblGrid>
      <w:tr>
        <w:tblPrEx>
          <w:tblCellMar>
            <w:top w:w="0" w:type="dxa"/>
            <w:left w:w="108" w:type="dxa"/>
            <w:bottom w:w="0" w:type="dxa"/>
            <w:right w:w="108" w:type="dxa"/>
          </w:tblCellMar>
        </w:tblPrEx>
        <w:trPr>
          <w:trHeight w:val="285" w:hRule="atLeast"/>
        </w:trPr>
        <w:tc>
          <w:tcPr>
            <w:tcW w:w="561"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类型</w:t>
            </w:r>
          </w:p>
        </w:tc>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名称</w:t>
            </w:r>
          </w:p>
        </w:tc>
        <w:tc>
          <w:tcPr>
            <w:tcW w:w="2459" w:type="pct"/>
            <w:tcBorders>
              <w:top w:val="single" w:color="000000" w:sz="8" w:space="0"/>
              <w:left w:val="single" w:color="000000" w:sz="8" w:space="0"/>
              <w:bottom w:val="nil"/>
              <w:right w:val="single" w:color="000000" w:sz="8" w:space="0"/>
            </w:tcBorders>
            <w:noWrap w:val="0"/>
            <w:vAlign w:val="center"/>
          </w:tcPr>
          <w:p>
            <w:pPr>
              <w:widowControl/>
              <w:ind w:left="181" w:leftChars="86" w:firstLine="440" w:firstLineChars="20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配置</w:t>
            </w:r>
          </w:p>
        </w:tc>
        <w:tc>
          <w:tcPr>
            <w:tcW w:w="477"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单位</w:t>
            </w:r>
          </w:p>
        </w:tc>
        <w:tc>
          <w:tcPr>
            <w:tcW w:w="523"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数量</w:t>
            </w:r>
          </w:p>
        </w:tc>
        <w:tc>
          <w:tcPr>
            <w:tcW w:w="523" w:type="pct"/>
            <w:vMerge w:val="restart"/>
            <w:tcBorders>
              <w:top w:val="single" w:color="000000" w:sz="8" w:space="0"/>
              <w:left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总价</w:t>
            </w:r>
          </w:p>
        </w:tc>
      </w:tr>
      <w:tr>
        <w:tblPrEx>
          <w:tblCellMar>
            <w:top w:w="0" w:type="dxa"/>
            <w:left w:w="108" w:type="dxa"/>
            <w:bottom w:w="0" w:type="dxa"/>
            <w:right w:w="108" w:type="dxa"/>
          </w:tblCellMar>
        </w:tblPrEx>
        <w:trPr>
          <w:trHeight w:val="285" w:hRule="atLeast"/>
        </w:trPr>
        <w:tc>
          <w:tcPr>
            <w:tcW w:w="561"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ind w:firstLine="440" w:firstLineChars="20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规格/型号</w:t>
            </w:r>
          </w:p>
        </w:tc>
        <w:tc>
          <w:tcPr>
            <w:tcW w:w="47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restart"/>
            <w:tcBorders>
              <w:top w:val="nil"/>
              <w:left w:val="single" w:color="000000" w:sz="8" w:space="0"/>
              <w:bottom w:val="single" w:color="000000" w:sz="8" w:space="0"/>
              <w:right w:val="single" w:color="000000" w:sz="8" w:space="0"/>
            </w:tcBorders>
            <w:noWrap w:val="0"/>
            <w:vAlign w:val="center"/>
          </w:tcPr>
          <w:p>
            <w:pPr>
              <w:widowControl/>
              <w:jc w:val="both"/>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网络安全</w:t>
            </w: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日志审计</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1、设备内置主机审计许可证书≥100，平均每秒处理日志数（eps）最大性能≥2500；</w:t>
            </w: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w:t>
            </w:r>
          </w:p>
        </w:tc>
        <w:tc>
          <w:tcPr>
            <w:tcW w:w="523" w:type="pct"/>
            <w:vMerge w:val="restart"/>
            <w:tcBorders>
              <w:top w:val="nil"/>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200000</w:t>
            </w: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2、硬件规格为2U，内存≥16G，可用物理磁盘空间≥128G miniSATA+4T SATA，冗余电源，配备≥6千兆电口+2万兆光口SFP+，国产化设备，提供3年产品质保，3年软件升级和售后支持服务；</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3、支持主动、被动相结合的数据采集方式，支持通过Agent采集日志数据，支持通过syslog、SNMP Trap、JDBC、WMI、webservice、FTP、SFTP、文件\文件夹读取、Kafka等多种方式完成日志收集；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4、支持安全设备、网络设备、中间件、服务器、数据库、操作系统、业务系统等不少于800种日志对象的日志数据采集。支持Deepin(深之度)Linux、Harmony(鸿蒙) OS、Ubuntu Kylin(优麒麟)、UnionTech(统信)UOS等不少于25款国产化操作系统日志接入。</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5、支持TLS加密方式进行日志传输，支持日志传输状态、最近同步时间进行监控，可统计每个日志源的今日传输量和传输总量；</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6、▲支持通过正则、分隔符、json、xml的可视方式进行自定义规则解析，支持对解析结果字段的新增、合并、映射，需提供具有CMA/CNAS标识的检测报告；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7、▲支持对单个/多个日志源批量转发，支持定时转发，可通过syslog和kafka方式转发到第三方平台，并且支持转发原始日志和已解析日志的两种日志。需提供具有CMA/CNAS标识的检测报告；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支持对每个日志源设置过滤条件规则，自动过滤无用日志，满足根据实际业务需求减少采集对象发送到核心服务器的安全事件数，减少对网络带宽和数据库存储空间的占用。需提供具有CMA/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设备网边界及物联网防火墙</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 设备网络层吞吐量≥10Gbps，应用层吞吐量≥4Gbps，并发连接数≥400W，新建连接数≥10W；</w:t>
            </w: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 内存≥8G，存储≥128G SSD，单电源，配备≥6千兆电口，国产化设备，提供3年产品质保，3年软件升级和售后支持服务；</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 支持路由类型、协议类型、网络对象、国家地区等条件进行自动选路的策略路由，支持不少于3种的调度算法，至少包括带宽比例、加权流量、线路优先等。</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 具备勒索防护功能、CC攻击防护功能、Cookie攻击防护功能。具备僵尸主机检测功能，僵尸网络特征库不低于128万种，可识别主机的异常外联行为。</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 具备入侵防护IPS功能模块，漏洞规则不低于16000种，并支持失陷外联检测，至少应包含DNS隧道检测、HTTP隧道检测、Webshell加密通信检测能力。</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 支持X-Forworded-For字段检测技术，并对非法源IP进行日志记录和联动封锁。支持服务器漏洞防扫描技术，并对扫描源IP进行日志记录和联动封锁。</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 ▲具备账号安全防护功能，包括用户账号多余入口检测、用户账号弱口令检测、用户账号暴力破解检测、失陷账号检测，防止因账号被暴力破解导致的非法提权情况发生。需提供功能截图和具备CMA和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 ▲具备策略全生命周期管理功能。支持记录安全策略变更时间、变更账号、变更类型等内容，提升日常安全策略运维效率。需提供功能截图和具备CMA和CNAS标识的检测报告。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9. ▲支持自定义流量监控组件，可基于设备、应用、源目的IP、接口设置不同的流量和会话数排行动态展示，展示效果支持面积图、折线图、柱状图等至少三种形式。需提供功能截图和具备CMA和CNAS标识的检测报告。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10、▲产品支持云威胁情报网关技术，通过全球超过30+pop节点，实现对威胁流量就近进行实时检测&amp;拦截，实现失陷外联实时阻断。需提供功能截图和具备CMA和CNAS标识的检测报告。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951"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终端杀毒软件</w:t>
            </w:r>
          </w:p>
        </w:tc>
        <w:tc>
          <w:tcPr>
            <w:tcW w:w="2459" w:type="pct"/>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1、需包含10套授权、1套管理控制中心授权，国产化软件；</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2、产品可以纯软件交付，包含管理控制中心软件及终端客户端软件，其中管理控制中心可云化部署。单一管理控制中心可统一管理分别部署在WindowsPC、Windows服务器、Linux服务器以及国产化服务器的客户端软件</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3、采用B/S架构的管理控制中心，具备终端安全可视，终端统一管理，统一威胁处置，统一漏洞修复，威胁响应处置，日志记录与查询等功能;</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4、支持客户端的错峰升级，可根据实际情况控制客户端同时升级的最大数量，避免大量终端程序同时更新造成网络拥堵或I/O风暴；</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5、支持流行Windows高危漏洞的轻补丁免疫防御，支持Windows补丁批量一键修复</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6、支持对主机账号信息进行梳理，可展示登录历史，了解账号风险，包括是否存在隐藏账号、弱密码账号、可疑root权限账号；</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7、▲提供勒索病毒整体防护体系入口，直观展示最近七天勒索病毒防护效果，包括已处置的恶意文件数量、已拦截可疑行为次数、已阻止的未知进程操作次数、已阻止的暴力破解攻击次数，需提供产品截图证明；</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8、▲支持不同攻击阶段的主要攻击手法检测，对包括但不仅限于以下攻击手法精准检测，执行、持久化、权限提升、防御逃逸、凭证窃取、横向移动等攻击手法检测记录。显示事件详情，展示攻击手法对应的高危操作和威胁实体，需提供产品截图证明；</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9、▲支持以可视化形式展现攻击故事，提供可视化的进程树溯源，可直观看出攻击入口、相关操作行为、高危实体文件等信息，协助客户进行事件攻击溯源和研判分析，需提供产品截图证明。</w:t>
            </w:r>
          </w:p>
        </w:tc>
        <w:tc>
          <w:tcPr>
            <w:tcW w:w="477"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套</w:t>
            </w:r>
          </w:p>
        </w:tc>
        <w:tc>
          <w:tcPr>
            <w:tcW w:w="523" w:type="pc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堡垒机</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1、设备内置运维管理资产数≥50，图形运维最大并发数≥100，字符运维最大并发数≥200；</w:t>
            </w: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2、内存≥8G，硬盘≥1.92T SSD，单电源，配备≥6千兆电口+4千兆光口SFP，国产化设备，提供3年产品质保，3年软件升级和售后支持服务；</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3、支持运维水印、录像水印、监控水印开启；</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4、支持自定义紧急运维流程开启或关闭，紧急运维开启时，运维人员可通过紧急运维流程直接访问目标设备，系统记录为紧急运维工单，审批人员可在事后查看或审批；</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5、支持在授权基础上自定义访问审批流程，可设置一级或多级审批人，每级审批可指定通过投票数，需逐级审批通过才可最终发起运维操作；</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6、▲支持通过动作流配置提供广泛的应用接入支持，无论被接入的资源如何设计登录动作，通过动作流配置都可以实现单点登陆和审计接入，须提供产品功能截图；</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 ▲用户登陆认证方式支持静态口令认证、手机动态口令认证、Usbkey（数字证书）认证、短信认证（移动云mas)、AD域/LADP认证、Radius认证等认证方式；并支持各种认证方式和静态口令组合认证，须提供产品功能截图；</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8、▲支持命令审批规则，对字符型设备（如linux/unix/网络设备）的高危命令执行需管理员审批后才允许执行；命令审批规则可以指定运维人员、访问设备、设备账号及命令审批人，须提供产品功能截图；</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9、为确保设备兼容性稳定性，需确保所提供设备支持标准API接口方式与其他系统对接，需提供制造商出具的相关承诺书。</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公共安全</w:t>
            </w: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视频传输设备（流媒体网关）</w:t>
            </w:r>
          </w:p>
        </w:tc>
        <w:tc>
          <w:tcPr>
            <w:tcW w:w="2459" w:type="pct"/>
            <w:tcBorders>
              <w:top w:val="nil"/>
              <w:left w:val="single" w:color="000000" w:sz="8" w:space="0"/>
              <w:bottom w:val="nil"/>
              <w:right w:val="single" w:color="000000" w:sz="8" w:space="0"/>
            </w:tcBorders>
            <w:noWrap w:val="0"/>
            <w:vAlign w:val="center"/>
          </w:tcPr>
          <w:p>
            <w:pPr>
              <w:jc w:val="left"/>
              <w:rPr>
                <w:rFonts w:hint="eastAsia" w:ascii="仿宋_GB2312" w:hAnsi="仿宋_GB2312" w:eastAsia="仿宋_GB2312" w:cs="仿宋_GB2312"/>
                <w:color w:val="000000"/>
                <w:sz w:val="22"/>
                <w:highlight w:val="none"/>
              </w:rPr>
            </w:pP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w:t>
            </w:r>
          </w:p>
        </w:tc>
        <w:tc>
          <w:tcPr>
            <w:tcW w:w="523" w:type="pct"/>
            <w:vMerge w:val="restart"/>
            <w:tcBorders>
              <w:top w:val="nil"/>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75000</w:t>
            </w: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4U机架式24盘位网络硬盘录像机，整机采用无线缆模块化设计，搭载1+1冗余电源、1+1冗余风扇</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【硬件规格】</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存储接口：24个SATA接口，支持硬盘热插拔，可满配20TB硬盘</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视频接口：2×HDMI，1×VGA，2×DP，2×V-DP</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网络接口：4×RJ45 2.5Gbps电口</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报警接口：16路报警输入，8路报警输出</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串行接口：1路RS-232接口，1路全双工RS-485接口</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USB接口：2×USB 2.0，4×USB 3.0</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扩展接口：1×eSATA</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jc w:val="left"/>
              <w:rPr>
                <w:rFonts w:hint="eastAsia" w:ascii="仿宋_GB2312" w:hAnsi="仿宋_GB2312" w:eastAsia="仿宋_GB2312" w:cs="仿宋_GB2312"/>
                <w:color w:val="000000"/>
                <w:sz w:val="22"/>
                <w:highlight w:val="none"/>
              </w:rPr>
            </w:pP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【产品性能】</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输入带宽：1280Mbps（开启RAID后为512Mbps）</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输出带宽：1280Mbps（开启RAID后为512Mbps）</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接入能力：256路H.264、H.265格式高清码流接入</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解码能力：最大支持48×1080P</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显示能力：最大支持4×4K、2×8K分辨率异源显示输出</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RAID模式：RAID0、RAID1、RAID5、RAID6、RAID10，支持全局热备盘</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可插拔式安装主板、风扇、电源模块，并且风扇、冗余电源模块可热插拔（以公安部检测报告为准）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82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在单8K模式下，支持选取DP1/DP2两个输出口中的任一个输出口为8K（7680×4320）输出口，HDMI1/HDMI2仍可异源4K（4096×2160）输出；在双8K模式下，仅可选择DP1/DP2输出异源双8K（7680×4320）视频图像。（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设备支持分组管理，支持将接入的视频通道按分组管理；支持以分组方式进行预览、回放和检索；自定义视图支持以分组方式拖动通道进行配置。（以公安部检测报告为准）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支持网络广播绑定视频通道，支持以通道方式对绑定后的视频通道和网络广播进行对讲。（以公安部检测报告为准）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支持预览时对实时视频流进行手动打标签，通过标签检索可以检索到相关的录像片段。（以公安部检测报告为准）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支持自动跳转https功能，设备启用自动跳转https功能后不支持http协议访问，http访问入口连接会自动重定向到https入口（以公安部检测报告为准）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70" w:hRule="atLeast"/>
        </w:trPr>
        <w:tc>
          <w:tcPr>
            <w:tcW w:w="561"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网络设备</w:t>
            </w: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接入交换机</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1、交换容量≥672Gbps，包转发率≥126Mpps（以官网最小值为准）；</w:t>
            </w: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13</w:t>
            </w:r>
          </w:p>
        </w:tc>
        <w:tc>
          <w:tcPr>
            <w:tcW w:w="523" w:type="pct"/>
            <w:vMerge w:val="restart"/>
            <w:tcBorders>
              <w:top w:val="nil"/>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255000</w:t>
            </w: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2、接口≥48个千兆电口，≥4个千兆SFP；</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3、支持MAC地址≥32K，支持ARP表项≥2K，ipv4路由规格≥4k；</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4、支持4K个VLAN，支持Voice VLAN，基于端口的VLAN，基于MAC的VLAN，基于协议的VLAN；</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5、支持静态路由、RIP、RIPng、OSPF、OSPFv3路由协议；</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6、支持通过命令行、Web、中文图形化配置软件等方式进行配置和管理；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7、支持业务一键式自动下发，支持零配置即插即用；</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核心交换机</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1、固定端口：48个万兆 SFP+，支持6个40/100GE QSFP28，可支持一个扩展插槽；支持厂家国产化芯片（提供第三方测试报告）</w:t>
            </w:r>
          </w:p>
        </w:tc>
        <w:tc>
          <w:tcPr>
            <w:tcW w:w="477"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台</w:t>
            </w:r>
          </w:p>
        </w:tc>
        <w:tc>
          <w:tcPr>
            <w:tcW w:w="523" w:type="pct"/>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2、交换容量≥ 4.8Tbps;包转发率≥2000Mpps（以官网最小值为准）</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3、支持静态路由、RIP V1/2、OSPF、IS-IS、BGP、RIPng、OSPFv3、BGP4+、ISISv6；</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4、支持IPv6路由表项≥80K，支持IPv4路由表项≥256K；提供第三方测试报告；</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5、支持并配置1+1冗余电源、风扇；</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6、支持交换机基于UCL用户组方式，用户组内的用户，不论是有线还是无线用户，也不论用户在何处登录，获得任何IP地址，用户都拥有相同的访问权限；</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7、支持VxLAN功能，支持BGP EVPN，支持分布式 Anycast 网关；</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8、支持G.8032（ERPS）标准环网协议，故障倒换收敛时间小于50毫秒；</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9、支持SNMPv1/v2c/v3，支持RMON；支持网管系统、支持WEB网管特性；</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28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 xml:space="preserve">10、配置：双电源； </w:t>
            </w:r>
          </w:p>
        </w:tc>
        <w:tc>
          <w:tcPr>
            <w:tcW w:w="477"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523" w:type="pct"/>
            <w:vMerge w:val="continue"/>
            <w:tcBorders>
              <w:left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万兆多模光模块</w:t>
            </w: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光模块-SFP+-10G-多模模块(850nm,0.3km,LC)</w:t>
            </w:r>
          </w:p>
        </w:tc>
        <w:tc>
          <w:tcPr>
            <w:tcW w:w="477"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块</w:t>
            </w:r>
          </w:p>
        </w:tc>
        <w:tc>
          <w:tcPr>
            <w:tcW w:w="523"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r>
      <w:tr>
        <w:tblPrEx>
          <w:tblCellMar>
            <w:top w:w="0" w:type="dxa"/>
            <w:left w:w="108" w:type="dxa"/>
            <w:bottom w:w="0" w:type="dxa"/>
            <w:right w:w="108" w:type="dxa"/>
          </w:tblCellMar>
        </w:tblPrEx>
        <w:trPr>
          <w:trHeight w:val="555"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万兆单模光模块</w:t>
            </w:r>
          </w:p>
        </w:tc>
        <w:tc>
          <w:tcPr>
            <w:tcW w:w="2459" w:type="pct"/>
            <w:tcBorders>
              <w:top w:val="nil"/>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光模块-SFP+-10G-单模模块(1310nm,10km,LC)</w:t>
            </w:r>
          </w:p>
        </w:tc>
        <w:tc>
          <w:tcPr>
            <w:tcW w:w="477"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块</w:t>
            </w:r>
          </w:p>
        </w:tc>
        <w:tc>
          <w:tcPr>
            <w:tcW w:w="523"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w:t>
            </w:r>
          </w:p>
        </w:tc>
        <w:tc>
          <w:tcPr>
            <w:tcW w:w="523" w:type="pct"/>
            <w:vMerge w:val="continue"/>
            <w:tcBorders>
              <w:left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r>
      <w:tr>
        <w:tblPrEx>
          <w:tblCellMar>
            <w:top w:w="0" w:type="dxa"/>
            <w:left w:w="108" w:type="dxa"/>
            <w:bottom w:w="0" w:type="dxa"/>
            <w:right w:w="108" w:type="dxa"/>
          </w:tblCellMar>
        </w:tblPrEx>
        <w:trPr>
          <w:trHeight w:val="540" w:hRule="atLeast"/>
        </w:trPr>
        <w:tc>
          <w:tcPr>
            <w:tcW w:w="561" w:type="pct"/>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color w:val="000000"/>
                <w:sz w:val="22"/>
                <w:highlight w:val="none"/>
              </w:rPr>
            </w:pPr>
          </w:p>
        </w:tc>
        <w:tc>
          <w:tcPr>
            <w:tcW w:w="455"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千兆单模光模块</w:t>
            </w:r>
          </w:p>
        </w:tc>
        <w:tc>
          <w:tcPr>
            <w:tcW w:w="2459" w:type="pct"/>
            <w:tcBorders>
              <w:top w:val="nil"/>
              <w:left w:val="single" w:color="000000" w:sz="8" w:space="0"/>
              <w:bottom w:val="nil"/>
              <w:right w:val="single" w:color="000000" w:sz="8" w:space="0"/>
            </w:tcBorders>
            <w:noWrap w:val="0"/>
            <w:vAlign w:val="center"/>
          </w:tcPr>
          <w:p>
            <w:pPr>
              <w:widowControl/>
              <w:jc w:val="left"/>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光模块-eSFP-GE-单模模块(1310nm,10km,LC)</w:t>
            </w:r>
          </w:p>
        </w:tc>
        <w:tc>
          <w:tcPr>
            <w:tcW w:w="477"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块</w:t>
            </w:r>
          </w:p>
        </w:tc>
        <w:tc>
          <w:tcPr>
            <w:tcW w:w="523" w:type="pc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52</w:t>
            </w:r>
          </w:p>
        </w:tc>
        <w:tc>
          <w:tcPr>
            <w:tcW w:w="523" w:type="pct"/>
            <w:vMerge w:val="continue"/>
            <w:tcBorders>
              <w:left w:val="single" w:color="000000" w:sz="8" w:space="0"/>
              <w:bottom w:val="single" w:color="000000" w:sz="8" w:space="0"/>
              <w:right w:val="single" w:color="000000" w:sz="8"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r>
      <w:tr>
        <w:tblPrEx>
          <w:tblCellMar>
            <w:top w:w="0" w:type="dxa"/>
            <w:left w:w="108" w:type="dxa"/>
            <w:bottom w:w="0" w:type="dxa"/>
            <w:right w:w="108" w:type="dxa"/>
          </w:tblCellMar>
        </w:tblPrEx>
        <w:trPr>
          <w:trHeight w:val="270" w:hRule="atLeast"/>
        </w:trPr>
        <w:tc>
          <w:tcPr>
            <w:tcW w:w="561" w:type="pct"/>
            <w:vMerge w:val="restart"/>
            <w:tcBorders>
              <w:top w:val="single" w:color="000000" w:sz="8" w:space="0"/>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综合布线</w:t>
            </w: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i w:val="0"/>
                <w:iCs w:val="0"/>
                <w:color w:val="000000"/>
                <w:kern w:val="0"/>
                <w:sz w:val="22"/>
                <w:szCs w:val="22"/>
                <w:u w:val="none"/>
                <w:lang w:val="en-US" w:eastAsia="zh-CN" w:bidi="ar"/>
              </w:rPr>
              <w:t>光缆</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12芯</w:t>
            </w: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3000</w:t>
            </w:r>
          </w:p>
        </w:tc>
        <w:tc>
          <w:tcPr>
            <w:tcW w:w="523" w:type="pct"/>
            <w:vMerge w:val="restart"/>
            <w:tcBorders>
              <w:top w:val="single" w:color="auto" w:sz="4" w:space="0"/>
              <w:left w:val="single" w:color="auto" w:sz="4" w:space="0"/>
              <w:right w:val="single" w:color="auto" w:sz="4" w:space="0"/>
            </w:tcBorders>
            <w:noWrap/>
            <w:vAlign w:val="center"/>
          </w:tcPr>
          <w:p>
            <w:pPr>
              <w:widowControl/>
              <w:jc w:val="both"/>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265000</w:t>
            </w: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i w:val="0"/>
                <w:iCs w:val="0"/>
                <w:color w:val="000000"/>
                <w:kern w:val="0"/>
                <w:sz w:val="22"/>
                <w:szCs w:val="22"/>
                <w:u w:val="none"/>
                <w:lang w:val="en-US" w:eastAsia="zh-CN" w:bidi="ar"/>
              </w:rPr>
              <w:t>光缆</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24芯</w:t>
            </w:r>
          </w:p>
        </w:tc>
        <w:tc>
          <w:tcPr>
            <w:tcW w:w="47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1260</w:t>
            </w:r>
          </w:p>
        </w:tc>
        <w:tc>
          <w:tcPr>
            <w:tcW w:w="523" w:type="pct"/>
            <w:vMerge w:val="continue"/>
            <w:tcBorders>
              <w:left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i w:val="0"/>
                <w:iCs w:val="0"/>
                <w:color w:val="000000"/>
                <w:kern w:val="0"/>
                <w:sz w:val="22"/>
                <w:szCs w:val="22"/>
                <w:u w:val="none"/>
                <w:lang w:val="en-US" w:eastAsia="zh-CN" w:bidi="ar"/>
              </w:rPr>
              <w:t>光缆成端接头</w:t>
            </w:r>
          </w:p>
        </w:tc>
        <w:tc>
          <w:tcPr>
            <w:tcW w:w="245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芯</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336</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i w:val="0"/>
                <w:iCs w:val="0"/>
                <w:color w:val="000000"/>
                <w:kern w:val="0"/>
                <w:sz w:val="22"/>
                <w:szCs w:val="22"/>
                <w:u w:val="none"/>
                <w:lang w:val="en-US" w:eastAsia="zh-CN" w:bidi="ar"/>
              </w:rPr>
              <w:t>光缆终端盒</w:t>
            </w:r>
          </w:p>
        </w:tc>
        <w:tc>
          <w:tcPr>
            <w:tcW w:w="245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i w:val="0"/>
                <w:iCs w:val="0"/>
                <w:color w:val="auto"/>
                <w:kern w:val="0"/>
                <w:sz w:val="22"/>
                <w:szCs w:val="22"/>
                <w:u w:val="none"/>
                <w:lang w:val="en-US" w:eastAsia="zh-CN" w:bidi="ar"/>
              </w:rPr>
              <w:t>12芯光缆中继段测试</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段</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i w:val="0"/>
                <w:iCs w:val="0"/>
                <w:color w:val="auto"/>
                <w:kern w:val="0"/>
                <w:sz w:val="22"/>
                <w:szCs w:val="22"/>
                <w:u w:val="none"/>
                <w:lang w:val="en-US" w:eastAsia="zh-CN" w:bidi="ar"/>
              </w:rPr>
              <w:t>24芯光缆中继段测试</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eastAsia="zh-CN" w:bidi="ar"/>
              </w:rPr>
            </w:pPr>
            <w:r>
              <w:rPr>
                <w:rFonts w:hint="eastAsia" w:ascii="仿宋_GB2312" w:hAnsi="仿宋_GB2312" w:eastAsia="仿宋_GB2312" w:cs="仿宋_GB2312"/>
                <w:color w:val="000000"/>
                <w:kern w:val="0"/>
                <w:sz w:val="22"/>
                <w:highlight w:val="none"/>
                <w:lang w:eastAsia="zh-CN" w:bidi="ar"/>
              </w:rPr>
              <w:t>段</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电缆槽道、走线架、机架、框</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200</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双绞线缆测试</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段</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信息插座</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2"/>
                <w:szCs w:val="22"/>
                <w:u w:val="none"/>
                <w:lang w:val="en-US" w:eastAsia="zh-CN" w:bidi="ar"/>
              </w:rPr>
              <w:t>套</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84</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理线器</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4"/>
                <w:szCs w:val="24"/>
                <w:u w:val="none"/>
                <w:lang w:val="en-US" w:eastAsia="zh-CN" w:bidi="ar"/>
              </w:rPr>
              <w:t>条</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双绞线缆</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8400</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pvc线管</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6210</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敷设线材及管材</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14508</w:t>
            </w:r>
          </w:p>
        </w:tc>
        <w:tc>
          <w:tcPr>
            <w:tcW w:w="523" w:type="pct"/>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trPr>
        <w:tc>
          <w:tcPr>
            <w:tcW w:w="561" w:type="pct"/>
            <w:vMerge w:val="continue"/>
            <w:tcBorders>
              <w:left w:val="single" w:color="000000" w:sz="8" w:space="0"/>
              <w:right w:val="nil"/>
            </w:tcBorders>
            <w:noWrap w:val="0"/>
            <w:vAlign w:val="center"/>
          </w:tcPr>
          <w:p>
            <w:pPr>
              <w:jc w:val="center"/>
              <w:rPr>
                <w:rFonts w:hint="eastAsia" w:ascii="仿宋_GB2312" w:hAnsi="仿宋_GB2312" w:eastAsia="仿宋_GB2312" w:cs="仿宋_GB2312"/>
                <w:color w:val="000000"/>
                <w:sz w:val="22"/>
                <w:highlight w:val="none"/>
                <w:lang w:val="en-US" w:eastAsia="zh-CN"/>
              </w:rPr>
            </w:pPr>
          </w:p>
        </w:tc>
        <w:tc>
          <w:tcPr>
            <w:tcW w:w="455" w:type="pct"/>
            <w:tcBorders>
              <w:top w:val="single" w:color="000000" w:sz="4" w:space="0"/>
              <w:left w:val="single" w:color="000000" w:sz="8" w:space="0"/>
              <w:bottom w:val="single" w:color="000000"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辅材</w:t>
            </w:r>
          </w:p>
        </w:tc>
        <w:tc>
          <w:tcPr>
            <w:tcW w:w="245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p>
        </w:tc>
        <w:tc>
          <w:tcPr>
            <w:tcW w:w="47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highlight w:val="none"/>
                <w:lang w:val="en-US" w:eastAsia="zh-CN" w:bidi="ar"/>
              </w:rPr>
            </w:pPr>
            <w:r>
              <w:rPr>
                <w:rFonts w:hint="eastAsia" w:ascii="仿宋_GB2312" w:hAnsi="仿宋_GB2312" w:eastAsia="仿宋_GB2312" w:cs="仿宋_GB2312"/>
                <w:color w:val="000000"/>
                <w:kern w:val="0"/>
                <w:sz w:val="22"/>
                <w:highlight w:val="none"/>
                <w:lang w:val="en-US" w:eastAsia="zh-CN" w:bidi="ar"/>
              </w:rPr>
              <w:t>批</w:t>
            </w:r>
          </w:p>
        </w:tc>
        <w:tc>
          <w:tcPr>
            <w:tcW w:w="52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23" w:type="pct"/>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pPr>
        <w:pStyle w:val="9"/>
        <w:numPr>
          <w:ilvl w:val="0"/>
          <w:numId w:val="0"/>
        </w:numPr>
        <w:spacing w:line="360" w:lineRule="auto"/>
        <w:rPr>
          <w:rFonts w:hint="eastAsia" w:ascii="楷体_GB2312" w:hAnsi="楷体_GB2312" w:eastAsia="楷体_GB2312" w:cs="楷体_GB2312"/>
          <w:highlight w:val="none"/>
        </w:rPr>
      </w:pPr>
    </w:p>
    <w:p>
      <w:pPr>
        <w:numPr>
          <w:ilvl w:val="0"/>
          <w:numId w:val="2"/>
        </w:numPr>
        <w:tabs>
          <w:tab w:val="left" w:pos="1820"/>
        </w:tabs>
        <w:adjustRightInd w:val="0"/>
        <w:snapToGrid w:val="0"/>
        <w:spacing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项目要求</w:t>
      </w:r>
    </w:p>
    <w:p>
      <w:pPr>
        <w:tabs>
          <w:tab w:val="left" w:pos="1820"/>
        </w:tabs>
        <w:adjustRightInd w:val="0"/>
        <w:snapToGrid w:val="0"/>
        <w:spacing w:line="360" w:lineRule="auto"/>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1.供应商提供施工方案应经甲方审核认可后实施，不得将该项目的全部或部分服务内容转包、分包给任何第三方。所提供的货物符合中华人民共和国的设计和制造生产标准或行业标准。乙方应保证货物是全新、未使用过的原装合格正品（包括零部件），并完全符合甲方要求的质量、规格和性能的要求。</w:t>
      </w:r>
    </w:p>
    <w:p>
      <w:pPr>
        <w:tabs>
          <w:tab w:val="left" w:pos="1820"/>
        </w:tabs>
        <w:adjustRightInd w:val="0"/>
        <w:snapToGrid w:val="0"/>
        <w:spacing w:line="360" w:lineRule="auto"/>
        <w:ind w:firstLine="640" w:firstLineChars="200"/>
        <w:rPr>
          <w:rFonts w:hint="eastAsia"/>
          <w:highlight w:val="none"/>
        </w:rPr>
      </w:pPr>
      <w:r>
        <w:rPr>
          <w:rFonts w:hint="eastAsia" w:ascii="仿宋_GB2312" w:hAnsi="仿宋" w:eastAsia="仿宋_GB2312" w:cs="仿宋"/>
          <w:sz w:val="32"/>
          <w:szCs w:val="32"/>
          <w:highlight w:val="none"/>
        </w:rPr>
        <w:t>2.供应商提供的报价包含但不限于其所承担的税费、产品价款、运输费、安装调试费、包装费、人工费、操作培训费以及合理的利润等，该报价作为一经确定中标即为合同采购价。项目需求方按照财政集中支付程序办理费用支付的手续。</w:t>
      </w:r>
    </w:p>
    <w:p>
      <w:pPr>
        <w:snapToGrid w:val="0"/>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 w:eastAsia="仿宋_GB2312" w:cs="仿宋"/>
          <w:sz w:val="32"/>
          <w:szCs w:val="32"/>
          <w:highlight w:val="none"/>
        </w:rPr>
        <w:t>3.本项目均以审核后的供应商所提供的详细设计方案以及所需实现的功能为标准进行验收。在质保期内，正常使用状态下出现的质量问题，供应商需免费进行维修维护。</w:t>
      </w:r>
    </w:p>
    <w:p>
      <w:pPr>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Cs/>
          <w:sz w:val="32"/>
          <w:szCs w:val="32"/>
          <w:highlight w:val="none"/>
          <w:lang w:val="en-US" w:eastAsia="zh-CN"/>
        </w:rPr>
        <w:t>三</w:t>
      </w:r>
      <w:r>
        <w:rPr>
          <w:rFonts w:hint="eastAsia" w:ascii="黑体" w:hAnsi="黑体" w:eastAsia="黑体" w:cs="黑体"/>
          <w:bCs/>
          <w:sz w:val="32"/>
          <w:szCs w:val="32"/>
          <w:highlight w:val="none"/>
        </w:rPr>
        <w:t>、</w:t>
      </w:r>
      <w:r>
        <w:rPr>
          <w:rFonts w:hint="eastAsia" w:ascii="黑体" w:hAnsi="黑体" w:eastAsia="黑体" w:cs="黑体"/>
          <w:sz w:val="32"/>
          <w:szCs w:val="32"/>
          <w:highlight w:val="none"/>
        </w:rPr>
        <w:t>供应商的资质要求</w:t>
      </w:r>
    </w:p>
    <w:p>
      <w:pPr>
        <w:snapToGrid w:val="0"/>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具有独立承担民事责任的能力（提供营业执照或事业法人证书或社会团体法人登记证书等扫描件，原件备查，分公司参与投标的，须提供分公司营业执照、其所属集团(或总公司)等具有独立法人资格的组织的营业执照及其出具的载明愿为其参与投标的行为以及履约等行为承担民事责任的加盖总公司公章的授权函）；</w:t>
      </w:r>
    </w:p>
    <w:p>
      <w:pPr>
        <w:snapToGrid w:val="0"/>
        <w:spacing w:line="360" w:lineRule="auto"/>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2.参与本项目投标近三年内（供应商成立不足三年的可从成</w:t>
      </w:r>
      <w:bookmarkStart w:id="0" w:name="_GoBack"/>
      <w:bookmarkEnd w:id="0"/>
      <w:r>
        <w:rPr>
          <w:rFonts w:hint="eastAsia" w:ascii="仿宋_GB2312" w:hAnsi="仿宋" w:eastAsia="仿宋_GB2312" w:cs="仿宋"/>
          <w:sz w:val="32"/>
          <w:szCs w:val="32"/>
          <w:highlight w:val="none"/>
        </w:rPr>
        <w:t>立之日起算），在经营活动中没有重大违法记录以及不存在被有关部门禁止参与政府采购活动且在有效期内的情况;</w:t>
      </w:r>
    </w:p>
    <w:p>
      <w:pPr>
        <w:snapToGrid w:val="0"/>
        <w:spacing w:line="360" w:lineRule="auto"/>
        <w:ind w:firstLine="640" w:firstLineChars="200"/>
        <w:rPr>
          <w:rFonts w:hint="eastAsia" w:ascii="仿宋_GB2312" w:eastAsia="仿宋_GB2312"/>
          <w:color w:val="000000"/>
          <w:sz w:val="32"/>
          <w:szCs w:val="32"/>
          <w:highlight w:val="none"/>
        </w:rPr>
      </w:pPr>
      <w:r>
        <w:rPr>
          <w:rFonts w:hint="eastAsia" w:ascii="仿宋_GB2312" w:hAnsi="仿宋" w:eastAsia="仿宋_GB2312" w:cs="仿宋"/>
          <w:sz w:val="32"/>
          <w:szCs w:val="32"/>
          <w:highlight w:val="none"/>
        </w:rPr>
        <w:t>3.单位负责人为同一人或者存在直接控股、管理关系的不同供应商，不得同时参加本项目的采购活动。</w:t>
      </w:r>
    </w:p>
    <w:p>
      <w:pPr>
        <w:snapToGrid w:val="0"/>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、选定供应商方法</w:t>
      </w:r>
    </w:p>
    <w:p>
      <w:pPr>
        <w:tabs>
          <w:tab w:val="left" w:pos="1820"/>
        </w:tabs>
        <w:adjustRightInd w:val="0"/>
        <w:snapToGrid w:val="0"/>
        <w:spacing w:line="360" w:lineRule="auto"/>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公开征集</w:t>
      </w:r>
      <w:r>
        <w:rPr>
          <w:rFonts w:ascii="仿宋_GB2312" w:hAnsi="仿宋" w:eastAsia="仿宋_GB2312"/>
          <w:sz w:val="32"/>
          <w:highlight w:val="none"/>
          <w:lang w:val="en"/>
        </w:rPr>
        <w:t>—</w:t>
      </w:r>
      <w:r>
        <w:rPr>
          <w:rFonts w:hint="eastAsia" w:ascii="仿宋_GB2312" w:hAnsi="仿宋" w:eastAsia="仿宋_GB2312"/>
          <w:sz w:val="32"/>
          <w:highlight w:val="none"/>
        </w:rPr>
        <w:t>综合评分法</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评分要求</w:t>
      </w:r>
    </w:p>
    <w:p>
      <w:pPr>
        <w:pStyle w:val="14"/>
        <w:spacing w:line="360" w:lineRule="auto"/>
        <w:ind w:firstLine="640" w:firstLineChars="200"/>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（一）评分规则</w:t>
      </w:r>
    </w:p>
    <w:p>
      <w:pPr>
        <w:spacing w:line="360" w:lineRule="auto"/>
        <w:ind w:firstLine="640" w:firstLineChars="200"/>
        <w:rPr>
          <w:rFonts w:ascii="楷体" w:hAnsi="楷体" w:eastAsia="楷体" w:cs="楷体"/>
          <w:b/>
          <w:bCs/>
          <w:color w:val="000000"/>
          <w:sz w:val="32"/>
          <w:szCs w:val="32"/>
          <w:highlight w:val="none"/>
        </w:rPr>
      </w:pPr>
      <w:r>
        <w:rPr>
          <w:rFonts w:hint="eastAsia" w:ascii="仿宋_GB2312" w:eastAsia="仿宋_GB2312"/>
          <w:color w:val="000000"/>
          <w:sz w:val="32"/>
          <w:szCs w:val="32"/>
          <w:highlight w:val="none"/>
        </w:rPr>
        <w:t>采取综合评分标准，平均分最高的投标人为本项目中标人。</w:t>
      </w:r>
    </w:p>
    <w:p>
      <w:pPr>
        <w:pStyle w:val="14"/>
        <w:spacing w:line="360" w:lineRule="auto"/>
        <w:ind w:firstLine="640" w:firstLineChars="200"/>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（二）评分权重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2251"/>
        <w:gridCol w:w="200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3"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251"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商务能力</w:t>
            </w:r>
          </w:p>
        </w:tc>
        <w:tc>
          <w:tcPr>
            <w:tcW w:w="2009" w:type="dxa"/>
            <w:noWrap w:val="0"/>
            <w:vAlign w:val="top"/>
          </w:tcPr>
          <w:p>
            <w:pPr>
              <w:pStyle w:val="14"/>
              <w:spacing w:line="360" w:lineRule="auto"/>
              <w:jc w:val="center"/>
              <w:rPr>
                <w:rFonts w:hint="eastAsia" w:ascii="仿宋_GB2312" w:hAnsi="仿宋_GB2312" w:eastAsia="仿宋_GB2312" w:cs="仿宋_GB2312"/>
                <w:b w:val="0"/>
                <w:bCs/>
                <w:szCs w:val="24"/>
                <w:highlight w:val="none"/>
                <w:lang w:val="en"/>
              </w:rPr>
            </w:pPr>
            <w:r>
              <w:rPr>
                <w:rFonts w:hint="eastAsia" w:ascii="仿宋_GB2312" w:hAnsi="仿宋_GB2312" w:eastAsia="仿宋_GB2312" w:cs="仿宋_GB2312"/>
                <w:b w:val="0"/>
                <w:bCs/>
                <w:szCs w:val="24"/>
                <w:highlight w:val="none"/>
                <w:lang w:val="en"/>
              </w:rPr>
              <w:t>综合实力</w:t>
            </w:r>
          </w:p>
        </w:tc>
        <w:tc>
          <w:tcPr>
            <w:tcW w:w="2161"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83"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251"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30分</w:t>
            </w:r>
          </w:p>
        </w:tc>
        <w:tc>
          <w:tcPr>
            <w:tcW w:w="2009"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40分</w:t>
            </w:r>
          </w:p>
        </w:tc>
        <w:tc>
          <w:tcPr>
            <w:tcW w:w="2161" w:type="dxa"/>
            <w:noWrap w:val="0"/>
            <w:vAlign w:val="top"/>
          </w:tcPr>
          <w:p>
            <w:pPr>
              <w:pStyle w:val="14"/>
              <w:spacing w:line="360" w:lineRule="auto"/>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30分</w:t>
            </w:r>
          </w:p>
        </w:tc>
      </w:tr>
    </w:tbl>
    <w:p>
      <w:pPr>
        <w:pStyle w:val="14"/>
        <w:spacing w:line="360" w:lineRule="auto"/>
        <w:ind w:firstLine="640" w:firstLine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（三）评分标准</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1.商务能力</w:t>
      </w:r>
    </w:p>
    <w:tbl>
      <w:tblPr>
        <w:tblStyle w:val="10"/>
        <w:tblpPr w:leftFromText="180" w:rightFromText="180" w:vertAnchor="text" w:horzAnchor="page" w:tblpX="1157" w:tblpY="255"/>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60"/>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90" w:type="dxa"/>
            <w:gridSpan w:val="2"/>
            <w:noWrap w:val="0"/>
            <w:vAlign w:val="center"/>
          </w:tcPr>
          <w:p>
            <w:pPr>
              <w:widowControl/>
              <w:spacing w:line="400" w:lineRule="exact"/>
              <w:ind w:left="181" w:leftChars="86"/>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项目</w:t>
            </w:r>
          </w:p>
        </w:tc>
        <w:tc>
          <w:tcPr>
            <w:tcW w:w="8055" w:type="dxa"/>
            <w:noWrap w:val="0"/>
            <w:vAlign w:val="center"/>
          </w:tcPr>
          <w:p>
            <w:pPr>
              <w:widowControl/>
              <w:spacing w:line="400" w:lineRule="exact"/>
              <w:ind w:left="181" w:leftChars="86"/>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630" w:type="dxa"/>
            <w:vMerge w:val="restart"/>
            <w:noWrap w:val="0"/>
            <w:vAlign w:val="center"/>
          </w:tcPr>
          <w:p>
            <w:pPr>
              <w:spacing w:line="400" w:lineRule="exact"/>
              <w:ind w:left="181" w:leftChars="86"/>
              <w:jc w:val="center"/>
              <w:rPr>
                <w:rFonts w:hint="eastAsia" w:ascii="仿宋" w:hAnsi="仿宋" w:eastAsia="仿宋" w:cs="仿宋"/>
                <w:bCs/>
                <w:sz w:val="24"/>
                <w:szCs w:val="24"/>
                <w:highlight w:val="none"/>
              </w:rPr>
            </w:pPr>
            <w:r>
              <w:rPr>
                <w:rFonts w:hint="eastAsia" w:ascii="仿宋_GB2312" w:hAnsi="仿宋_GB2312" w:eastAsia="仿宋_GB2312" w:cs="仿宋_GB2312"/>
                <w:sz w:val="20"/>
                <w:szCs w:val="24"/>
                <w:highlight w:val="none"/>
              </w:rPr>
              <w:t>商务能力评分30分</w:t>
            </w:r>
          </w:p>
        </w:tc>
        <w:tc>
          <w:tcPr>
            <w:tcW w:w="960" w:type="dxa"/>
            <w:noWrap w:val="0"/>
            <w:vAlign w:val="center"/>
          </w:tcPr>
          <w:p>
            <w:pPr>
              <w:spacing w:line="240" w:lineRule="exact"/>
              <w:ind w:left="181" w:leftChars="86"/>
              <w:jc w:val="left"/>
              <w:rPr>
                <w:rFonts w:hint="eastAsia" w:ascii="仿宋" w:hAnsi="仿宋" w:eastAsia="仿宋" w:cs="仿宋"/>
                <w:sz w:val="20"/>
                <w:szCs w:val="24"/>
                <w:highlight w:val="none"/>
              </w:rPr>
            </w:pPr>
            <w:r>
              <w:rPr>
                <w:rFonts w:hint="eastAsia" w:ascii="仿宋_GB2312" w:hAnsi="仿宋_GB2312" w:eastAsia="仿宋_GB2312" w:cs="仿宋_GB2312"/>
                <w:sz w:val="20"/>
                <w:szCs w:val="24"/>
                <w:highlight w:val="none"/>
              </w:rPr>
              <w:t>诚信评价（</w:t>
            </w:r>
            <w:r>
              <w:rPr>
                <w:rFonts w:hint="eastAsia" w:ascii="仿宋_GB2312" w:hAnsi="仿宋_GB2312" w:eastAsia="仿宋_GB2312" w:cs="仿宋_GB2312"/>
                <w:sz w:val="20"/>
                <w:szCs w:val="24"/>
                <w:highlight w:val="none"/>
                <w:lang w:val="en-US" w:eastAsia="zh-CN"/>
              </w:rPr>
              <w:t>5</w:t>
            </w:r>
            <w:r>
              <w:rPr>
                <w:rFonts w:hint="eastAsia" w:ascii="仿宋_GB2312" w:hAnsi="仿宋_GB2312" w:eastAsia="仿宋_GB2312" w:cs="仿宋_GB2312"/>
                <w:sz w:val="20"/>
                <w:szCs w:val="24"/>
                <w:highlight w:val="none"/>
              </w:rPr>
              <w:t>分）</w:t>
            </w:r>
          </w:p>
        </w:tc>
        <w:tc>
          <w:tcPr>
            <w:tcW w:w="8055" w:type="dxa"/>
            <w:noWrap w:val="0"/>
            <w:vAlign w:val="center"/>
          </w:tcPr>
          <w:p>
            <w:pPr>
              <w:spacing w:line="240" w:lineRule="exact"/>
              <w:jc w:val="left"/>
              <w:rPr>
                <w:rFonts w:hint="eastAsia" w:ascii="仿宋" w:hAnsi="仿宋" w:eastAsia="仿宋" w:cs="仿宋"/>
                <w:bCs/>
                <w:sz w:val="24"/>
                <w:szCs w:val="24"/>
                <w:highlight w:val="none"/>
              </w:rPr>
            </w:pPr>
            <w:r>
              <w:rPr>
                <w:rFonts w:hint="eastAsia" w:ascii="仿宋_GB2312" w:hAnsi="仿宋_GB2312" w:eastAsia="仿宋_GB2312" w:cs="仿宋_GB2312"/>
                <w:sz w:val="20"/>
                <w:szCs w:val="24"/>
                <w:highlight w:val="none"/>
              </w:rPr>
              <w:t>投标人在参与政府采购活动中不存在诚信相关问题且不在主管部门相关处理措施实施期限内的。提供《诚信承诺函》得5分，需盖公章，未提供不得分。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5" w:hRule="atLeast"/>
        </w:trPr>
        <w:tc>
          <w:tcPr>
            <w:tcW w:w="630" w:type="dxa"/>
            <w:vMerge w:val="continue"/>
            <w:noWrap w:val="0"/>
            <w:vAlign w:val="center"/>
          </w:tcPr>
          <w:p>
            <w:pPr>
              <w:spacing w:line="400" w:lineRule="exact"/>
              <w:ind w:left="181" w:leftChars="86"/>
              <w:jc w:val="center"/>
              <w:rPr>
                <w:rFonts w:hint="eastAsia" w:ascii="仿宋" w:hAnsi="仿宋" w:eastAsia="仿宋" w:cs="仿宋"/>
                <w:bCs/>
                <w:sz w:val="24"/>
                <w:szCs w:val="24"/>
                <w:highlight w:val="none"/>
              </w:rPr>
            </w:pPr>
          </w:p>
        </w:tc>
        <w:tc>
          <w:tcPr>
            <w:tcW w:w="960" w:type="dxa"/>
            <w:noWrap w:val="0"/>
            <w:vAlign w:val="center"/>
          </w:tcPr>
          <w:p>
            <w:pPr>
              <w:spacing w:line="240" w:lineRule="exact"/>
              <w:ind w:left="181" w:leftChars="86"/>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资质要求（</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分）</w:t>
            </w:r>
          </w:p>
        </w:tc>
        <w:tc>
          <w:tcPr>
            <w:tcW w:w="8055" w:type="dxa"/>
            <w:noWrap w:val="0"/>
            <w:vAlign w:val="center"/>
          </w:tcPr>
          <w:p>
            <w:pPr>
              <w:snapToGrid w:val="0"/>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投标人具有：</w:t>
            </w:r>
          </w:p>
          <w:p>
            <w:pPr>
              <w:spacing w:line="240" w:lineRule="exact"/>
              <w:jc w:val="left"/>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lang w:val="en-US" w:eastAsia="zh-CN"/>
              </w:rPr>
              <w:t>1</w:t>
            </w:r>
            <w:r>
              <w:rPr>
                <w:rFonts w:hint="eastAsia" w:ascii="仿宋_GB2312" w:hAnsi="仿宋_GB2312" w:eastAsia="仿宋_GB2312" w:cs="仿宋_GB2312"/>
                <w:sz w:val="20"/>
                <w:szCs w:val="24"/>
                <w:highlight w:val="none"/>
              </w:rPr>
              <w:t>、</w:t>
            </w:r>
            <w:r>
              <w:rPr>
                <w:rFonts w:hint="eastAsia" w:ascii="仿宋_GB2312" w:hAnsi="仿宋_GB2312" w:eastAsia="仿宋_GB2312" w:cs="仿宋_GB2312"/>
                <w:sz w:val="20"/>
                <w:szCs w:val="24"/>
                <w:highlight w:val="none"/>
                <w:lang w:val="en-US" w:eastAsia="zh-CN"/>
              </w:rPr>
              <w:t>具有</w:t>
            </w:r>
            <w:r>
              <w:rPr>
                <w:rFonts w:hint="eastAsia" w:ascii="仿宋_GB2312" w:hAnsi="仿宋_GB2312" w:eastAsia="仿宋_GB2312" w:cs="仿宋_GB2312"/>
                <w:sz w:val="20"/>
                <w:szCs w:val="24"/>
                <w:highlight w:val="none"/>
              </w:rPr>
              <w:t>数据安全能力成熟度</w:t>
            </w:r>
            <w:r>
              <w:rPr>
                <w:rFonts w:hint="eastAsia" w:ascii="仿宋_GB2312" w:hAnsi="仿宋_GB2312" w:eastAsia="仿宋_GB2312" w:cs="仿宋_GB2312"/>
                <w:sz w:val="20"/>
                <w:szCs w:val="24"/>
                <w:highlight w:val="none"/>
                <w:lang w:val="en-US" w:eastAsia="zh-CN"/>
              </w:rPr>
              <w:t>等级证书</w:t>
            </w:r>
            <w:r>
              <w:rPr>
                <w:rFonts w:hint="eastAsia" w:ascii="仿宋_GB2312" w:hAnsi="仿宋_GB2312" w:eastAsia="仿宋_GB2312" w:cs="仿宋_GB2312"/>
                <w:sz w:val="20"/>
                <w:szCs w:val="24"/>
                <w:highlight w:val="none"/>
              </w:rPr>
              <w:t>GB/T37988-2019；</w:t>
            </w:r>
          </w:p>
          <w:p>
            <w:pPr>
              <w:spacing w:line="240" w:lineRule="exact"/>
              <w:jc w:val="left"/>
              <w:rPr>
                <w:rFonts w:hint="eastAsia" w:ascii="仿宋_GB2312" w:hAnsi="仿宋_GB2312" w:eastAsia="仿宋_GB2312" w:cs="仿宋_GB2312"/>
                <w:sz w:val="20"/>
                <w:szCs w:val="24"/>
                <w:highlight w:val="none"/>
                <w:lang w:eastAsia="zh-CN"/>
              </w:rPr>
            </w:pPr>
            <w:r>
              <w:rPr>
                <w:rFonts w:hint="eastAsia" w:ascii="仿宋_GB2312" w:hAnsi="仿宋_GB2312" w:eastAsia="仿宋_GB2312" w:cs="仿宋_GB2312"/>
                <w:sz w:val="20"/>
                <w:szCs w:val="24"/>
                <w:highlight w:val="none"/>
                <w:lang w:eastAsia="zh-CN"/>
              </w:rPr>
              <w:t>2</w:t>
            </w:r>
            <w:r>
              <w:rPr>
                <w:rFonts w:hint="eastAsia" w:ascii="仿宋_GB2312" w:hAnsi="仿宋_GB2312" w:eastAsia="仿宋_GB2312" w:cs="仿宋_GB2312"/>
                <w:sz w:val="20"/>
                <w:szCs w:val="24"/>
                <w:highlight w:val="none"/>
              </w:rPr>
              <w:t>、具有ISO 9001质量管理体系认证证书</w:t>
            </w:r>
            <w:r>
              <w:rPr>
                <w:rFonts w:hint="eastAsia" w:ascii="仿宋_GB2312" w:hAnsi="仿宋_GB2312" w:eastAsia="仿宋_GB2312" w:cs="仿宋_GB2312"/>
                <w:sz w:val="20"/>
                <w:szCs w:val="24"/>
                <w:highlight w:val="none"/>
                <w:lang w:eastAsia="zh-CN"/>
              </w:rPr>
              <w:t>；</w:t>
            </w:r>
          </w:p>
          <w:p>
            <w:pPr>
              <w:wordWrap w:val="0"/>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证明文件：</w:t>
            </w:r>
          </w:p>
          <w:p>
            <w:pPr>
              <w:numPr>
                <w:ilvl w:val="0"/>
                <w:numId w:val="0"/>
              </w:num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以上证明文件提供扫描件。未提供或未按要求提供或提供的不清晰导致评审员无法“判断的，不得分。如投标人为分支机构(分公司)的，提供总公司或上级公司相应证书也可得分，提供平级机构不得分。</w:t>
            </w:r>
          </w:p>
          <w:p>
            <w:pPr>
              <w:numPr>
                <w:ilvl w:val="0"/>
                <w:numId w:val="0"/>
              </w:numPr>
              <w:spacing w:line="240" w:lineRule="exact"/>
              <w:jc w:val="left"/>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bCs/>
                <w:sz w:val="20"/>
                <w:szCs w:val="20"/>
                <w:highlight w:val="none"/>
                <w:lang w:val="en-US" w:eastAsia="zh-CN"/>
              </w:rPr>
              <w:t>得分依据：</w:t>
            </w:r>
          </w:p>
          <w:p>
            <w:pPr>
              <w:numPr>
                <w:ilvl w:val="0"/>
                <w:numId w:val="0"/>
              </w:numPr>
              <w:spacing w:line="240" w:lineRule="exact"/>
              <w:jc w:val="left"/>
              <w:rPr>
                <w:rFonts w:hint="eastAsia" w:ascii="仿宋_GB2312" w:hAnsi="仿宋_GB2312" w:eastAsia="仿宋_GB2312" w:cs="仿宋_GB2312"/>
                <w:b/>
                <w:bCs/>
                <w:sz w:val="20"/>
                <w:szCs w:val="20"/>
                <w:highlight w:val="none"/>
                <w:lang w:val="en-US" w:eastAsia="zh-CN"/>
              </w:rPr>
            </w:pPr>
            <w:r>
              <w:rPr>
                <w:rFonts w:hint="eastAsia" w:ascii="仿宋_GB2312" w:hAnsi="仿宋_GB2312" w:eastAsia="仿宋_GB2312" w:cs="仿宋_GB2312"/>
                <w:b w:val="0"/>
                <w:bCs w:val="0"/>
                <w:sz w:val="20"/>
                <w:szCs w:val="20"/>
                <w:highlight w:val="none"/>
                <w:lang w:val="en-US" w:eastAsia="zh-CN"/>
              </w:rPr>
              <w:t>提供一项得2.5分，提供齐全得5分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1" w:hRule="atLeast"/>
        </w:trPr>
        <w:tc>
          <w:tcPr>
            <w:tcW w:w="630" w:type="dxa"/>
            <w:vMerge w:val="continue"/>
            <w:noWrap w:val="0"/>
            <w:vAlign w:val="center"/>
          </w:tcPr>
          <w:p>
            <w:pPr>
              <w:spacing w:line="400" w:lineRule="exact"/>
              <w:ind w:left="181" w:leftChars="86"/>
              <w:jc w:val="center"/>
              <w:rPr>
                <w:rFonts w:hint="eastAsia" w:ascii="仿宋" w:hAnsi="仿宋" w:eastAsia="仿宋" w:cs="仿宋"/>
                <w:bCs/>
                <w:sz w:val="24"/>
                <w:szCs w:val="24"/>
                <w:highlight w:val="none"/>
              </w:rPr>
            </w:pPr>
          </w:p>
        </w:tc>
        <w:tc>
          <w:tcPr>
            <w:tcW w:w="960" w:type="dxa"/>
            <w:noWrap w:val="0"/>
            <w:vAlign w:val="center"/>
          </w:tcPr>
          <w:p>
            <w:pPr>
              <w:spacing w:line="240" w:lineRule="exact"/>
              <w:ind w:left="181" w:leftChars="86"/>
              <w:jc w:val="left"/>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同类项目经验（</w:t>
            </w:r>
            <w:r>
              <w:rPr>
                <w:rFonts w:hint="eastAsia" w:ascii="仿宋_GB2312" w:hAnsi="仿宋_GB2312" w:eastAsia="仿宋_GB2312" w:cs="仿宋_GB2312"/>
                <w:sz w:val="20"/>
                <w:szCs w:val="24"/>
                <w:highlight w:val="none"/>
                <w:lang w:val="en-US" w:eastAsia="zh-CN"/>
              </w:rPr>
              <w:t>10</w:t>
            </w:r>
            <w:r>
              <w:rPr>
                <w:rFonts w:hint="eastAsia" w:ascii="仿宋_GB2312" w:hAnsi="仿宋_GB2312" w:eastAsia="仿宋_GB2312" w:cs="仿宋_GB2312"/>
                <w:sz w:val="20"/>
                <w:szCs w:val="24"/>
                <w:highlight w:val="none"/>
              </w:rPr>
              <w:t>分）</w:t>
            </w:r>
          </w:p>
        </w:tc>
        <w:tc>
          <w:tcPr>
            <w:tcW w:w="8055" w:type="dxa"/>
            <w:noWrap w:val="0"/>
            <w:vAlign w:val="center"/>
          </w:tcPr>
          <w:p>
            <w:p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投标人需提供（2021年11月至本项目投标截止之日，以合同签订时间为准）施工类或</w:t>
            </w:r>
            <w:r>
              <w:rPr>
                <w:rFonts w:hint="eastAsia" w:ascii="仿宋_GB2312" w:hAnsi="仿宋_GB2312" w:eastAsia="仿宋_GB2312" w:cs="仿宋_GB2312"/>
                <w:sz w:val="20"/>
                <w:szCs w:val="20"/>
                <w:highlight w:val="none"/>
                <w:lang w:val="en-US" w:eastAsia="zh-CN"/>
              </w:rPr>
              <w:t>设备采购</w:t>
            </w:r>
            <w:r>
              <w:rPr>
                <w:rFonts w:hint="eastAsia" w:ascii="仿宋_GB2312" w:hAnsi="仿宋_GB2312" w:eastAsia="仿宋_GB2312" w:cs="仿宋_GB2312"/>
                <w:sz w:val="20"/>
                <w:szCs w:val="20"/>
                <w:highlight w:val="none"/>
              </w:rPr>
              <w:t>类</w:t>
            </w:r>
            <w:r>
              <w:rPr>
                <w:rFonts w:hint="eastAsia" w:ascii="仿宋_GB2312" w:hAnsi="仿宋_GB2312" w:eastAsia="仿宋_GB2312" w:cs="仿宋_GB2312"/>
                <w:sz w:val="20"/>
                <w:szCs w:val="20"/>
                <w:highlight w:val="none"/>
                <w:lang w:val="en-US" w:eastAsia="zh-CN"/>
              </w:rPr>
              <w:t>或</w:t>
            </w:r>
            <w:r>
              <w:rPr>
                <w:rFonts w:hint="eastAsia" w:ascii="仿宋_GB2312" w:hAnsi="仿宋_GB2312" w:eastAsia="仿宋_GB2312" w:cs="仿宋_GB2312"/>
                <w:sz w:val="20"/>
                <w:szCs w:val="20"/>
                <w:highlight w:val="none"/>
              </w:rPr>
              <w:t>技术服务类项目业绩。</w:t>
            </w:r>
          </w:p>
          <w:p>
            <w:pPr>
              <w:wordWrap w:val="0"/>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证明文件：</w:t>
            </w:r>
          </w:p>
          <w:p>
            <w:p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须提供合同关键页（包括但不限于合同首页、内容页、签章页）的扫描件，原件备查。</w:t>
            </w:r>
          </w:p>
          <w:p>
            <w:pPr>
              <w:spacing w:line="240" w:lineRule="exact"/>
              <w:jc w:val="left"/>
              <w:rPr>
                <w:rFonts w:hint="eastAsia" w:ascii="仿宋_GB2312" w:hAnsi="仿宋_GB2312" w:eastAsia="仿宋_GB2312" w:cs="仿宋_GB2312"/>
                <w:sz w:val="20"/>
                <w:szCs w:val="24"/>
                <w:highlight w:val="none"/>
              </w:rPr>
            </w:pPr>
            <w:r>
              <w:rPr>
                <w:rFonts w:hint="eastAsia" w:ascii="仿宋_GB2312" w:hAnsi="仿宋_GB2312" w:eastAsia="仿宋_GB2312" w:cs="仿宋_GB2312"/>
                <w:b/>
                <w:bCs/>
                <w:sz w:val="20"/>
                <w:szCs w:val="24"/>
                <w:highlight w:val="none"/>
              </w:rPr>
              <w:t>得分依据；</w:t>
            </w:r>
            <w:r>
              <w:rPr>
                <w:rFonts w:hint="eastAsia" w:ascii="仿宋_GB2312" w:hAnsi="仿宋_GB2312" w:eastAsia="仿宋_GB2312" w:cs="仿宋_GB2312"/>
                <w:sz w:val="20"/>
                <w:szCs w:val="24"/>
                <w:highlight w:val="none"/>
              </w:rPr>
              <w:br w:type="textWrapping"/>
            </w:r>
            <w:r>
              <w:rPr>
                <w:rFonts w:hint="eastAsia" w:ascii="仿宋_GB2312" w:hAnsi="仿宋_GB2312" w:eastAsia="仿宋_GB2312" w:cs="仿宋_GB2312"/>
                <w:color w:val="000000"/>
                <w:sz w:val="20"/>
                <w:szCs w:val="20"/>
                <w:highlight w:val="none"/>
                <w:u w:val="none" w:color="000000"/>
                <w:lang w:val="zh-TW" w:eastAsia="zh-TW"/>
              </w:rPr>
              <w:t>每提供一项得</w:t>
            </w:r>
            <w:r>
              <w:rPr>
                <w:rFonts w:hint="eastAsia" w:ascii="仿宋_GB2312" w:hAnsi="仿宋_GB2312" w:eastAsia="仿宋_GB2312" w:cs="仿宋_GB2312"/>
                <w:color w:val="000000"/>
                <w:sz w:val="20"/>
                <w:szCs w:val="20"/>
                <w:highlight w:val="none"/>
                <w:u w:val="none" w:color="000000"/>
                <w:lang w:val="en-US" w:eastAsia="zh-CN"/>
              </w:rPr>
              <w:t>5</w:t>
            </w:r>
            <w:r>
              <w:rPr>
                <w:rFonts w:hint="eastAsia" w:ascii="仿宋_GB2312" w:hAnsi="仿宋_GB2312" w:eastAsia="仿宋_GB2312" w:cs="仿宋_GB2312"/>
                <w:color w:val="000000"/>
                <w:sz w:val="20"/>
                <w:szCs w:val="20"/>
                <w:highlight w:val="none"/>
                <w:u w:val="none" w:color="000000"/>
                <w:lang w:val="zh-TW" w:eastAsia="zh-TW"/>
              </w:rPr>
              <w:t>分、本项最高得分为</w:t>
            </w:r>
            <w:r>
              <w:rPr>
                <w:rFonts w:hint="eastAsia" w:ascii="仿宋_GB2312" w:hAnsi="仿宋_GB2312" w:eastAsia="仿宋_GB2312" w:cs="仿宋_GB2312"/>
                <w:color w:val="000000"/>
                <w:sz w:val="20"/>
                <w:szCs w:val="20"/>
                <w:highlight w:val="none"/>
                <w:u w:val="none" w:color="000000"/>
                <w:lang w:val="en-US" w:eastAsia="zh-CN"/>
              </w:rPr>
              <w:t>10</w:t>
            </w:r>
            <w:r>
              <w:rPr>
                <w:rFonts w:hint="eastAsia" w:ascii="仿宋_GB2312" w:hAnsi="仿宋_GB2312" w:eastAsia="仿宋_GB2312" w:cs="仿宋_GB2312"/>
                <w:color w:val="000000"/>
                <w:sz w:val="20"/>
                <w:szCs w:val="20"/>
                <w:highlight w:val="none"/>
                <w:u w:val="none" w:color="000000"/>
                <w:lang w:val="zh-TW" w:eastAsia="zh-TW"/>
              </w:rPr>
              <w:t>分</w:t>
            </w:r>
            <w:r>
              <w:rPr>
                <w:rFonts w:hint="eastAsia" w:ascii="仿宋_GB2312" w:hAnsi="仿宋_GB2312" w:eastAsia="仿宋_GB2312" w:cs="仿宋_GB2312"/>
                <w:bCs/>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1" w:hRule="atLeast"/>
        </w:trPr>
        <w:tc>
          <w:tcPr>
            <w:tcW w:w="630" w:type="dxa"/>
            <w:vMerge w:val="continue"/>
            <w:noWrap w:val="0"/>
            <w:vAlign w:val="center"/>
          </w:tcPr>
          <w:p>
            <w:pPr>
              <w:spacing w:line="400" w:lineRule="exact"/>
              <w:ind w:left="181" w:leftChars="86"/>
              <w:jc w:val="center"/>
              <w:rPr>
                <w:rFonts w:hint="eastAsia" w:ascii="仿宋" w:hAnsi="仿宋" w:eastAsia="仿宋" w:cs="仿宋"/>
                <w:bCs/>
                <w:sz w:val="24"/>
                <w:szCs w:val="24"/>
                <w:highlight w:val="none"/>
              </w:rPr>
            </w:pPr>
          </w:p>
        </w:tc>
        <w:tc>
          <w:tcPr>
            <w:tcW w:w="960" w:type="dxa"/>
            <w:noWrap w:val="0"/>
            <w:vAlign w:val="center"/>
          </w:tcPr>
          <w:p>
            <w:pPr>
              <w:spacing w:line="240" w:lineRule="exact"/>
              <w:ind w:left="181" w:leftChars="86"/>
              <w:jc w:val="left"/>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团队成员（</w:t>
            </w:r>
            <w:r>
              <w:rPr>
                <w:rFonts w:hint="eastAsia" w:ascii="仿宋_GB2312" w:hAnsi="仿宋_GB2312" w:eastAsia="仿宋_GB2312" w:cs="仿宋_GB2312"/>
                <w:sz w:val="20"/>
                <w:szCs w:val="24"/>
                <w:highlight w:val="none"/>
                <w:lang w:val="en-US" w:eastAsia="zh-CN"/>
              </w:rPr>
              <w:t>10</w:t>
            </w:r>
            <w:r>
              <w:rPr>
                <w:rFonts w:hint="eastAsia" w:ascii="仿宋_GB2312" w:hAnsi="仿宋_GB2312" w:eastAsia="仿宋_GB2312" w:cs="仿宋_GB2312"/>
                <w:sz w:val="20"/>
                <w:szCs w:val="24"/>
                <w:highlight w:val="none"/>
              </w:rPr>
              <w:t>分）</w:t>
            </w:r>
          </w:p>
        </w:tc>
        <w:tc>
          <w:tcPr>
            <w:tcW w:w="8055" w:type="dxa"/>
            <w:noWrap w:val="0"/>
            <w:vAlign w:val="center"/>
          </w:tcPr>
          <w:p>
            <w:pPr>
              <w:spacing w:line="240" w:lineRule="exact"/>
              <w:jc w:val="lef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项目团队成员情况：</w:t>
            </w:r>
          </w:p>
          <w:p>
            <w:pPr>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sz w:val="20"/>
                <w:szCs w:val="20"/>
                <w:highlight w:val="none"/>
              </w:rPr>
              <w:t>拟安排项目团队成员需为投标人自有员工（提供社保证明），否则本项不得分：</w:t>
            </w:r>
          </w:p>
          <w:p>
            <w:pPr>
              <w:spacing w:line="240" w:lineRule="exact"/>
              <w:rPr>
                <w:rFonts w:hint="eastAsia" w:ascii="仿宋_GB2312" w:hAnsi="仿宋_GB2312" w:eastAsia="仿宋_GB2312" w:cs="仿宋_GB2312"/>
                <w:bCs/>
                <w:sz w:val="20"/>
                <w:szCs w:val="20"/>
                <w:highlight w:val="none"/>
              </w:rPr>
            </w:pPr>
            <w:r>
              <w:rPr>
                <w:rFonts w:hint="eastAsia" w:ascii="仿宋_GB2312" w:hAnsi="仿宋_GB2312" w:eastAsia="仿宋_GB2312" w:cs="仿宋_GB2312"/>
                <w:b/>
                <w:bCs/>
                <w:sz w:val="20"/>
                <w:szCs w:val="20"/>
                <w:highlight w:val="none"/>
              </w:rPr>
              <w:t>（</w:t>
            </w:r>
            <w:r>
              <w:rPr>
                <w:rFonts w:hint="eastAsia" w:ascii="仿宋_GB2312" w:hAnsi="仿宋_GB2312" w:eastAsia="仿宋_GB2312" w:cs="仿宋_GB2312"/>
                <w:b/>
                <w:bCs/>
                <w:sz w:val="20"/>
                <w:szCs w:val="20"/>
                <w:highlight w:val="none"/>
                <w:lang w:val="en-US" w:eastAsia="zh-CN"/>
              </w:rPr>
              <w:t>1</w:t>
            </w:r>
            <w:r>
              <w:rPr>
                <w:rFonts w:hint="eastAsia" w:ascii="仿宋_GB2312" w:hAnsi="仿宋_GB2312" w:eastAsia="仿宋_GB2312" w:cs="仿宋_GB2312"/>
                <w:b/>
                <w:bCs/>
                <w:sz w:val="20"/>
                <w:szCs w:val="20"/>
                <w:highlight w:val="none"/>
              </w:rPr>
              <w:t>）拟派项目负责人1人：</w:t>
            </w:r>
          </w:p>
          <w:p>
            <w:pPr>
              <w:pStyle w:val="6"/>
              <w:spacing w:line="240" w:lineRule="auto"/>
              <w:ind w:left="0" w:leftChars="0" w:firstLine="0" w:firstLineChars="0"/>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1、具有</w:t>
            </w:r>
            <w:r>
              <w:rPr>
                <w:rFonts w:hint="eastAsia" w:ascii="仿宋_GB2312" w:hAnsi="仿宋_GB2312" w:eastAsia="仿宋_GB2312" w:cs="仿宋_GB2312"/>
                <w:bCs/>
                <w:sz w:val="20"/>
                <w:szCs w:val="20"/>
                <w:highlight w:val="none"/>
                <w:lang w:eastAsia="zh-CN"/>
              </w:rPr>
              <w:t>本科</w:t>
            </w:r>
            <w:r>
              <w:rPr>
                <w:rFonts w:hint="eastAsia" w:ascii="仿宋_GB2312" w:hAnsi="仿宋_GB2312" w:eastAsia="仿宋_GB2312" w:cs="仿宋_GB2312"/>
                <w:bCs/>
                <w:sz w:val="20"/>
                <w:szCs w:val="20"/>
                <w:highlight w:val="none"/>
              </w:rPr>
              <w:t>学历得</w:t>
            </w:r>
            <w:r>
              <w:rPr>
                <w:rFonts w:hint="eastAsia" w:ascii="仿宋_GB2312" w:hAnsi="仿宋_GB2312" w:eastAsia="仿宋_GB2312" w:cs="仿宋_GB2312"/>
                <w:bCs/>
                <w:sz w:val="20"/>
                <w:szCs w:val="20"/>
                <w:highlight w:val="none"/>
                <w:lang w:val="en-US" w:eastAsia="zh-CN"/>
              </w:rPr>
              <w:t>1分</w:t>
            </w:r>
            <w:r>
              <w:rPr>
                <w:rFonts w:hint="eastAsia" w:ascii="仿宋_GB2312" w:hAnsi="仿宋_GB2312" w:eastAsia="仿宋_GB2312" w:cs="仿宋_GB2312"/>
                <w:bCs/>
                <w:sz w:val="20"/>
                <w:szCs w:val="20"/>
                <w:highlight w:val="none"/>
              </w:rPr>
              <w:t>；</w:t>
            </w:r>
          </w:p>
          <w:p>
            <w:pPr>
              <w:snapToGrid w:val="0"/>
              <w:ind w:right="210"/>
              <w:rPr>
                <w:rFonts w:hint="eastAsia" w:ascii="仿宋_GB2312" w:hAnsi="仿宋_GB2312" w:eastAsia="仿宋_GB2312" w:cs="仿宋_GB2312"/>
                <w:bCs/>
                <w:sz w:val="20"/>
                <w:szCs w:val="20"/>
                <w:highlight w:val="none"/>
              </w:rPr>
            </w:pPr>
            <w:r>
              <w:rPr>
                <w:rFonts w:hint="eastAsia" w:ascii="仿宋_GB2312" w:hAnsi="仿宋_GB2312" w:eastAsia="仿宋_GB2312" w:cs="仿宋_GB2312"/>
                <w:b w:val="0"/>
                <w:bCs/>
                <w:sz w:val="20"/>
                <w:szCs w:val="20"/>
                <w:highlight w:val="none"/>
              </w:rPr>
              <w:t>2、具有系统集成项目管理工程师证书得</w:t>
            </w:r>
            <w:r>
              <w:rPr>
                <w:rFonts w:hint="eastAsia" w:ascii="仿宋_GB2312" w:hAnsi="仿宋_GB2312" w:eastAsia="仿宋_GB2312" w:cs="仿宋_GB2312"/>
                <w:b w:val="0"/>
                <w:bCs/>
                <w:sz w:val="20"/>
                <w:szCs w:val="20"/>
                <w:highlight w:val="none"/>
                <w:lang w:val="en-US" w:eastAsia="zh-CN"/>
              </w:rPr>
              <w:t>4</w:t>
            </w:r>
            <w:r>
              <w:rPr>
                <w:rFonts w:hint="eastAsia" w:ascii="仿宋_GB2312" w:hAnsi="仿宋_GB2312" w:eastAsia="仿宋_GB2312" w:cs="仿宋_GB2312"/>
                <w:b w:val="0"/>
                <w:bCs/>
                <w:sz w:val="20"/>
                <w:szCs w:val="20"/>
                <w:highlight w:val="none"/>
              </w:rPr>
              <w:t>分；</w:t>
            </w:r>
            <w:r>
              <w:rPr>
                <w:rFonts w:hint="eastAsia" w:ascii="仿宋_GB2312" w:hAnsi="仿宋_GB2312" w:eastAsia="仿宋_GB2312" w:cs="仿宋_GB2312"/>
                <w:bCs/>
                <w:sz w:val="20"/>
                <w:szCs w:val="20"/>
                <w:highlight w:val="none"/>
              </w:rPr>
              <w:t xml:space="preserve">  </w:t>
            </w:r>
          </w:p>
          <w:p>
            <w:pPr>
              <w:snapToGrid w:val="0"/>
              <w:ind w:right="210"/>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）技术负责人（1名）：</w:t>
            </w:r>
          </w:p>
          <w:p>
            <w:pPr>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r>
              <w:rPr>
                <w:rFonts w:hint="eastAsia" w:ascii="仿宋_GB2312" w:hAnsi="仿宋_GB2312" w:eastAsia="仿宋_GB2312" w:cs="仿宋_GB2312"/>
                <w:bCs/>
                <w:sz w:val="20"/>
                <w:szCs w:val="20"/>
                <w:highlight w:val="none"/>
              </w:rPr>
              <w:t>具有</w:t>
            </w:r>
            <w:r>
              <w:rPr>
                <w:rFonts w:hint="eastAsia" w:ascii="仿宋_GB2312" w:hAnsi="仿宋_GB2312" w:eastAsia="仿宋_GB2312" w:cs="仿宋_GB2312"/>
                <w:bCs/>
                <w:sz w:val="20"/>
                <w:szCs w:val="20"/>
                <w:highlight w:val="none"/>
                <w:lang w:val="en-US" w:eastAsia="zh-CN"/>
              </w:rPr>
              <w:t>专科</w:t>
            </w:r>
            <w:r>
              <w:rPr>
                <w:rFonts w:hint="eastAsia" w:ascii="仿宋_GB2312" w:hAnsi="仿宋_GB2312" w:eastAsia="仿宋_GB2312" w:cs="仿宋_GB2312"/>
                <w:bCs/>
                <w:sz w:val="20"/>
                <w:szCs w:val="20"/>
                <w:highlight w:val="none"/>
              </w:rPr>
              <w:t>学历得</w:t>
            </w:r>
            <w:r>
              <w:rPr>
                <w:rFonts w:hint="eastAsia" w:ascii="仿宋_GB2312" w:hAnsi="仿宋_GB2312" w:eastAsia="仿宋_GB2312" w:cs="仿宋_GB2312"/>
                <w:bCs/>
                <w:sz w:val="20"/>
                <w:szCs w:val="20"/>
                <w:highlight w:val="none"/>
                <w:lang w:val="en-US" w:eastAsia="zh-CN"/>
              </w:rPr>
              <w:t>0.5分</w:t>
            </w:r>
            <w:r>
              <w:rPr>
                <w:rFonts w:hint="eastAsia" w:ascii="仿宋_GB2312" w:hAnsi="仿宋_GB2312" w:eastAsia="仿宋_GB2312" w:cs="仿宋_GB2312"/>
                <w:bCs/>
                <w:sz w:val="20"/>
                <w:szCs w:val="20"/>
                <w:highlight w:val="none"/>
              </w:rPr>
              <w:t>；</w:t>
            </w:r>
          </w:p>
          <w:p>
            <w:pPr>
              <w:spacing w:line="240" w:lineRule="exac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2.</w:t>
            </w:r>
            <w:r>
              <w:rPr>
                <w:rFonts w:hint="eastAsia" w:ascii="仿宋_GB2312" w:hAnsi="仿宋_GB2312" w:eastAsia="仿宋_GB2312" w:cs="仿宋_GB2312"/>
                <w:bCs/>
                <w:sz w:val="20"/>
                <w:szCs w:val="20"/>
                <w:highlight w:val="none"/>
                <w:lang w:val="en-US" w:eastAsia="zh-CN"/>
              </w:rPr>
              <w:t>具有网络工程师证书</w:t>
            </w:r>
            <w:r>
              <w:rPr>
                <w:rFonts w:hint="eastAsia" w:ascii="仿宋_GB2312" w:hAnsi="仿宋_GB2312" w:eastAsia="仿宋_GB2312" w:cs="仿宋_GB2312"/>
                <w:b w:val="0"/>
                <w:bCs/>
                <w:sz w:val="20"/>
                <w:szCs w:val="20"/>
                <w:highlight w:val="none"/>
              </w:rPr>
              <w:t>得</w:t>
            </w:r>
            <w:r>
              <w:rPr>
                <w:rFonts w:hint="eastAsia" w:ascii="仿宋_GB2312" w:hAnsi="仿宋_GB2312" w:eastAsia="仿宋_GB2312" w:cs="仿宋_GB2312"/>
                <w:b w:val="0"/>
                <w:bCs/>
                <w:sz w:val="20"/>
                <w:szCs w:val="20"/>
                <w:highlight w:val="none"/>
                <w:lang w:val="en-US" w:eastAsia="zh-CN"/>
              </w:rPr>
              <w:t>1.5</w:t>
            </w:r>
            <w:r>
              <w:rPr>
                <w:rFonts w:hint="eastAsia" w:ascii="仿宋_GB2312" w:hAnsi="仿宋_GB2312" w:eastAsia="仿宋_GB2312" w:cs="仿宋_GB2312"/>
                <w:b w:val="0"/>
                <w:bCs/>
                <w:sz w:val="20"/>
                <w:szCs w:val="20"/>
                <w:highlight w:val="none"/>
              </w:rPr>
              <w:t>分</w:t>
            </w:r>
            <w:r>
              <w:rPr>
                <w:rFonts w:hint="eastAsia" w:ascii="仿宋_GB2312" w:hAnsi="仿宋_GB2312" w:eastAsia="仿宋_GB2312" w:cs="仿宋_GB2312"/>
                <w:sz w:val="20"/>
                <w:szCs w:val="20"/>
                <w:highlight w:val="none"/>
                <w:lang w:eastAsia="zh-CN"/>
              </w:rPr>
              <w:t>，</w:t>
            </w:r>
          </w:p>
          <w:p>
            <w:pPr>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）终端及应急保障服务负责人（1名）：</w:t>
            </w:r>
          </w:p>
          <w:p>
            <w:pPr>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r>
              <w:rPr>
                <w:rFonts w:hint="eastAsia" w:ascii="仿宋_GB2312" w:hAnsi="仿宋_GB2312" w:eastAsia="仿宋_GB2312" w:cs="仿宋_GB2312"/>
                <w:bCs/>
                <w:sz w:val="20"/>
                <w:szCs w:val="20"/>
                <w:highlight w:val="none"/>
              </w:rPr>
              <w:t>具有</w:t>
            </w:r>
            <w:r>
              <w:rPr>
                <w:rFonts w:hint="eastAsia" w:ascii="仿宋_GB2312" w:hAnsi="仿宋_GB2312" w:eastAsia="仿宋_GB2312" w:cs="仿宋_GB2312"/>
                <w:bCs/>
                <w:sz w:val="20"/>
                <w:szCs w:val="20"/>
                <w:highlight w:val="none"/>
                <w:lang w:val="en-US" w:eastAsia="zh-CN"/>
              </w:rPr>
              <w:t>专科</w:t>
            </w:r>
            <w:r>
              <w:rPr>
                <w:rFonts w:hint="eastAsia" w:ascii="仿宋_GB2312" w:hAnsi="仿宋_GB2312" w:eastAsia="仿宋_GB2312" w:cs="仿宋_GB2312"/>
                <w:bCs/>
                <w:sz w:val="20"/>
                <w:szCs w:val="20"/>
                <w:highlight w:val="none"/>
              </w:rPr>
              <w:t>学历得</w:t>
            </w:r>
            <w:r>
              <w:rPr>
                <w:rFonts w:hint="eastAsia" w:ascii="仿宋_GB2312" w:hAnsi="仿宋_GB2312" w:eastAsia="仿宋_GB2312" w:cs="仿宋_GB2312"/>
                <w:bCs/>
                <w:sz w:val="20"/>
                <w:szCs w:val="20"/>
                <w:highlight w:val="none"/>
                <w:lang w:val="en-US" w:eastAsia="zh-CN"/>
              </w:rPr>
              <w:t>0.5分</w:t>
            </w:r>
            <w:r>
              <w:rPr>
                <w:rFonts w:hint="eastAsia" w:ascii="仿宋_GB2312" w:hAnsi="仿宋_GB2312" w:eastAsia="仿宋_GB2312" w:cs="仿宋_GB2312"/>
                <w:bCs/>
                <w:sz w:val="20"/>
                <w:szCs w:val="20"/>
                <w:highlight w:val="none"/>
              </w:rPr>
              <w:t>；</w:t>
            </w:r>
          </w:p>
          <w:p>
            <w:pPr>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2.具有信息安全保障人员认证（CISAW）证书得</w:t>
            </w: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分。</w:t>
            </w:r>
          </w:p>
          <w:p>
            <w:pPr>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）安全售后负责人（1人）：</w:t>
            </w:r>
          </w:p>
          <w:p>
            <w:pPr>
              <w:wordWrap w:val="0"/>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r>
              <w:rPr>
                <w:rFonts w:hint="eastAsia" w:ascii="仿宋_GB2312" w:hAnsi="仿宋_GB2312" w:eastAsia="仿宋_GB2312" w:cs="仿宋_GB2312"/>
                <w:bCs/>
                <w:sz w:val="20"/>
                <w:szCs w:val="20"/>
                <w:highlight w:val="none"/>
              </w:rPr>
              <w:t>具有</w:t>
            </w:r>
            <w:r>
              <w:rPr>
                <w:rFonts w:hint="eastAsia" w:ascii="仿宋_GB2312" w:hAnsi="仿宋_GB2312" w:eastAsia="仿宋_GB2312" w:cs="仿宋_GB2312"/>
                <w:bCs/>
                <w:sz w:val="20"/>
                <w:szCs w:val="20"/>
                <w:highlight w:val="none"/>
                <w:lang w:val="en-US" w:eastAsia="zh-CN"/>
              </w:rPr>
              <w:t>专科</w:t>
            </w:r>
            <w:r>
              <w:rPr>
                <w:rFonts w:hint="eastAsia" w:ascii="仿宋_GB2312" w:hAnsi="仿宋_GB2312" w:eastAsia="仿宋_GB2312" w:cs="仿宋_GB2312"/>
                <w:bCs/>
                <w:sz w:val="20"/>
                <w:szCs w:val="20"/>
                <w:highlight w:val="none"/>
              </w:rPr>
              <w:t>学历得</w:t>
            </w:r>
            <w:r>
              <w:rPr>
                <w:rFonts w:hint="eastAsia" w:ascii="仿宋_GB2312" w:hAnsi="仿宋_GB2312" w:eastAsia="仿宋_GB2312" w:cs="仿宋_GB2312"/>
                <w:bCs/>
                <w:sz w:val="20"/>
                <w:szCs w:val="20"/>
                <w:highlight w:val="none"/>
                <w:lang w:val="en-US" w:eastAsia="zh-CN"/>
              </w:rPr>
              <w:t>0.5分</w:t>
            </w:r>
            <w:r>
              <w:rPr>
                <w:rFonts w:hint="eastAsia" w:ascii="仿宋_GB2312" w:hAnsi="仿宋_GB2312" w:eastAsia="仿宋_GB2312" w:cs="仿宋_GB2312"/>
                <w:bCs/>
                <w:sz w:val="20"/>
                <w:szCs w:val="20"/>
                <w:highlight w:val="none"/>
              </w:rPr>
              <w:t>；</w:t>
            </w:r>
          </w:p>
          <w:p>
            <w:pPr>
              <w:wordWrap w:val="0"/>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2.具有注册信息安全专业人员(CISP)</w:t>
            </w:r>
            <w:r>
              <w:rPr>
                <w:rFonts w:hint="eastAsia" w:ascii="仿宋_GB2312" w:hAnsi="仿宋_GB2312" w:eastAsia="仿宋_GB2312" w:cs="仿宋_GB2312"/>
                <w:sz w:val="20"/>
                <w:szCs w:val="20"/>
                <w:highlight w:val="none"/>
                <w:lang w:val="en-US" w:eastAsia="zh-CN"/>
              </w:rPr>
              <w:t>证书</w:t>
            </w:r>
            <w:r>
              <w:rPr>
                <w:rFonts w:hint="eastAsia" w:ascii="仿宋_GB2312" w:hAnsi="仿宋_GB2312" w:eastAsia="仿宋_GB2312" w:cs="仿宋_GB2312"/>
                <w:sz w:val="20"/>
                <w:szCs w:val="20"/>
                <w:highlight w:val="none"/>
              </w:rPr>
              <w:t>得</w:t>
            </w: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分。</w:t>
            </w:r>
          </w:p>
          <w:p>
            <w:pPr>
              <w:spacing w:line="240" w:lineRule="exact"/>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证明文件：</w:t>
            </w:r>
          </w:p>
          <w:p>
            <w:pPr>
              <w:wordWrap w:val="0"/>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提供开标日前由投标人为相关人员缴交的载有政府部门公章（或专用章）的2024年9月-2024年11月近三个月任意一个月的社保缴交证明材料，如开标日上一个月的社保材料因政府部门原因暂时无法取得，则可以往前顺延一个月；原件备查。如供应商为新成立企业且成立时间不足1个月的，需承诺相关人员为投标人自有员工，承诺函格式自拟并加盖公章；</w:t>
            </w:r>
          </w:p>
          <w:p>
            <w:pPr>
              <w:wordWrap w:val="0"/>
              <w:spacing w:line="240" w:lineRule="exac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2.提供上述评分项中对应的证书扫描件，原件备查；</w:t>
            </w:r>
          </w:p>
          <w:p>
            <w:p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bCs/>
                <w:sz w:val="20"/>
                <w:szCs w:val="20"/>
                <w:highlight w:val="none"/>
              </w:rPr>
              <w:t>未提供或未按要求提供或提供的不清晰导致评审委员会无法判断的，不得分</w:t>
            </w:r>
            <w:r>
              <w:rPr>
                <w:rFonts w:hint="eastAsia" w:ascii="仿宋_GB2312" w:hAnsi="仿宋_GB2312" w:eastAsia="仿宋_GB2312" w:cs="仿宋_GB2312"/>
                <w:sz w:val="20"/>
                <w:szCs w:val="20"/>
                <w:highlight w:val="none"/>
              </w:rPr>
              <w:t>。</w:t>
            </w:r>
          </w:p>
          <w:p>
            <w:pPr>
              <w:spacing w:line="240" w:lineRule="exact"/>
              <w:ind w:left="181" w:leftChars="86"/>
              <w:jc w:val="left"/>
              <w:rPr>
                <w:rFonts w:hint="eastAsia" w:ascii="仿宋_GB2312" w:hAnsi="仿宋_GB2312" w:eastAsia="仿宋_GB2312" w:cs="仿宋_GB2312"/>
                <w:b/>
                <w:bCs/>
                <w:szCs w:val="21"/>
                <w:highlight w:val="none"/>
              </w:rPr>
            </w:pPr>
          </w:p>
        </w:tc>
      </w:tr>
    </w:tbl>
    <w:p>
      <w:pPr>
        <w:spacing w:line="360" w:lineRule="auto"/>
        <w:ind w:firstLine="640" w:firstLineChars="200"/>
        <w:rPr>
          <w:rFonts w:hint="eastAsia" w:ascii="仿宋_GB2312" w:eastAsia="仿宋_GB2312"/>
          <w:sz w:val="32"/>
          <w:szCs w:val="32"/>
          <w:highlight w:val="none"/>
        </w:rPr>
      </w:pP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注：不提供证明文件或提供的证明文件不合格者，不得分。</w:t>
      </w:r>
    </w:p>
    <w:p>
      <w:pPr>
        <w:numPr>
          <w:ilvl w:val="0"/>
          <w:numId w:val="3"/>
        </w:num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技术实力部分</w:t>
      </w:r>
    </w:p>
    <w:tbl>
      <w:tblPr>
        <w:tblStyle w:val="10"/>
        <w:tblW w:w="9691"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4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75" w:type="dxa"/>
            <w:gridSpan w:val="2"/>
            <w:noWrap w:val="0"/>
            <w:vAlign w:val="center"/>
          </w:tcPr>
          <w:p>
            <w:pPr>
              <w:widowControl/>
              <w:spacing w:line="400" w:lineRule="exact"/>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项目</w:t>
            </w:r>
          </w:p>
        </w:tc>
        <w:tc>
          <w:tcPr>
            <w:tcW w:w="8116" w:type="dxa"/>
            <w:noWrap w:val="0"/>
            <w:vAlign w:val="center"/>
          </w:tcPr>
          <w:p>
            <w:pPr>
              <w:widowControl/>
              <w:spacing w:line="400" w:lineRule="exact"/>
              <w:ind w:left="181" w:leftChars="86"/>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6" w:hRule="atLeast"/>
        </w:trPr>
        <w:tc>
          <w:tcPr>
            <w:tcW w:w="630" w:type="dxa"/>
            <w:vMerge w:val="restart"/>
            <w:noWrap w:val="0"/>
            <w:vAlign w:val="center"/>
          </w:tcPr>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技术实力</w:t>
            </w:r>
          </w:p>
          <w:p>
            <w:pPr>
              <w:spacing w:line="400" w:lineRule="exact"/>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部分评分40分</w:t>
            </w:r>
          </w:p>
        </w:tc>
        <w:tc>
          <w:tcPr>
            <w:tcW w:w="945" w:type="dxa"/>
            <w:noWrap w:val="0"/>
            <w:vAlign w:val="center"/>
          </w:tcPr>
          <w:p>
            <w:pPr>
              <w:spacing w:line="40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实施方案（20分）</w:t>
            </w:r>
          </w:p>
        </w:tc>
        <w:tc>
          <w:tcPr>
            <w:tcW w:w="8116" w:type="dxa"/>
            <w:noWrap w:val="0"/>
            <w:vAlign w:val="center"/>
          </w:tcPr>
          <w:p>
            <w:p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根据项目特点，针对项目需求服务内容、管理措施等要点进行项目整体设想和规划内容包扣但不限于以下内容：           </w:t>
            </w:r>
          </w:p>
          <w:p>
            <w:pPr>
              <w:spacing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1.阐述项目存在的重点难点问题，提出对应对措施及解决方案；</w:t>
            </w:r>
          </w:p>
          <w:p>
            <w:pPr>
              <w:pStyle w:val="6"/>
              <w:spacing w:line="240" w:lineRule="exact"/>
              <w:ind w:firstLine="0" w:firstLineChars="0"/>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2.详细阐述项目实施计划、人员安排；</w:t>
            </w:r>
          </w:p>
          <w:p>
            <w:pPr>
              <w:pStyle w:val="7"/>
              <w:spacing w:before="0" w:after="0" w:line="240" w:lineRule="exact"/>
              <w:ind w:left="201" w:hanging="200" w:hangingChars="100"/>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b w:val="0"/>
                <w:bCs w:val="0"/>
                <w:sz w:val="20"/>
                <w:szCs w:val="20"/>
                <w:highlight w:val="none"/>
              </w:rPr>
              <w:t>.详细阐述</w:t>
            </w:r>
            <w:r>
              <w:rPr>
                <w:rFonts w:hint="eastAsia" w:ascii="仿宋_GB2312" w:hAnsi="仿宋_GB2312" w:eastAsia="仿宋_GB2312" w:cs="仿宋_GB2312"/>
                <w:b w:val="0"/>
                <w:bCs w:val="0"/>
                <w:sz w:val="20"/>
                <w:szCs w:val="20"/>
                <w:highlight w:val="none"/>
                <w:shd w:val="clear" w:color="auto" w:fill="FFFFFF"/>
              </w:rPr>
              <w:t>项目技术方案。</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满足三点得</w:t>
            </w:r>
            <w:r>
              <w:rPr>
                <w:rFonts w:hint="eastAsia" w:ascii="仿宋_GB2312" w:hAnsi="仿宋_GB2312" w:eastAsia="仿宋_GB2312" w:cs="仿宋_GB2312"/>
                <w:b w:val="0"/>
                <w:bCs w:val="0"/>
                <w:sz w:val="20"/>
                <w:szCs w:val="20"/>
                <w:highlight w:val="none"/>
                <w:lang w:val="en-US" w:eastAsia="zh-CN"/>
              </w:rPr>
              <w:t>10</w:t>
            </w:r>
            <w:r>
              <w:rPr>
                <w:rFonts w:hint="eastAsia" w:ascii="仿宋_GB2312" w:hAnsi="仿宋_GB2312" w:eastAsia="仿宋_GB2312" w:cs="仿宋_GB2312"/>
                <w:b w:val="0"/>
                <w:bCs w:val="0"/>
                <w:sz w:val="20"/>
                <w:szCs w:val="20"/>
                <w:highlight w:val="none"/>
              </w:rPr>
              <w:t>分，满足任意两点得</w:t>
            </w:r>
            <w:r>
              <w:rPr>
                <w:rFonts w:hint="eastAsia" w:ascii="仿宋_GB2312" w:hAnsi="仿宋_GB2312" w:eastAsia="仿宋_GB2312" w:cs="仿宋_GB2312"/>
                <w:b w:val="0"/>
                <w:bCs w:val="0"/>
                <w:sz w:val="20"/>
                <w:szCs w:val="20"/>
                <w:highlight w:val="none"/>
                <w:lang w:val="en-US" w:eastAsia="zh-CN"/>
              </w:rPr>
              <w:t>6</w:t>
            </w:r>
            <w:r>
              <w:rPr>
                <w:rFonts w:hint="eastAsia" w:ascii="仿宋_GB2312" w:hAnsi="仿宋_GB2312" w:eastAsia="仿宋_GB2312" w:cs="仿宋_GB2312"/>
                <w:b w:val="0"/>
                <w:bCs w:val="0"/>
                <w:sz w:val="20"/>
                <w:szCs w:val="20"/>
                <w:highlight w:val="none"/>
              </w:rPr>
              <w:t>分 ，满足任意一点得</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分，在此基础上根据供应商得具体响应内容按照量化得评审因素指标进一步评审：</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①优评分标准：方案符合实际、完整、规范、思路清晰，内容合理性强，</w:t>
            </w:r>
            <w:r>
              <w:rPr>
                <w:rFonts w:hint="eastAsia" w:ascii="仿宋_GB2312" w:hAnsi="仿宋_GB2312" w:eastAsia="仿宋_GB2312" w:cs="仿宋_GB2312"/>
                <w:b w:val="0"/>
                <w:bCs w:val="0"/>
                <w:sz w:val="20"/>
                <w:szCs w:val="20"/>
                <w:highlight w:val="none"/>
                <w:lang w:val="en-US" w:eastAsia="zh-CN"/>
              </w:rPr>
              <w:t>得10</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②良评分标准：方案较符合实际、完整、规范、思路清晰，内容合理性强，加</w:t>
            </w:r>
            <w:r>
              <w:rPr>
                <w:rFonts w:hint="eastAsia" w:ascii="仿宋_GB2312" w:hAnsi="仿宋_GB2312" w:eastAsia="仿宋_GB2312" w:cs="仿宋_GB2312"/>
                <w:b w:val="0"/>
                <w:bCs w:val="0"/>
                <w:sz w:val="20"/>
                <w:szCs w:val="20"/>
                <w:highlight w:val="none"/>
                <w:lang w:val="en-US" w:eastAsia="zh-CN"/>
              </w:rPr>
              <w:t>5</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③中评分标准：方案较符合实际、完整、规范、思路清晰，内容合理性强，加</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b w:val="0"/>
                <w:bCs w:val="0"/>
                <w:sz w:val="20"/>
                <w:szCs w:val="20"/>
                <w:highlight w:val="none"/>
              </w:rPr>
              <w:t>④差评分标准：不完整、不规范，思路不清晰，内容合理性较差，加0分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630" w:type="dxa"/>
            <w:vMerge w:val="continue"/>
            <w:noWrap w:val="0"/>
            <w:vAlign w:val="center"/>
          </w:tcPr>
          <w:p>
            <w:pPr>
              <w:spacing w:line="400" w:lineRule="exact"/>
              <w:jc w:val="center"/>
              <w:rPr>
                <w:rFonts w:hint="eastAsia" w:ascii="仿宋_GB2312" w:hAnsi="仿宋_GB2312" w:eastAsia="仿宋_GB2312" w:cs="仿宋_GB2312"/>
                <w:bCs/>
                <w:sz w:val="24"/>
                <w:szCs w:val="24"/>
                <w:highlight w:val="none"/>
              </w:rPr>
            </w:pPr>
          </w:p>
        </w:tc>
        <w:tc>
          <w:tcPr>
            <w:tcW w:w="945" w:type="dxa"/>
            <w:noWrap w:val="0"/>
            <w:vAlign w:val="center"/>
          </w:tcPr>
          <w:p>
            <w:pPr>
              <w:spacing w:line="400" w:lineRule="exact"/>
              <w:jc w:val="left"/>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质量保障措施与售后服务方案（20分）</w:t>
            </w:r>
          </w:p>
        </w:tc>
        <w:tc>
          <w:tcPr>
            <w:tcW w:w="8116" w:type="dxa"/>
            <w:noWrap w:val="0"/>
            <w:vAlign w:val="center"/>
          </w:tcPr>
          <w:p>
            <w:pPr>
              <w:pStyle w:val="9"/>
              <w:spacing w:line="240" w:lineRule="auto"/>
              <w:ind w:firstLine="0" w:firstLineChars="0"/>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根据对项目的理解及自身管理经验，针对本项目提出质量（产品、完成时间、安全）保障措施及方案。包括但不限于以下内容：</w:t>
            </w:r>
          </w:p>
          <w:p>
            <w:pPr>
              <w:pStyle w:val="9"/>
              <w:spacing w:line="240" w:lineRule="auto"/>
              <w:ind w:firstLine="0" w:firstLineChars="0"/>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1.详细阐述项目质量管理制度及措施；</w:t>
            </w:r>
          </w:p>
          <w:p>
            <w:pPr>
              <w:pStyle w:val="9"/>
              <w:spacing w:line="240" w:lineRule="auto"/>
              <w:ind w:firstLine="0" w:firstLineChars="0"/>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2.提供完整的服务保障说明及服务体系；</w:t>
            </w:r>
          </w:p>
          <w:p>
            <w:pPr>
              <w:pStyle w:val="9"/>
              <w:spacing w:line="240" w:lineRule="auto"/>
              <w:ind w:firstLine="0" w:firstLineChars="0"/>
              <w:rPr>
                <w:rFonts w:hint="eastAsia" w:ascii="仿宋_GB2312" w:hAnsi="仿宋_GB2312" w:eastAsia="仿宋_GB2312" w:cs="仿宋_GB2312"/>
                <w:sz w:val="20"/>
                <w:szCs w:val="24"/>
                <w:highlight w:val="none"/>
              </w:rPr>
            </w:pPr>
            <w:r>
              <w:rPr>
                <w:rFonts w:hint="eastAsia" w:ascii="仿宋_GB2312" w:hAnsi="仿宋_GB2312" w:eastAsia="仿宋_GB2312" w:cs="仿宋_GB2312"/>
                <w:sz w:val="20"/>
                <w:szCs w:val="24"/>
                <w:highlight w:val="none"/>
              </w:rPr>
              <w:t>3.提供完整的售后服务方案。</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满足三点得</w:t>
            </w:r>
            <w:r>
              <w:rPr>
                <w:rFonts w:hint="eastAsia" w:ascii="仿宋_GB2312" w:hAnsi="仿宋_GB2312" w:eastAsia="仿宋_GB2312" w:cs="仿宋_GB2312"/>
                <w:b w:val="0"/>
                <w:bCs w:val="0"/>
                <w:sz w:val="20"/>
                <w:szCs w:val="20"/>
                <w:highlight w:val="none"/>
                <w:lang w:val="en-US" w:eastAsia="zh-CN"/>
              </w:rPr>
              <w:t>10</w:t>
            </w:r>
            <w:r>
              <w:rPr>
                <w:rFonts w:hint="eastAsia" w:ascii="仿宋_GB2312" w:hAnsi="仿宋_GB2312" w:eastAsia="仿宋_GB2312" w:cs="仿宋_GB2312"/>
                <w:b w:val="0"/>
                <w:bCs w:val="0"/>
                <w:sz w:val="20"/>
                <w:szCs w:val="20"/>
                <w:highlight w:val="none"/>
              </w:rPr>
              <w:t>分，满足任意两点得</w:t>
            </w:r>
            <w:r>
              <w:rPr>
                <w:rFonts w:hint="eastAsia" w:ascii="仿宋_GB2312" w:hAnsi="仿宋_GB2312" w:eastAsia="仿宋_GB2312" w:cs="仿宋_GB2312"/>
                <w:b w:val="0"/>
                <w:bCs w:val="0"/>
                <w:sz w:val="20"/>
                <w:szCs w:val="20"/>
                <w:highlight w:val="none"/>
                <w:lang w:val="en-US" w:eastAsia="zh-CN"/>
              </w:rPr>
              <w:t>6</w:t>
            </w:r>
            <w:r>
              <w:rPr>
                <w:rFonts w:hint="eastAsia" w:ascii="仿宋_GB2312" w:hAnsi="仿宋_GB2312" w:eastAsia="仿宋_GB2312" w:cs="仿宋_GB2312"/>
                <w:b w:val="0"/>
                <w:bCs w:val="0"/>
                <w:sz w:val="20"/>
                <w:szCs w:val="20"/>
                <w:highlight w:val="none"/>
              </w:rPr>
              <w:t>分 ，满足任意一点得</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分，在此基础上根据供应商得具体响应内容按照量化得评审因素指标进一步评审：</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①优评分标准：方案符合实际、完整、规范、思路清晰，内容合理性强，</w:t>
            </w:r>
            <w:r>
              <w:rPr>
                <w:rFonts w:hint="eastAsia" w:ascii="仿宋_GB2312" w:hAnsi="仿宋_GB2312" w:eastAsia="仿宋_GB2312" w:cs="仿宋_GB2312"/>
                <w:b w:val="0"/>
                <w:bCs w:val="0"/>
                <w:sz w:val="20"/>
                <w:szCs w:val="20"/>
                <w:highlight w:val="none"/>
                <w:lang w:val="en-US" w:eastAsia="zh-CN"/>
              </w:rPr>
              <w:t>得10</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②良评分标准：方案较符合实际、完整、规范、思路清晰，内容合理性强，加</w:t>
            </w:r>
            <w:r>
              <w:rPr>
                <w:rFonts w:hint="eastAsia" w:ascii="仿宋_GB2312" w:hAnsi="仿宋_GB2312" w:eastAsia="仿宋_GB2312" w:cs="仿宋_GB2312"/>
                <w:b w:val="0"/>
                <w:bCs w:val="0"/>
                <w:sz w:val="20"/>
                <w:szCs w:val="20"/>
                <w:highlight w:val="none"/>
                <w:lang w:val="en-US" w:eastAsia="zh-CN"/>
              </w:rPr>
              <w:t>5</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sz w:val="20"/>
                <w:szCs w:val="20"/>
                <w:highlight w:val="none"/>
              </w:rPr>
              <w:t>③中评分标准：方案较符合实际、完整、规范、思路清晰，内容合理性强，加</w:t>
            </w:r>
            <w:r>
              <w:rPr>
                <w:rFonts w:hint="eastAsia" w:ascii="仿宋_GB2312" w:hAnsi="仿宋_GB2312" w:eastAsia="仿宋_GB2312" w:cs="仿宋_GB2312"/>
                <w:b w:val="0"/>
                <w:bCs w:val="0"/>
                <w:sz w:val="20"/>
                <w:szCs w:val="20"/>
                <w:highlight w:val="none"/>
                <w:lang w:val="en-US" w:eastAsia="zh-CN"/>
              </w:rPr>
              <w:t>3</w:t>
            </w:r>
            <w:r>
              <w:rPr>
                <w:rFonts w:hint="eastAsia" w:ascii="仿宋_GB2312" w:hAnsi="仿宋_GB2312" w:eastAsia="仿宋_GB2312" w:cs="仿宋_GB2312"/>
                <w:b w:val="0"/>
                <w:bCs w:val="0"/>
                <w:sz w:val="20"/>
                <w:szCs w:val="20"/>
                <w:highlight w:val="none"/>
              </w:rPr>
              <w:t xml:space="preserve">分               </w:t>
            </w:r>
          </w:p>
          <w:p>
            <w:pPr>
              <w:pStyle w:val="7"/>
              <w:spacing w:before="0" w:after="0" w:line="24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b w:val="0"/>
                <w:bCs w:val="0"/>
                <w:sz w:val="20"/>
                <w:szCs w:val="20"/>
                <w:highlight w:val="none"/>
              </w:rPr>
              <w:t>④差评分标准：不完整、不规范，思路不清晰，内容合理性较差，加0分</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3.报价</w:t>
      </w:r>
    </w:p>
    <w:p>
      <w:pPr>
        <w:spacing w:line="360" w:lineRule="auto"/>
        <w:ind w:firstLine="640" w:firstLineChars="200"/>
        <w:rPr>
          <w:rFonts w:hint="eastAsia" w:ascii="楷体_GB2312" w:hAnsi="楷体_GB2312" w:eastAsia="楷体_GB2312" w:cs="楷体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人所报的有效报价中的最低价作为基准报价。投标人报价得分=（基准价/投标人报价）*30分。</w:t>
      </w:r>
    </w:p>
    <w:p>
      <w:pPr>
        <w:spacing w:line="360" w:lineRule="auto"/>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（四）供应商提供资料清单</w:t>
      </w:r>
    </w:p>
    <w:p>
      <w:pPr>
        <w:spacing w:line="360" w:lineRule="auto"/>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8"/>
        <w:spacing w:after="0" w:line="360" w:lineRule="auto"/>
        <w:ind w:left="0" w:leftChars="0" w:right="0" w:rightChars="0"/>
        <w:rPr>
          <w:highlight w:val="none"/>
        </w:rPr>
      </w:pPr>
      <w:r>
        <w:rPr>
          <w:rFonts w:hint="eastAsia" w:ascii="仿宋_GB2312" w:hAnsi="仿宋" w:eastAsia="仿宋_GB2312"/>
          <w:sz w:val="32"/>
          <w:highlight w:val="none"/>
        </w:rPr>
        <w:t xml:space="preserve">    2.法定代表人身份证复印件（加盖公章）</w:t>
      </w:r>
    </w:p>
    <w:p>
      <w:pPr>
        <w:pStyle w:val="8"/>
        <w:spacing w:after="0" w:line="360" w:lineRule="auto"/>
        <w:ind w:left="0" w:leftChars="0" w:right="0" w:rightChars="0" w:firstLine="640"/>
        <w:rPr>
          <w:rFonts w:hint="eastAsia" w:ascii="仿宋_GB2312" w:hAnsi="仿宋" w:eastAsia="仿宋_GB2312"/>
          <w:sz w:val="32"/>
          <w:highlight w:val="none"/>
        </w:rPr>
      </w:pPr>
      <w:r>
        <w:rPr>
          <w:rFonts w:hint="eastAsia" w:ascii="仿宋_GB2312" w:hAnsi="仿宋" w:eastAsia="仿宋_GB2312"/>
          <w:sz w:val="32"/>
          <w:highlight w:val="none"/>
        </w:rPr>
        <w:t>3.项目报价清单（加盖公章）</w:t>
      </w:r>
    </w:p>
    <w:p>
      <w:pPr>
        <w:pStyle w:val="8"/>
        <w:spacing w:after="0" w:line="360" w:lineRule="auto"/>
        <w:ind w:left="0" w:leftChars="0" w:right="0" w:rightChars="0" w:firstLine="640"/>
        <w:rPr>
          <w:rFonts w:hint="eastAsia" w:ascii="仿宋_GB2312" w:hAnsi="仿宋" w:eastAsia="仿宋_GB2312"/>
          <w:sz w:val="32"/>
          <w:highlight w:val="none"/>
        </w:rPr>
      </w:pPr>
      <w:r>
        <w:rPr>
          <w:rFonts w:hint="eastAsia" w:ascii="仿宋_GB2312" w:hAnsi="仿宋" w:eastAsia="仿宋_GB2312"/>
          <w:sz w:val="32"/>
          <w:highlight w:val="none"/>
        </w:rPr>
        <w:t>4.评分规则所需资料（同类业绩证明、方案等）</w:t>
      </w:r>
    </w:p>
    <w:p>
      <w:pPr>
        <w:pStyle w:val="8"/>
        <w:snapToGrid w:val="0"/>
        <w:spacing w:after="0" w:line="360" w:lineRule="auto"/>
        <w:ind w:left="0" w:leftChars="0" w:right="0" w:rightChars="0" w:firstLine="640" w:firstLineChars="200"/>
        <w:rPr>
          <w:rFonts w:ascii="黑体" w:hAnsi="黑体" w:eastAsia="黑体" w:cs="黑体"/>
          <w:sz w:val="32"/>
          <w:szCs w:val="32"/>
          <w:highlight w:val="none"/>
        </w:rPr>
      </w:pPr>
    </w:p>
    <w:p>
      <w:pPr>
        <w:pStyle w:val="8"/>
        <w:snapToGrid w:val="0"/>
        <w:spacing w:after="0" w:line="560" w:lineRule="exact"/>
        <w:ind w:left="0" w:leftChars="0" w:right="0" w:righ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b/>
          <w:bCs/>
          <w:color w:val="FF0000"/>
          <w:sz w:val="32"/>
          <w:szCs w:val="32"/>
          <w:highlight w:val="none"/>
        </w:rPr>
        <w:t>7份密封</w:t>
      </w:r>
      <w:r>
        <w:rPr>
          <w:rFonts w:hint="eastAsia" w:ascii="仿宋_GB2312" w:hAnsi="仿宋_GB2312" w:eastAsia="仿宋_GB2312" w:cs="仿宋_GB2312"/>
          <w:sz w:val="32"/>
          <w:szCs w:val="32"/>
          <w:highlight w:val="none"/>
        </w:rPr>
        <w:t>纸质投标资料至本单位，并在封面备注“XX项目+公司全称+日期+联系人+联系方式”。</w:t>
      </w:r>
    </w:p>
    <w:p>
      <w:pPr>
        <w:pStyle w:val="8"/>
        <w:snapToGrid w:val="0"/>
        <w:spacing w:after="0" w:line="560" w:lineRule="exact"/>
        <w:ind w:left="819" w:leftChars="390" w:right="0" w:right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地址：深圳市龙华区维亚德大厦富康行政办公区</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联系电话：0755-23338140</w:t>
      </w:r>
    </w:p>
    <w:p>
      <w:pPr>
        <w:pStyle w:val="8"/>
        <w:snapToGrid w:val="0"/>
        <w:spacing w:after="0" w:line="560" w:lineRule="exact"/>
        <w:ind w:left="181" w:leftChars="86" w:right="0" w:righ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收件人：吴先生</w:t>
      </w:r>
    </w:p>
    <w:p>
      <w:pPr>
        <w:pStyle w:val="8"/>
        <w:snapToGrid w:val="0"/>
        <w:spacing w:after="0" w:line="360" w:lineRule="auto"/>
        <w:ind w:left="0" w:leftChars="0" w:right="0" w:rightChars="0" w:firstLine="640" w:firstLineChars="200"/>
        <w:rPr>
          <w:rFonts w:hint="eastAsia" w:ascii="仿宋_GB2312" w:hAnsi="仿宋_GB2312" w:eastAsia="仿宋_GB2312" w:cs="仿宋_GB2312"/>
          <w:sz w:val="32"/>
          <w:szCs w:val="32"/>
          <w:highlight w:val="none"/>
        </w:rPr>
      </w:pPr>
    </w:p>
    <w:p>
      <w:pPr>
        <w:rPr>
          <w:highlight w:val="non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875FB"/>
    <w:multiLevelType w:val="singleLevel"/>
    <w:tmpl w:val="C77875FB"/>
    <w:lvl w:ilvl="0" w:tentative="0">
      <w:start w:val="2"/>
      <w:numFmt w:val="decimal"/>
      <w:lvlText w:val="%1."/>
      <w:lvlJc w:val="left"/>
      <w:pPr>
        <w:tabs>
          <w:tab w:val="left" w:pos="312"/>
        </w:tabs>
      </w:pPr>
    </w:lvl>
  </w:abstractNum>
  <w:abstractNum w:abstractNumId="1">
    <w:nsid w:val="16E7B1B7"/>
    <w:multiLevelType w:val="multilevel"/>
    <w:tmpl w:val="16E7B1B7"/>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06B04C2"/>
    <w:multiLevelType w:val="singleLevel"/>
    <w:tmpl w:val="606B04C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M3NDE1NDdhNzFmZDQ1NTI4NDkwOTVjNzJhNGUifQ=="/>
  </w:docVars>
  <w:rsids>
    <w:rsidRoot w:val="212F1E6F"/>
    <w:rsid w:val="029F6EF8"/>
    <w:rsid w:val="030E4A7F"/>
    <w:rsid w:val="0B8E6AF2"/>
    <w:rsid w:val="1AEA09B7"/>
    <w:rsid w:val="20454AB0"/>
    <w:rsid w:val="212F1E6F"/>
    <w:rsid w:val="28BF5B1F"/>
    <w:rsid w:val="2AB54712"/>
    <w:rsid w:val="2DEA46B0"/>
    <w:rsid w:val="2F034443"/>
    <w:rsid w:val="2FA86C17"/>
    <w:rsid w:val="361424D6"/>
    <w:rsid w:val="3A503750"/>
    <w:rsid w:val="3C7C5835"/>
    <w:rsid w:val="42E912E0"/>
    <w:rsid w:val="4699685D"/>
    <w:rsid w:val="483100BE"/>
    <w:rsid w:val="4CE511D4"/>
    <w:rsid w:val="505501D9"/>
    <w:rsid w:val="570C5BCA"/>
    <w:rsid w:val="593061D3"/>
    <w:rsid w:val="5EA06F34"/>
    <w:rsid w:val="64D929E4"/>
    <w:rsid w:val="6706161C"/>
    <w:rsid w:val="74FC66BC"/>
    <w:rsid w:val="75A53D3D"/>
    <w:rsid w:val="7A500DB7"/>
    <w:rsid w:val="EAFFE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jc w:val="center"/>
      <w:outlineLvl w:val="0"/>
    </w:pPr>
    <w:rPr>
      <w:rFonts w:ascii="宋体" w:hAnsi="宋体" w:eastAsia="宋体" w:cs="Times New Roman"/>
      <w:bCs/>
      <w:sz w:val="44"/>
      <w:szCs w:val="21"/>
    </w:rPr>
  </w:style>
  <w:style w:type="paragraph" w:styleId="3">
    <w:name w:val="heading 2"/>
    <w:basedOn w:val="1"/>
    <w:next w:val="1"/>
    <w:link w:val="13"/>
    <w:semiHidden/>
    <w:unhideWhenUsed/>
    <w:qFormat/>
    <w:uiPriority w:val="0"/>
    <w:pPr>
      <w:keepNext/>
      <w:keepLines/>
      <w:widowControl w:val="0"/>
      <w:numPr>
        <w:ilvl w:val="0"/>
        <w:numId w:val="1"/>
      </w:numPr>
      <w:spacing w:line="360" w:lineRule="auto"/>
      <w:ind w:left="420" w:hanging="420"/>
      <w:outlineLvl w:val="1"/>
    </w:pPr>
    <w:rPr>
      <w:rFonts w:ascii="Times New Roman" w:hAnsi="Times New Roman" w:eastAsia="宋体" w:cs="Times New Roman"/>
      <w:b/>
      <w:bCs/>
      <w:color w:val="000000"/>
      <w:kern w:val="2"/>
      <w:sz w:val="32"/>
    </w:rPr>
  </w:style>
  <w:style w:type="paragraph" w:styleId="4">
    <w:name w:val="heading 3"/>
    <w:basedOn w:val="1"/>
    <w:next w:val="1"/>
    <w:semiHidden/>
    <w:unhideWhenUsed/>
    <w:qFormat/>
    <w:uiPriority w:val="0"/>
    <w:pPr>
      <w:spacing w:before="260" w:after="260"/>
      <w:outlineLvl w:val="2"/>
    </w:pPr>
    <w:rPr>
      <w:rFonts w:ascii="宋体" w:hAnsi="宋体" w:eastAsia="宋体" w:cs="Times New Roman"/>
      <w:b/>
      <w:sz w:val="28"/>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line="560" w:lineRule="exact"/>
      <w:ind w:firstLine="880" w:firstLineChars="200"/>
    </w:pPr>
    <w:rPr>
      <w:rFonts w:ascii="Calibri" w:hAnsi="Calibri" w:cs="Times New Roman"/>
    </w:rPr>
  </w:style>
  <w:style w:type="paragraph" w:styleId="7">
    <w:name w:val="Title"/>
    <w:basedOn w:val="1"/>
    <w:next w:val="2"/>
    <w:qFormat/>
    <w:uiPriority w:val="10"/>
    <w:pPr>
      <w:spacing w:before="240" w:after="60"/>
      <w:jc w:val="center"/>
      <w:outlineLvl w:val="0"/>
    </w:pPr>
    <w:rPr>
      <w:rFonts w:ascii="等线 Light" w:hAnsi="等线 Light" w:eastAsia="宋体" w:cs="Times New Roman"/>
      <w:b/>
      <w:bCs/>
      <w:sz w:val="32"/>
      <w:szCs w:val="32"/>
    </w:rPr>
  </w:style>
  <w:style w:type="paragraph" w:styleId="8">
    <w:name w:val="Block Text"/>
    <w:basedOn w:val="1"/>
    <w:qFormat/>
    <w:uiPriority w:val="0"/>
    <w:pPr>
      <w:tabs>
        <w:tab w:val="left" w:pos="426"/>
      </w:tabs>
      <w:spacing w:after="120"/>
      <w:ind w:left="1440" w:leftChars="700" w:right="1440" w:rightChars="700"/>
    </w:pPr>
  </w:style>
  <w:style w:type="paragraph" w:styleId="9">
    <w:name w:val="Body Text First Indent"/>
    <w:basedOn w:val="6"/>
    <w:qFormat/>
    <w:uiPriority w:val="0"/>
    <w:pPr>
      <w:spacing w:line="560" w:lineRule="exact"/>
      <w:ind w:firstLine="880" w:firstLineChars="200"/>
    </w:pPr>
    <w:rPr>
      <w:rFonts w:ascii="Calibri" w:hAnsi="Calibri" w:eastAsia="仿宋_GB2312" w:cs="Times New Roman"/>
      <w:sz w:val="32"/>
      <w:szCs w:val="22"/>
    </w:rPr>
  </w:style>
  <w:style w:type="character" w:customStyle="1" w:styleId="12">
    <w:name w:val="标题 1 字符"/>
    <w:basedOn w:val="11"/>
    <w:link w:val="2"/>
    <w:qFormat/>
    <w:uiPriority w:val="99"/>
    <w:rPr>
      <w:rFonts w:ascii="宋体" w:hAnsi="宋体" w:eastAsia="宋体" w:cs="Times New Roman"/>
      <w:b/>
      <w:bCs/>
      <w:sz w:val="44"/>
      <w:szCs w:val="21"/>
    </w:rPr>
  </w:style>
  <w:style w:type="character" w:customStyle="1" w:styleId="13">
    <w:name w:val="标题 2 字符"/>
    <w:basedOn w:val="11"/>
    <w:link w:val="3"/>
    <w:qFormat/>
    <w:uiPriority w:val="99"/>
    <w:rPr>
      <w:rFonts w:ascii="Times New Roman" w:hAnsi="Times New Roman" w:eastAsia="宋体" w:cs="Times New Roman"/>
      <w:b/>
      <w:bCs/>
      <w:color w:val="000000"/>
      <w:sz w:val="32"/>
      <w:szCs w:val="24"/>
    </w:rPr>
  </w:style>
  <w:style w:type="paragraph" w:customStyle="1" w:styleId="14">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6489</Words>
  <Characters>7424</Characters>
  <Lines>0</Lines>
  <Paragraphs>0</Paragraphs>
  <TotalTime>7</TotalTime>
  <ScaleCrop>false</ScaleCrop>
  <LinksUpToDate>false</LinksUpToDate>
  <CharactersWithSpaces>7579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2024-11-07T11:39:00Z</dcterms:created>
  <dc:creator>王建辉</dc:creator>
  <cp:lastModifiedBy>lxy</cp:lastModifiedBy>
  <dcterms:modified xsi:type="dcterms:W3CDTF">2024-11-11T17:36:47Z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25599FC3B52A486F8E023BA8914513C1_13</vt:lpwstr>
  </property>
</Properties>
</file>